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47"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Cuneo Andrew</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1"/>
        </w:trPr>
        <w:tc>
          <w:tcPr>
            <w:tcW w:w="310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03/01/2021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Viatris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VTRS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47" w:orient="portrait"/>
          <w:cols w:equalWidth="0" w:num="2">
            <w:col w:w="4720" w:space="280"/>
            <w:col w:w="5940"/>
          </w:cols>
          <w:pgMar w:left="480" w:top="230" w:right="479" w:bottom="0" w:gutter="0" w:footer="0" w:header="0"/>
          <w:type w:val="continuous"/>
        </w:sectPr>
      </w:pPr>
    </w:p>
    <w:p>
      <w:pPr>
        <w:spacing w:after="0" w:line="160"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CANONSBURG PA</w:t>
            </w:r>
          </w:p>
        </w:tc>
        <w:tc>
          <w:tcPr>
            <w:tcW w:w="122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7"/>
          <w:szCs w:val="27"/>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492760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6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15"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47"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40" w:type="dxa"/>
            <w:vAlign w:val="bottom"/>
          </w:tcPr>
          <w:p>
            <w:pPr>
              <w:ind w:left="640"/>
              <w:spacing w:after="0"/>
              <w:rPr>
                <w:sz w:val="20"/>
                <w:szCs w:val="20"/>
                <w:color w:val="auto"/>
              </w:rPr>
            </w:pPr>
            <w:r>
              <w:rPr>
                <w:rFonts w:ascii="Times New Roman" w:cs="Times New Roman" w:eastAsia="Times New Roman" w:hAnsi="Times New Roman"/>
                <w:sz w:val="20"/>
                <w:szCs w:val="20"/>
                <w:color w:val="0000FF"/>
              </w:rPr>
              <w:t>10,123</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1"/>
                <w:szCs w:val="21"/>
                <w:color w:val="auto"/>
              </w:rPr>
            </w:pPr>
          </w:p>
        </w:tc>
        <w:tc>
          <w:tcPr>
            <w:tcW w:w="14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880" w:type="dxa"/>
            <w:vAlign w:val="bottom"/>
            <w:gridSpan w:val="2"/>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7"/>
              </w:rPr>
              <w:t>Employee Stock Option - Right to</w:t>
            </w:r>
          </w:p>
        </w:tc>
        <w:tc>
          <w:tcPr>
            <w:tcW w:w="1300" w:type="dxa"/>
            <w:vAlign w:val="bottom"/>
            <w:gridSpan w:val="2"/>
            <w:vMerge w:val="restart"/>
          </w:tcPr>
          <w:p>
            <w:pPr>
              <w:jc w:val="center"/>
              <w:ind w:left="255"/>
              <w:spacing w:after="0"/>
              <w:rPr>
                <w:sz w:val="20"/>
                <w:szCs w:val="20"/>
                <w:color w:val="auto"/>
              </w:rPr>
            </w:pPr>
            <w:r>
              <w:rPr>
                <w:rFonts w:ascii="Times New Roman" w:cs="Times New Roman" w:eastAsia="Times New Roman" w:hAnsi="Times New Roman"/>
                <w:sz w:val="13"/>
                <w:szCs w:val="13"/>
                <w:color w:val="008000"/>
                <w:w w:val="92"/>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03/02/2021</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jc w:val="center"/>
              <w:ind w:left="29"/>
              <w:spacing w:after="0"/>
              <w:rPr>
                <w:sz w:val="20"/>
                <w:szCs w:val="20"/>
                <w:color w:val="auto"/>
              </w:rPr>
            </w:pPr>
            <w:r>
              <w:rPr>
                <w:rFonts w:ascii="Times New Roman" w:cs="Times New Roman" w:eastAsia="Times New Roman" w:hAnsi="Times New Roman"/>
                <w:sz w:val="20"/>
                <w:szCs w:val="20"/>
                <w:color w:val="0000FF"/>
                <w:w w:val="97"/>
              </w:rPr>
              <w:t>4,735</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22.66</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7"/>
              </w:rPr>
              <w:t>Employee Stock Option - Right to</w:t>
            </w:r>
          </w:p>
        </w:tc>
        <w:tc>
          <w:tcPr>
            <w:tcW w:w="1300" w:type="dxa"/>
            <w:vAlign w:val="bottom"/>
            <w:gridSpan w:val="2"/>
            <w:vMerge w:val="restart"/>
          </w:tcPr>
          <w:p>
            <w:pPr>
              <w:jc w:val="center"/>
              <w:ind w:left="255"/>
              <w:spacing w:after="0"/>
              <w:rPr>
                <w:sz w:val="20"/>
                <w:szCs w:val="20"/>
                <w:color w:val="auto"/>
              </w:rPr>
            </w:pPr>
            <w:r>
              <w:rPr>
                <w:rFonts w:ascii="Times New Roman" w:cs="Times New Roman" w:eastAsia="Times New Roman" w:hAnsi="Times New Roman"/>
                <w:sz w:val="13"/>
                <w:szCs w:val="13"/>
                <w:color w:val="008000"/>
                <w:w w:val="92"/>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02/22/2022</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jc w:val="center"/>
              <w:ind w:left="9"/>
              <w:spacing w:after="0"/>
              <w:rPr>
                <w:sz w:val="20"/>
                <w:szCs w:val="20"/>
                <w:color w:val="auto"/>
              </w:rPr>
            </w:pPr>
            <w:r>
              <w:rPr>
                <w:rFonts w:ascii="Times New Roman" w:cs="Times New Roman" w:eastAsia="Times New Roman" w:hAnsi="Times New Roman"/>
                <w:sz w:val="20"/>
                <w:szCs w:val="20"/>
                <w:color w:val="0000FF"/>
                <w:w w:val="98"/>
              </w:rPr>
              <w:t>12,762</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23.44</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7"/>
              </w:rPr>
              <w:t>Employee Stock Option - Right to</w:t>
            </w:r>
          </w:p>
        </w:tc>
        <w:tc>
          <w:tcPr>
            <w:tcW w:w="1300" w:type="dxa"/>
            <w:vAlign w:val="bottom"/>
            <w:gridSpan w:val="2"/>
            <w:vMerge w:val="restart"/>
          </w:tcPr>
          <w:p>
            <w:pPr>
              <w:jc w:val="center"/>
              <w:ind w:left="255"/>
              <w:spacing w:after="0"/>
              <w:rPr>
                <w:sz w:val="20"/>
                <w:szCs w:val="20"/>
                <w:color w:val="auto"/>
              </w:rPr>
            </w:pPr>
            <w:r>
              <w:rPr>
                <w:rFonts w:ascii="Times New Roman" w:cs="Times New Roman" w:eastAsia="Times New Roman" w:hAnsi="Times New Roman"/>
                <w:sz w:val="13"/>
                <w:szCs w:val="13"/>
                <w:color w:val="008000"/>
                <w:w w:val="92"/>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03/06/2023</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jc w:val="center"/>
              <w:ind w:left="29"/>
              <w:spacing w:after="0"/>
              <w:rPr>
                <w:sz w:val="20"/>
                <w:szCs w:val="20"/>
                <w:color w:val="auto"/>
              </w:rPr>
            </w:pPr>
            <w:r>
              <w:rPr>
                <w:rFonts w:ascii="Times New Roman" w:cs="Times New Roman" w:eastAsia="Times New Roman" w:hAnsi="Times New Roman"/>
                <w:sz w:val="20"/>
                <w:szCs w:val="20"/>
                <w:color w:val="0000FF"/>
                <w:w w:val="97"/>
              </w:rPr>
              <w:t>6,005</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30.9</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7"/>
              </w:rPr>
              <w:t>Employee Stock Option - Right to</w:t>
            </w:r>
          </w:p>
        </w:tc>
        <w:tc>
          <w:tcPr>
            <w:tcW w:w="1300" w:type="dxa"/>
            <w:vAlign w:val="bottom"/>
            <w:gridSpan w:val="2"/>
            <w:vMerge w:val="restart"/>
          </w:tcPr>
          <w:p>
            <w:pPr>
              <w:jc w:val="center"/>
              <w:ind w:left="255"/>
              <w:spacing w:after="0"/>
              <w:rPr>
                <w:sz w:val="20"/>
                <w:szCs w:val="20"/>
                <w:color w:val="auto"/>
              </w:rPr>
            </w:pPr>
            <w:r>
              <w:rPr>
                <w:rFonts w:ascii="Times New Roman" w:cs="Times New Roman" w:eastAsia="Times New Roman" w:hAnsi="Times New Roman"/>
                <w:sz w:val="13"/>
                <w:szCs w:val="13"/>
                <w:color w:val="008000"/>
                <w:w w:val="92"/>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03/06/2023</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jc w:val="center"/>
              <w:ind w:left="29"/>
              <w:spacing w:after="0"/>
              <w:rPr>
                <w:sz w:val="20"/>
                <w:szCs w:val="20"/>
                <w:color w:val="auto"/>
              </w:rPr>
            </w:pPr>
            <w:r>
              <w:rPr>
                <w:rFonts w:ascii="Times New Roman" w:cs="Times New Roman" w:eastAsia="Times New Roman" w:hAnsi="Times New Roman"/>
                <w:sz w:val="20"/>
                <w:szCs w:val="20"/>
                <w:color w:val="0000FF"/>
                <w:w w:val="97"/>
              </w:rPr>
              <w:t>4,438</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30.9</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7"/>
              </w:rPr>
              <w:t>Employee Stock Option - Right to</w:t>
            </w:r>
          </w:p>
        </w:tc>
        <w:tc>
          <w:tcPr>
            <w:tcW w:w="1300" w:type="dxa"/>
            <w:vAlign w:val="bottom"/>
            <w:gridSpan w:val="2"/>
            <w:vMerge w:val="restart"/>
          </w:tcPr>
          <w:p>
            <w:pPr>
              <w:jc w:val="center"/>
              <w:ind w:left="255"/>
              <w:spacing w:after="0"/>
              <w:rPr>
                <w:sz w:val="20"/>
                <w:szCs w:val="20"/>
                <w:color w:val="auto"/>
              </w:rPr>
            </w:pPr>
            <w:r>
              <w:rPr>
                <w:rFonts w:ascii="Times New Roman" w:cs="Times New Roman" w:eastAsia="Times New Roman" w:hAnsi="Times New Roman"/>
                <w:sz w:val="13"/>
                <w:szCs w:val="13"/>
                <w:color w:val="008000"/>
                <w:w w:val="92"/>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03/05/2024</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jc w:val="center"/>
              <w:ind w:left="29"/>
              <w:spacing w:after="0"/>
              <w:rPr>
                <w:sz w:val="20"/>
                <w:szCs w:val="20"/>
                <w:color w:val="auto"/>
              </w:rPr>
            </w:pPr>
            <w:r>
              <w:rPr>
                <w:rFonts w:ascii="Times New Roman" w:cs="Times New Roman" w:eastAsia="Times New Roman" w:hAnsi="Times New Roman"/>
                <w:sz w:val="20"/>
                <w:szCs w:val="20"/>
                <w:color w:val="0000FF"/>
                <w:w w:val="97"/>
              </w:rPr>
              <w:t>2,394</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55.84</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7"/>
              </w:rPr>
              <w:t>Employee Stock Option - Right to</w:t>
            </w:r>
          </w:p>
        </w:tc>
        <w:tc>
          <w:tcPr>
            <w:tcW w:w="1300" w:type="dxa"/>
            <w:vAlign w:val="bottom"/>
            <w:gridSpan w:val="2"/>
            <w:vMerge w:val="restart"/>
          </w:tcPr>
          <w:p>
            <w:pPr>
              <w:jc w:val="center"/>
              <w:ind w:left="255"/>
              <w:spacing w:after="0"/>
              <w:rPr>
                <w:sz w:val="20"/>
                <w:szCs w:val="20"/>
                <w:color w:val="auto"/>
              </w:rPr>
            </w:pPr>
            <w:r>
              <w:rPr>
                <w:rFonts w:ascii="Times New Roman" w:cs="Times New Roman" w:eastAsia="Times New Roman" w:hAnsi="Times New Roman"/>
                <w:sz w:val="13"/>
                <w:szCs w:val="13"/>
                <w:color w:val="008000"/>
                <w:w w:val="92"/>
              </w:rPr>
              <w:t>(5)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03/04/2025</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jc w:val="center"/>
              <w:ind w:left="29"/>
              <w:spacing w:after="0"/>
              <w:rPr>
                <w:sz w:val="20"/>
                <w:szCs w:val="20"/>
                <w:color w:val="auto"/>
              </w:rPr>
            </w:pPr>
            <w:r>
              <w:rPr>
                <w:rFonts w:ascii="Times New Roman" w:cs="Times New Roman" w:eastAsia="Times New Roman" w:hAnsi="Times New Roman"/>
                <w:sz w:val="20"/>
                <w:szCs w:val="20"/>
                <w:color w:val="0000FF"/>
                <w:w w:val="97"/>
              </w:rPr>
              <w:t>2,364</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55.61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7"/>
              </w:rPr>
              <w:t>Employee Stock Option - Right to</w:t>
            </w:r>
          </w:p>
        </w:tc>
        <w:tc>
          <w:tcPr>
            <w:tcW w:w="1300" w:type="dxa"/>
            <w:vAlign w:val="bottom"/>
            <w:gridSpan w:val="2"/>
            <w:vMerge w:val="restart"/>
          </w:tcPr>
          <w:p>
            <w:pPr>
              <w:jc w:val="center"/>
              <w:ind w:left="255"/>
              <w:spacing w:after="0"/>
              <w:rPr>
                <w:sz w:val="20"/>
                <w:szCs w:val="20"/>
                <w:color w:val="auto"/>
              </w:rPr>
            </w:pPr>
            <w:r>
              <w:rPr>
                <w:rFonts w:ascii="Times New Roman" w:cs="Times New Roman" w:eastAsia="Times New Roman" w:hAnsi="Times New Roman"/>
                <w:sz w:val="13"/>
                <w:szCs w:val="13"/>
                <w:color w:val="008000"/>
                <w:w w:val="92"/>
              </w:rPr>
              <w:t>(6)</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02/17/2026</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jc w:val="center"/>
              <w:ind w:left="29"/>
              <w:spacing w:after="0"/>
              <w:rPr>
                <w:sz w:val="20"/>
                <w:szCs w:val="20"/>
                <w:color w:val="auto"/>
              </w:rPr>
            </w:pPr>
            <w:r>
              <w:rPr>
                <w:rFonts w:ascii="Times New Roman" w:cs="Times New Roman" w:eastAsia="Times New Roman" w:hAnsi="Times New Roman"/>
                <w:sz w:val="20"/>
                <w:szCs w:val="20"/>
                <w:color w:val="0000FF"/>
                <w:w w:val="97"/>
              </w:rPr>
              <w:t>3,679</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46.27</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7"/>
              </w:rPr>
              <w:t>Employee Stock Option - Right to</w:t>
            </w:r>
          </w:p>
        </w:tc>
        <w:tc>
          <w:tcPr>
            <w:tcW w:w="1300" w:type="dxa"/>
            <w:vAlign w:val="bottom"/>
            <w:gridSpan w:val="2"/>
            <w:vMerge w:val="restart"/>
          </w:tcPr>
          <w:p>
            <w:pPr>
              <w:jc w:val="center"/>
              <w:ind w:left="255"/>
              <w:spacing w:after="0"/>
              <w:rPr>
                <w:sz w:val="20"/>
                <w:szCs w:val="20"/>
                <w:color w:val="auto"/>
              </w:rPr>
            </w:pPr>
            <w:r>
              <w:rPr>
                <w:rFonts w:ascii="Times New Roman" w:cs="Times New Roman" w:eastAsia="Times New Roman" w:hAnsi="Times New Roman"/>
                <w:sz w:val="13"/>
                <w:szCs w:val="13"/>
                <w:color w:val="008000"/>
                <w:w w:val="92"/>
              </w:rPr>
              <w:t>(7)</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03/03/2027</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jc w:val="center"/>
              <w:ind w:left="29"/>
              <w:spacing w:after="0"/>
              <w:rPr>
                <w:sz w:val="20"/>
                <w:szCs w:val="20"/>
                <w:color w:val="auto"/>
              </w:rPr>
            </w:pPr>
            <w:r>
              <w:rPr>
                <w:rFonts w:ascii="Times New Roman" w:cs="Times New Roman" w:eastAsia="Times New Roman" w:hAnsi="Times New Roman"/>
                <w:sz w:val="20"/>
                <w:szCs w:val="20"/>
                <w:color w:val="0000FF"/>
                <w:w w:val="97"/>
              </w:rPr>
              <w:t>4,421</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45.18</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7"/>
              </w:rPr>
              <w:t>Employee Stock Option - Right to</w:t>
            </w:r>
          </w:p>
        </w:tc>
        <w:tc>
          <w:tcPr>
            <w:tcW w:w="1300" w:type="dxa"/>
            <w:vAlign w:val="bottom"/>
            <w:gridSpan w:val="2"/>
            <w:vMerge w:val="restart"/>
          </w:tcPr>
          <w:p>
            <w:pPr>
              <w:jc w:val="center"/>
              <w:ind w:left="255"/>
              <w:spacing w:after="0"/>
              <w:rPr>
                <w:sz w:val="20"/>
                <w:szCs w:val="20"/>
                <w:color w:val="auto"/>
              </w:rPr>
            </w:pPr>
            <w:r>
              <w:rPr>
                <w:rFonts w:ascii="Times New Roman" w:cs="Times New Roman" w:eastAsia="Times New Roman" w:hAnsi="Times New Roman"/>
                <w:sz w:val="13"/>
                <w:szCs w:val="13"/>
                <w:color w:val="008000"/>
                <w:w w:val="92"/>
              </w:rPr>
              <w:t>(8)</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03/02/2028</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jc w:val="center"/>
              <w:ind w:left="29"/>
              <w:spacing w:after="0"/>
              <w:rPr>
                <w:sz w:val="20"/>
                <w:szCs w:val="20"/>
                <w:color w:val="auto"/>
              </w:rPr>
            </w:pPr>
            <w:r>
              <w:rPr>
                <w:rFonts w:ascii="Times New Roman" w:cs="Times New Roman" w:eastAsia="Times New Roman" w:hAnsi="Times New Roman"/>
                <w:sz w:val="20"/>
                <w:szCs w:val="20"/>
                <w:color w:val="0000FF"/>
                <w:w w:val="97"/>
              </w:rPr>
              <w:t>5,906</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40.97</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300" w:type="dxa"/>
            <w:vAlign w:val="bottom"/>
            <w:gridSpan w:val="2"/>
          </w:tcPr>
          <w:p>
            <w:pPr>
              <w:jc w:val="center"/>
              <w:ind w:left="255"/>
              <w:spacing w:after="0"/>
              <w:rPr>
                <w:sz w:val="20"/>
                <w:szCs w:val="20"/>
                <w:color w:val="auto"/>
              </w:rPr>
            </w:pPr>
            <w:r>
              <w:rPr>
                <w:rFonts w:ascii="Times New Roman" w:cs="Times New Roman" w:eastAsia="Times New Roman" w:hAnsi="Times New Roman"/>
                <w:sz w:val="13"/>
                <w:szCs w:val="13"/>
                <w:color w:val="008000"/>
                <w:w w:val="92"/>
              </w:rPr>
              <w:t>(9)</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(9)</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1,208</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0.00</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300" w:type="dxa"/>
            <w:vAlign w:val="bottom"/>
            <w:gridSpan w:val="2"/>
          </w:tcPr>
          <w:p>
            <w:pPr>
              <w:jc w:val="center"/>
              <w:ind w:left="255"/>
              <w:spacing w:after="0"/>
              <w:rPr>
                <w:sz w:val="20"/>
                <w:szCs w:val="20"/>
                <w:color w:val="auto"/>
              </w:rPr>
            </w:pPr>
            <w:r>
              <w:rPr>
                <w:rFonts w:ascii="Times New Roman" w:cs="Times New Roman" w:eastAsia="Times New Roman" w:hAnsi="Times New Roman"/>
                <w:sz w:val="13"/>
                <w:szCs w:val="13"/>
                <w:color w:val="008000"/>
              </w:rPr>
              <w:t>(10)</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(10)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6,040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0.00</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7"/>
              </w:rPr>
              <w:t>Employee Stock Option - Right to</w:t>
            </w:r>
          </w:p>
        </w:tc>
        <w:tc>
          <w:tcPr>
            <w:tcW w:w="1300" w:type="dxa"/>
            <w:vAlign w:val="bottom"/>
            <w:gridSpan w:val="2"/>
            <w:vMerge w:val="restart"/>
          </w:tcPr>
          <w:p>
            <w:pPr>
              <w:jc w:val="center"/>
              <w:ind w:left="235"/>
              <w:spacing w:after="0"/>
              <w:rPr>
                <w:sz w:val="20"/>
                <w:szCs w:val="20"/>
                <w:color w:val="auto"/>
              </w:rPr>
            </w:pPr>
            <w:r>
              <w:rPr>
                <w:rFonts w:ascii="Times New Roman" w:cs="Times New Roman" w:eastAsia="Times New Roman" w:hAnsi="Times New Roman"/>
                <w:sz w:val="13"/>
                <w:szCs w:val="13"/>
                <w:color w:val="008000"/>
                <w:w w:val="92"/>
              </w:rPr>
              <w:t>(11)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03/01/2029</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jc w:val="center"/>
              <w:ind w:left="29"/>
              <w:spacing w:after="0"/>
              <w:rPr>
                <w:sz w:val="20"/>
                <w:szCs w:val="20"/>
                <w:color w:val="auto"/>
              </w:rPr>
            </w:pPr>
            <w:r>
              <w:rPr>
                <w:rFonts w:ascii="Times New Roman" w:cs="Times New Roman" w:eastAsia="Times New Roman" w:hAnsi="Times New Roman"/>
                <w:sz w:val="20"/>
                <w:szCs w:val="20"/>
                <w:color w:val="0000FF"/>
                <w:w w:val="97"/>
              </w:rPr>
              <w:t>4,693</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27.45</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6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740" w:type="dxa"/>
            <w:vAlign w:val="bottom"/>
            <w:tcBorders>
              <w:bottom w:val="single" w:sz="8" w:color="808080"/>
            </w:tcBorders>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-5916930</wp:posOffset>
            </wp:positionV>
            <wp:extent cx="6946900" cy="5955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5955665"/>
                    </a:xfrm>
                    <a:prstGeom prst="rect">
                      <a:avLst/>
                    </a:prstGeom>
                    <a:noFill/>
                  </pic:spPr>
                </pic:pic>
              </a:graphicData>
            </a:graphic>
          </wp:anchor>
        </w:drawing>
      </w:r>
    </w:p>
    <w:p>
      <w:pPr>
        <w:sectPr>
          <w:pgSz w:w="11900" w:h="16847" w:orient="portrait"/>
          <w:cols w:equalWidth="0" w:num="1">
            <w:col w:w="10940"/>
          </w:cols>
          <w:pgMar w:left="480" w:top="230" w:right="4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2811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2811145"/>
                    </a:xfrm>
                    <a:prstGeom prst="rect">
                      <a:avLst/>
                    </a:prstGeom>
                    <a:noFill/>
                  </pic:spPr>
                </pic:pic>
              </a:graphicData>
            </a:graphic>
          </wp:anchor>
        </w:drawing>
        <w:t>Table II - Derivative Securities Beneficially Owned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840" w:type="dxa"/>
            <w:vAlign w:val="bottom"/>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tcPr>
          <w:p>
            <w:pPr>
              <w:jc w:val="right"/>
              <w:ind w:right="311"/>
              <w:spacing w:after="0"/>
              <w:rPr>
                <w:sz w:val="20"/>
                <w:szCs w:val="20"/>
                <w:color w:val="auto"/>
              </w:rPr>
            </w:pPr>
            <w:r>
              <w:rPr>
                <w:rFonts w:ascii="Times New Roman" w:cs="Times New Roman" w:eastAsia="Times New Roman" w:hAnsi="Times New Roman"/>
                <w:sz w:val="13"/>
                <w:szCs w:val="13"/>
                <w:color w:val="008000"/>
              </w:rPr>
              <w:t>(12)</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(12)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7"/>
              </w:rPr>
              <w:t>5,239</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0.00</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tcPr>
          <w:p>
            <w:pPr>
              <w:jc w:val="right"/>
              <w:ind w:right="311"/>
              <w:spacing w:after="0"/>
              <w:rPr>
                <w:sz w:val="20"/>
                <w:szCs w:val="20"/>
                <w:color w:val="auto"/>
              </w:rPr>
            </w:pPr>
            <w:r>
              <w:rPr>
                <w:rFonts w:ascii="Times New Roman" w:cs="Times New Roman" w:eastAsia="Times New Roman" w:hAnsi="Times New Roman"/>
                <w:sz w:val="13"/>
                <w:szCs w:val="13"/>
                <w:color w:val="008000"/>
              </w:rPr>
              <w:t>(13)</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(13)</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7"/>
              </w:rPr>
              <w:t>9,822</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0.00</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 Right to</w:t>
            </w:r>
          </w:p>
        </w:tc>
        <w:tc>
          <w:tcPr>
            <w:tcW w:w="980" w:type="dxa"/>
            <w:vAlign w:val="bottom"/>
            <w:vMerge w:val="restart"/>
          </w:tcPr>
          <w:p>
            <w:pPr>
              <w:jc w:val="right"/>
              <w:ind w:right="311"/>
              <w:spacing w:after="0"/>
              <w:rPr>
                <w:sz w:val="20"/>
                <w:szCs w:val="20"/>
                <w:color w:val="auto"/>
              </w:rPr>
            </w:pPr>
            <w:r>
              <w:rPr>
                <w:rFonts w:ascii="Times New Roman" w:cs="Times New Roman" w:eastAsia="Times New Roman" w:hAnsi="Times New Roman"/>
                <w:sz w:val="13"/>
                <w:szCs w:val="13"/>
                <w:color w:val="008000"/>
              </w:rPr>
              <w:t>(14)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03/02/2030</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jc w:val="center"/>
              <w:ind w:left="34"/>
              <w:spacing w:after="0"/>
              <w:rPr>
                <w:sz w:val="20"/>
                <w:szCs w:val="20"/>
                <w:color w:val="auto"/>
              </w:rPr>
            </w:pPr>
            <w:r>
              <w:rPr>
                <w:rFonts w:ascii="Times New Roman" w:cs="Times New Roman" w:eastAsia="Times New Roman" w:hAnsi="Times New Roman"/>
                <w:sz w:val="20"/>
                <w:szCs w:val="20"/>
                <w:color w:val="0000FF"/>
                <w:w w:val="97"/>
              </w:rPr>
              <w:t>7,381</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17.48</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tcPr>
          <w:p>
            <w:pPr>
              <w:jc w:val="right"/>
              <w:ind w:right="311"/>
              <w:spacing w:after="0"/>
              <w:rPr>
                <w:sz w:val="20"/>
                <w:szCs w:val="20"/>
                <w:color w:val="auto"/>
              </w:rPr>
            </w:pPr>
            <w:r>
              <w:rPr>
                <w:rFonts w:ascii="Times New Roman" w:cs="Times New Roman" w:eastAsia="Times New Roman" w:hAnsi="Times New Roman"/>
                <w:sz w:val="13"/>
                <w:szCs w:val="13"/>
                <w:color w:val="008000"/>
              </w:rPr>
              <w:t>(15)</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(15)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14"/>
              <w:spacing w:after="0"/>
              <w:rPr>
                <w:sz w:val="20"/>
                <w:szCs w:val="20"/>
                <w:color w:val="auto"/>
              </w:rPr>
            </w:pPr>
            <w:r>
              <w:rPr>
                <w:rFonts w:ascii="Times New Roman" w:cs="Times New Roman" w:eastAsia="Times New Roman" w:hAnsi="Times New Roman"/>
                <w:sz w:val="20"/>
                <w:szCs w:val="20"/>
                <w:color w:val="0000FF"/>
                <w:w w:val="98"/>
              </w:rPr>
              <w:t>13,730</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0.00</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tcPr>
          <w:p>
            <w:pPr>
              <w:jc w:val="right"/>
              <w:ind w:right="311"/>
              <w:spacing w:after="0"/>
              <w:rPr>
                <w:sz w:val="20"/>
                <w:szCs w:val="20"/>
                <w:color w:val="auto"/>
              </w:rPr>
            </w:pPr>
            <w:r>
              <w:rPr>
                <w:rFonts w:ascii="Times New Roman" w:cs="Times New Roman" w:eastAsia="Times New Roman" w:hAnsi="Times New Roman"/>
                <w:sz w:val="13"/>
                <w:szCs w:val="13"/>
                <w:color w:val="008000"/>
              </w:rPr>
              <w:t>(16)</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(16)</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14"/>
              <w:spacing w:after="0"/>
              <w:rPr>
                <w:sz w:val="20"/>
                <w:szCs w:val="20"/>
                <w:color w:val="auto"/>
              </w:rPr>
            </w:pPr>
            <w:r>
              <w:rPr>
                <w:rFonts w:ascii="Times New Roman" w:cs="Times New Roman" w:eastAsia="Times New Roman" w:hAnsi="Times New Roman"/>
                <w:sz w:val="20"/>
                <w:szCs w:val="20"/>
                <w:color w:val="0000FF"/>
                <w:w w:val="98"/>
              </w:rPr>
              <w:t>17,163</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0.00</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-1550035</wp:posOffset>
            </wp:positionV>
            <wp:extent cx="6927850" cy="13912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27850" cy="1391285"/>
                    </a:xfrm>
                    <a:prstGeom prst="rect">
                      <a:avLst/>
                    </a:prstGeom>
                    <a:noFill/>
                  </pic:spPr>
                </pic:pic>
              </a:graphicData>
            </a:graphic>
          </wp:anchor>
        </w:drawing>
      </w: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vested on March 2, 2014.</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vested on February 22, 2015.</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vested on March 6, 2016.</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vested on March 5, 2017.</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vested on March 4, 2018.</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vested on February 17, 2019.</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vested on March 3, 2020.</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1,969 of these options vested on March 2, 2019, 1,968 vested on March 2, 2020 and 1,969 will vest on March 2, 2021.</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stock unit (RSU) represents the right to receive one share of common stock of Viatris Inc. ("Viatris"). These RSUs will vest on March 2, 2021.</w:t>
      </w:r>
    </w:p>
    <w:p>
      <w:pPr>
        <w:spacing w:after="0" w:line="52" w:lineRule="exact"/>
        <w:rPr>
          <w:rFonts w:ascii="Times New Roman" w:cs="Times New Roman" w:eastAsia="Times New Roman" w:hAnsi="Times New Roman"/>
          <w:sz w:val="15"/>
          <w:szCs w:val="15"/>
          <w:color w:val="008000"/>
        </w:rPr>
      </w:pPr>
    </w:p>
    <w:p>
      <w:pPr>
        <w:ind w:left="280" w:hanging="235"/>
        <w:spacing w:after="0"/>
        <w:tabs>
          <w:tab w:leader="none" w:pos="2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the right to receive one share of common stock of Viatris Inc. These RSUs will vest in full on March 2, 2021.</w:t>
      </w:r>
    </w:p>
    <w:p>
      <w:pPr>
        <w:spacing w:after="0" w:line="52" w:lineRule="exact"/>
        <w:rPr>
          <w:rFonts w:ascii="Times New Roman" w:cs="Times New Roman" w:eastAsia="Times New Roman" w:hAnsi="Times New Roman"/>
          <w:sz w:val="15"/>
          <w:szCs w:val="15"/>
          <w:color w:val="008000"/>
        </w:rPr>
      </w:pPr>
    </w:p>
    <w:p>
      <w:pPr>
        <w:ind w:left="260" w:hanging="215"/>
        <w:spacing w:after="0"/>
        <w:tabs>
          <w:tab w:leader="none" w:pos="2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1,564 of these options vested on March 2, 2020, 1,564 will vest on March 2, 2021 and 1,565 will vest on March 2, 2022.</w:t>
      </w:r>
    </w:p>
    <w:p>
      <w:pPr>
        <w:spacing w:after="0" w:line="52" w:lineRule="exact"/>
        <w:rPr>
          <w:rFonts w:ascii="Times New Roman" w:cs="Times New Roman" w:eastAsia="Times New Roman" w:hAnsi="Times New Roman"/>
          <w:sz w:val="15"/>
          <w:szCs w:val="15"/>
          <w:color w:val="008000"/>
        </w:rPr>
      </w:pPr>
    </w:p>
    <w:p>
      <w:pPr>
        <w:ind w:left="280" w:hanging="235"/>
        <w:spacing w:after="0"/>
        <w:tabs>
          <w:tab w:leader="none" w:pos="2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the right to receive one share of common stock of Viatris. 2,619 of the RSUs will vest on March 2, 2021 and 2,620 will vest on March 2, 2022.</w:t>
      </w:r>
    </w:p>
    <w:p>
      <w:pPr>
        <w:spacing w:after="0" w:line="52" w:lineRule="exact"/>
        <w:rPr>
          <w:rFonts w:ascii="Times New Roman" w:cs="Times New Roman" w:eastAsia="Times New Roman" w:hAnsi="Times New Roman"/>
          <w:sz w:val="15"/>
          <w:szCs w:val="15"/>
          <w:color w:val="008000"/>
        </w:rPr>
      </w:pPr>
    </w:p>
    <w:p>
      <w:pPr>
        <w:ind w:left="280" w:hanging="235"/>
        <w:spacing w:after="0"/>
        <w:tabs>
          <w:tab w:leader="none" w:pos="2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the right to receive one share of common stock of Viatris. These RSUs will vest in full on March 2, 2022.</w:t>
      </w:r>
    </w:p>
    <w:p>
      <w:pPr>
        <w:spacing w:after="0" w:line="52" w:lineRule="exact"/>
        <w:rPr>
          <w:rFonts w:ascii="Times New Roman" w:cs="Times New Roman" w:eastAsia="Times New Roman" w:hAnsi="Times New Roman"/>
          <w:sz w:val="15"/>
          <w:szCs w:val="15"/>
          <w:color w:val="008000"/>
        </w:rPr>
      </w:pPr>
    </w:p>
    <w:p>
      <w:pPr>
        <w:ind w:left="280" w:hanging="235"/>
        <w:spacing w:after="0"/>
        <w:tabs>
          <w:tab w:leader="none" w:pos="2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2,461 of these options will vest on March 2, 2021 and 2,460 will vest on each of March 2, 2022 and March 2, 2023.</w:t>
      </w:r>
    </w:p>
    <w:p>
      <w:pPr>
        <w:spacing w:after="0" w:line="52" w:lineRule="exact"/>
        <w:rPr>
          <w:rFonts w:ascii="Times New Roman" w:cs="Times New Roman" w:eastAsia="Times New Roman" w:hAnsi="Times New Roman"/>
          <w:sz w:val="15"/>
          <w:szCs w:val="15"/>
          <w:color w:val="008000"/>
        </w:rPr>
      </w:pPr>
    </w:p>
    <w:p>
      <w:pPr>
        <w:ind w:left="40" w:right="280" w:firstLine="5"/>
        <w:spacing w:after="0" w:line="259" w:lineRule="auto"/>
        <w:tabs>
          <w:tab w:leader="none" w:pos="265"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the right to receive one share of common stock of Viatris. 4,577 of these RSUs will vest on March 2, 2021, 4,576 will vest on March 2, 2022 and 4,577 will vest on March 2, 2023.</w:t>
      </w:r>
    </w:p>
    <w:p>
      <w:pPr>
        <w:spacing w:after="0" w:line="17" w:lineRule="exact"/>
        <w:rPr>
          <w:rFonts w:ascii="Times New Roman" w:cs="Times New Roman" w:eastAsia="Times New Roman" w:hAnsi="Times New Roman"/>
          <w:sz w:val="15"/>
          <w:szCs w:val="15"/>
          <w:color w:val="008000"/>
        </w:rPr>
      </w:pPr>
    </w:p>
    <w:p>
      <w:pPr>
        <w:ind w:left="280" w:hanging="235"/>
        <w:spacing w:after="0"/>
        <w:tabs>
          <w:tab w:leader="none" w:pos="2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the right to receive one share of common stock of Viatris. These RSUs will vest in full on March 2, 2023.</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008000"/>
        </w:rPr>
        <w:t>President, JANZ (Japan, Australia and New Zealand) Exhibit 24 - Power of Attorney</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Kevin Macikowski, by</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03/04/2021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power of attorney</w:t>
            </w:r>
          </w:p>
        </w:tc>
        <w:tc>
          <w:tcPr>
            <w:tcW w:w="80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192" w:right="479" w:bottom="1440" w:gutter="0" w:footer="0" w:header="0"/>
        </w:sectPr>
      </w:pPr>
    </w:p>
    <w:bookmarkStart w:id="2" w:name="page3"/>
    <w:bookmarkEnd w:id="2"/>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739" w:firstLine="468"/>
        <w:spacing w:after="0" w:line="293" w:lineRule="auto"/>
        <w:rPr>
          <w:sz w:val="20"/>
          <w:szCs w:val="20"/>
          <w:color w:val="auto"/>
        </w:rPr>
      </w:pPr>
      <w:r>
        <w:rPr>
          <w:rFonts w:ascii="Courier New" w:cs="Courier New" w:eastAsia="Courier New" w:hAnsi="Courier New"/>
          <w:sz w:val="20"/>
          <w:szCs w:val="20"/>
          <w:color w:val="auto"/>
        </w:rPr>
        <w:t>The undersigned hereby appoints each of Brian S. Roman, Thomas D. Salus and Kevin D. Macikowski, or any of them signing singly, and with full power of substitution, the undersigned's true and lawful attorney-in-fact to:</w:t>
      </w:r>
    </w:p>
    <w:p>
      <w:pPr>
        <w:spacing w:after="0" w:line="71" w:lineRule="exact"/>
        <w:rPr>
          <w:sz w:val="20"/>
          <w:szCs w:val="20"/>
          <w:color w:val="auto"/>
        </w:rPr>
      </w:pPr>
    </w:p>
    <w:p>
      <w:pPr>
        <w:ind w:left="1180" w:right="619" w:hanging="712"/>
        <w:spacing w:after="0" w:line="254" w:lineRule="auto"/>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107" w:lineRule="exact"/>
        <w:rPr>
          <w:rFonts w:ascii="Courier New" w:cs="Courier New" w:eastAsia="Courier New" w:hAnsi="Courier New"/>
          <w:sz w:val="20"/>
          <w:szCs w:val="20"/>
          <w:color w:val="auto"/>
        </w:rPr>
      </w:pPr>
    </w:p>
    <w:p>
      <w:pPr>
        <w:ind w:left="1180" w:right="739" w:hanging="712"/>
        <w:spacing w:after="0" w:line="256" w:lineRule="auto"/>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109" w:lineRule="exact"/>
        <w:rPr>
          <w:rFonts w:ascii="Courier New" w:cs="Courier New" w:eastAsia="Courier New" w:hAnsi="Courier New"/>
          <w:sz w:val="20"/>
          <w:szCs w:val="20"/>
          <w:color w:val="auto"/>
        </w:rPr>
      </w:pPr>
    </w:p>
    <w:p>
      <w:pPr>
        <w:ind w:left="1180" w:right="839" w:hanging="712"/>
        <w:spacing w:after="0" w:line="265" w:lineRule="auto"/>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99" w:lineRule="exact"/>
        <w:rPr>
          <w:rFonts w:ascii="Courier New" w:cs="Courier New" w:eastAsia="Courier New" w:hAnsi="Courier New"/>
          <w:sz w:val="20"/>
          <w:szCs w:val="20"/>
          <w:color w:val="auto"/>
        </w:rPr>
      </w:pPr>
    </w:p>
    <w:p>
      <w:pPr>
        <w:ind w:left="1180" w:right="839" w:hanging="712"/>
        <w:spacing w:after="0" w:line="254" w:lineRule="auto"/>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8" w:lineRule="exact"/>
        <w:rPr>
          <w:sz w:val="20"/>
          <w:szCs w:val="20"/>
          <w:color w:val="auto"/>
        </w:rPr>
      </w:pPr>
    </w:p>
    <w:p>
      <w:pPr>
        <w:ind w:right="619" w:firstLine="468"/>
        <w:spacing w:after="0" w:line="27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 in-fact, in serving in such capacity at the request of the undersigned, are not assuming, nor is the Company assuming, any of the undersigned's responsibilities to comply with Section 16 of the Exchange Act and the rules thereunder.</w:t>
      </w:r>
    </w:p>
    <w:p>
      <w:pPr>
        <w:spacing w:after="0" w:line="92" w:lineRule="exact"/>
        <w:rPr>
          <w:sz w:val="20"/>
          <w:szCs w:val="20"/>
          <w:color w:val="auto"/>
        </w:rPr>
      </w:pPr>
    </w:p>
    <w:p>
      <w:pPr>
        <w:ind w:right="739" w:firstLine="468"/>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739" w:firstLine="468"/>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1st day of March, 2021.</w:t>
      </w:r>
    </w:p>
    <w:p>
      <w:pPr>
        <w:spacing w:after="0" w:line="18" w:lineRule="exact"/>
        <w:rPr>
          <w:sz w:val="20"/>
          <w:szCs w:val="20"/>
          <w:color w:val="auto"/>
        </w:rPr>
      </w:pPr>
    </w:p>
    <w:p>
      <w:pPr>
        <w:jc w:val="center"/>
        <w:ind w:left="1000"/>
        <w:spacing w:after="0"/>
        <w:rPr>
          <w:sz w:val="20"/>
          <w:szCs w:val="20"/>
          <w:color w:val="auto"/>
        </w:rPr>
      </w:pPr>
      <w:r>
        <w:rPr>
          <w:rFonts w:ascii="Courier New" w:cs="Courier New" w:eastAsia="Courier New" w:hAnsi="Courier New"/>
          <w:sz w:val="20"/>
          <w:szCs w:val="20"/>
          <w:color w:val="auto"/>
        </w:rPr>
        <w:t>/s/ Andrew Cuneo</w:t>
      </w:r>
    </w:p>
    <w:p>
      <w:pPr>
        <w:spacing w:after="0" w:line="33"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w:t>
      </w:r>
    </w:p>
    <w:p>
      <w:pPr>
        <w:ind w:left="5380"/>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ind w:left="5160"/>
        <w:spacing w:after="0"/>
        <w:rPr>
          <w:sz w:val="20"/>
          <w:szCs w:val="20"/>
          <w:color w:val="auto"/>
        </w:rPr>
      </w:pPr>
      <w:r>
        <w:rPr>
          <w:rFonts w:ascii="Courier New" w:cs="Courier New" w:eastAsia="Courier New" w:hAnsi="Courier New"/>
          <w:sz w:val="20"/>
          <w:szCs w:val="20"/>
          <w:color w:val="auto"/>
        </w:rPr>
        <w:t>Andrew Cuneo</w:t>
      </w:r>
    </w:p>
    <w:p>
      <w:pPr>
        <w:spacing w:after="0" w:line="33"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w:t>
      </w:r>
    </w:p>
    <w:p>
      <w:pPr>
        <w:ind w:left="526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06" w:right="1440" w:bottom="59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848186"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2021-03-04T17:32:07Z</dcterms:created>
  <dcterms:modified xsi:type="dcterms:W3CDTF">2021-03-04T17:32:07Z</dcterms:modified>
</cp:coreProperties>
</file>