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6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-229235</wp:posOffset>
            </wp:positionV>
            <wp:extent cx="127635" cy="127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" cy="127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624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5231765</wp:posOffset>
            </wp:positionH>
            <wp:positionV relativeFrom="paragraph">
              <wp:posOffset>-610870</wp:posOffset>
            </wp:positionV>
            <wp:extent cx="57150" cy="624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3945890</wp:posOffset>
            </wp:positionH>
            <wp:positionV relativeFrom="paragraph">
              <wp:posOffset>-610870</wp:posOffset>
            </wp:positionV>
            <wp:extent cx="57150" cy="6242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12700</wp:posOffset>
            </wp:positionV>
            <wp:extent cx="7047865" cy="4090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090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420"/>
            <w:col w:w="846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KORMAN HARRY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1000 MYLAN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Viatris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VTRS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09/22/2021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2" w:right="700" w:firstLine="2"/>
        <w:spacing w:after="0" w:line="231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8"/>
        <w:spacing w:after="0"/>
        <w:tabs>
          <w:tab w:leader="none" w:pos="517" w:val="left"/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38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2" w:space="720"/>
            <w:col w:w="3358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3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0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CANONSBURG PA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15317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9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5"/>
              </w:rPr>
              <w:t>113.2715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Equivalent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2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09/22/2021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113.2715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214.4252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Represents dividend equivalent units ("DEUs") that accrued with respect to restricted stock units ("RSUs") previously granted on March 2, 2021 and vest on the same schedule as the underlying RSUs.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ind w:left="660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Kevin Macikowski, by power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09/24/2021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-26035</wp:posOffset>
            </wp:positionV>
            <wp:extent cx="13576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7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-15875</wp:posOffset>
            </wp:positionV>
            <wp:extent cx="4527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7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-79375</wp:posOffset>
            </wp:positionV>
            <wp:extent cx="4730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both"/>
        <w:ind w:left="40" w:right="3780" w:hanging="2"/>
        <w:spacing w:after="0" w:line="324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7548" TargetMode="External"/><Relationship Id="rId13" Type="http://schemas.openxmlformats.org/officeDocument/2006/relationships/hyperlink" Target="http://www.sec.gov/cgi-bin/browse-edgar?action=getcompany&amp;CIK=00017920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2021-09-24T18:07:29Z</dcterms:created>
  <dcterms:modified xsi:type="dcterms:W3CDTF">2021-09-24T18:07:29Z</dcterms:modified>
</cp:coreProperties>
</file>