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12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1200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Ni Xiangyang (Sean)</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03/21/2022</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6"/>
          <w:szCs w:val="16"/>
          <w:color w:val="0000FF"/>
        </w:rPr>
        <w:t>President, Greater China</w:t>
      </w:r>
    </w:p>
    <w:p>
      <w:pPr>
        <w:spacing w:after="0" w:line="3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CANONSBURG PA</w:t>
            </w:r>
          </w:p>
        </w:tc>
        <w:tc>
          <w:tcPr>
            <w:tcW w:w="160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33.7266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03/21/2022</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33.7266</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101.855</w:t>
            </w:r>
          </w:p>
        </w:tc>
        <w:tc>
          <w:tcPr>
            <w:tcW w:w="700" w:type="dxa"/>
            <w:vAlign w:val="bottom"/>
            <w:vMerge w:val="restart"/>
          </w:tcPr>
          <w:p>
            <w:pPr>
              <w:ind w:left="30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144.8397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03/21/2022</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144.8397</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8"/>
              </w:rPr>
              <w:t>437.5479</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705.1714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03/21/2022</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705.1714</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6"/>
              </w:rPr>
              <w:t>2,130.2595</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255.2668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03/21/2022</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255.2668</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2" w:lineRule="exact"/>
              <w:rPr>
                <w:sz w:val="20"/>
                <w:szCs w:val="20"/>
                <w:color w:val="auto"/>
              </w:rPr>
            </w:pPr>
            <w:r>
              <w:rPr>
                <w:rFonts w:ascii="Arial" w:cs="Arial" w:eastAsia="Arial" w:hAnsi="Arial"/>
                <w:sz w:val="13"/>
                <w:szCs w:val="13"/>
                <w:color w:val="0000FF"/>
                <w:w w:val="88"/>
              </w:rPr>
              <w:t>599.2668</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Represents dividend equivalent units (DEUs) that accrued with respect to the 2,852 restricted stock units (RSUs) previously granted on November 16, 2020 and vest on the same schedule as the underlying RSUs.</w:t>
      </w:r>
    </w:p>
    <w:p>
      <w:pPr>
        <w:spacing w:after="0" w:line="73" w:lineRule="exact"/>
        <w:rPr>
          <w:rFonts w:ascii="Arial" w:cs="Arial" w:eastAsia="Arial" w:hAnsi="Arial"/>
          <w:sz w:val="10"/>
          <w:szCs w:val="10"/>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the 12,248 RSUs previously granted on November 16,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November 23,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March 2, 2021 and vest on the same schedule as the remaining unvested RSUs.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03/23/2022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881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2022-03-23T18:03:05Z</dcterms:created>
  <dcterms:modified xsi:type="dcterms:W3CDTF">2022-03-23T18:03:05Z</dcterms:modified>
</cp:coreProperties>
</file>