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center"/>
        <w:rPr>
          <w:rFonts w:ascii="Times New Roman" w:hAnsi="Times New Roman"/>
          <w:b/>
          <w:sz w:val="20"/>
        </w:rPr>
      </w:pPr>
      <w:r>
        <w:rPr>
          <w:rFonts w:ascii="Times New Roman" w:hAnsi="Times New Roman"/>
          <w:b/>
          <w:sz w:val="20"/>
        </w:rPr>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center"/>
        <w:rPr>
          <w:rFonts w:ascii="Times New Roman" w:hAnsi="Times New Roman"/>
          <w:b/>
          <w:sz w:val="20"/>
        </w:rPr>
      </w:pPr>
      <w:r>
        <w:rPr>
          <w:rFonts w:ascii="Times New Roman" w:hAnsi="Times New Roman"/>
          <w:b/>
          <w:sz w:val="20"/>
        </w:rPr>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of the Securities Exchange Act of 1934</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May 15, 2026</w:t>
      </w:r>
    </w:p>
    <w:p>
      <w:pPr>
        <w:pStyle w:val="TextBody"/>
        <w:bidi w:val="0"/>
        <w:spacing w:before="0" w:after="0"/>
        <w:jc w:val="center"/>
        <w:rPr>
          <w:rFonts w:ascii="Times New Roman" w:hAnsi="Times New Roman"/>
          <w:b/>
          <w:sz w:val="20"/>
        </w:rPr>
      </w:pPr>
      <w:r>
        <w:rPr>
          <w:rFonts w:ascii="Times New Roman" w:hAnsi="Times New Roman"/>
          <w:b/>
          <w:sz w:val="20"/>
        </w:rPr>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VIATRIS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center"/>
        <w:rPr>
          <w:rFonts w:ascii="Times New Roman" w:hAnsi="Times New Roman"/>
          <w:b/>
          <w:sz w:val="20"/>
        </w:rPr>
      </w:pPr>
      <w:r>
        <w:rPr>
          <w:rFonts w:ascii="Times New Roman" w:hAnsi="Times New Roman"/>
          <w:b/>
          <w:sz w:val="20"/>
        </w:rPr>
      </w:r>
    </w:p>
    <w:p>
      <w:pPr>
        <w:pStyle w:val="HorizontalLine"/>
        <w:bidi w:val="0"/>
        <w:jc w:val="left"/>
        <w:rPr/>
      </w:pPr>
      <w:r>
        <w:rPr/>
      </w:r>
    </w:p>
    <w:p>
      <w:pPr>
        <w:pStyle w:val="TextBody"/>
        <w:bidi w:val="0"/>
        <w:spacing w:before="0" w:after="0"/>
        <w:jc w:val="left"/>
        <w:rPr>
          <w:sz w:val="20"/>
        </w:rPr>
      </w:pPr>
      <w:r>
        <w:rPr>
          <w:sz w:val="20"/>
        </w:rPr>
      </w:r>
    </w:p>
    <w:tbl>
      <w:tblPr>
        <w:tblW w:w="9165" w:type="dxa"/>
        <w:jc w:val="left"/>
        <w:tblInd w:w="0" w:type="dxa"/>
        <w:tblLayout w:type="fixed"/>
        <w:tblCellMar>
          <w:top w:w="0" w:type="dxa"/>
          <w:left w:w="0" w:type="dxa"/>
          <w:bottom w:w="0" w:type="dxa"/>
          <w:right w:w="0" w:type="dxa"/>
        </w:tblCellMar>
      </w:tblPr>
      <w:tblGrid>
        <w:gridCol w:w="3860"/>
        <w:gridCol w:w="2300"/>
        <w:gridCol w:w="3005"/>
      </w:tblGrid>
      <w:tr>
        <w:trPr/>
        <w:tc>
          <w:tcPr>
            <w:tcW w:w="386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Delaware</w:t>
            </w:r>
          </w:p>
        </w:tc>
        <w:tc>
          <w:tcPr>
            <w:tcW w:w="2300" w:type="dxa"/>
            <w:tcBorders/>
            <w:vAlign w:val="center"/>
          </w:tcPr>
          <w:p>
            <w:pPr>
              <w:pStyle w:val="TableContents"/>
              <w:bidi w:val="0"/>
              <w:spacing w:before="0" w:after="283"/>
              <w:jc w:val="center"/>
              <w:rPr>
                <w:rFonts w:ascii="Times New Roman" w:hAnsi="Times New Roman"/>
                <w:b/>
                <w:sz w:val="20"/>
              </w:rPr>
            </w:pPr>
            <w:r>
              <w:rPr>
                <w:rFonts w:ascii="Times New Roman" w:hAnsi="Times New Roman"/>
                <w:b/>
                <w:sz w:val="20"/>
              </w:rPr>
              <w:t>001-39695</w:t>
            </w:r>
          </w:p>
        </w:tc>
        <w:tc>
          <w:tcPr>
            <w:tcW w:w="300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83-4364296</w:t>
            </w:r>
          </w:p>
        </w:tc>
      </w:tr>
      <w:tr>
        <w:trPr/>
        <w:tc>
          <w:tcPr>
            <w:tcW w:w="386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(State or Other Jurisdiction of Incorporation)</w:t>
            </w:r>
          </w:p>
        </w:tc>
        <w:tc>
          <w:tcPr>
            <w:tcW w:w="2300" w:type="dxa"/>
            <w:tcBorders/>
            <w:vAlign w:val="center"/>
          </w:tcPr>
          <w:p>
            <w:pPr>
              <w:pStyle w:val="TableContents"/>
              <w:bidi w:val="0"/>
              <w:spacing w:before="0" w:after="283"/>
              <w:jc w:val="center"/>
              <w:rPr>
                <w:rFonts w:ascii="Times New Roman" w:hAnsi="Times New Roman"/>
                <w:b/>
                <w:sz w:val="20"/>
              </w:rPr>
            </w:pPr>
            <w:r>
              <w:rPr>
                <w:rFonts w:ascii="Times New Roman" w:hAnsi="Times New Roman"/>
                <w:b/>
                <w:sz w:val="20"/>
              </w:rPr>
              <w:t>(Commission File Number)</w:t>
            </w:r>
          </w:p>
        </w:tc>
        <w:tc>
          <w:tcPr>
            <w:tcW w:w="300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(I.R.S. Employer Identification No.)</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1000 Mylan Boulevard, Canonsburg, Pennsylvania, 15317</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(Address of Principal Executive Offices)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Registrant’s telephone number, including area code: (724) 514-1800</w:t>
      </w:r>
    </w:p>
    <w:p>
      <w:pPr>
        <w:pStyle w:val="TextBody"/>
        <w:bidi w:val="0"/>
        <w:spacing w:before="0" w:after="0"/>
        <w:jc w:val="center"/>
        <w:rPr>
          <w:rFonts w:ascii="Times New Roman" w:hAnsi="Times New Roman"/>
          <w:b/>
          <w:sz w:val="20"/>
        </w:rPr>
      </w:pPr>
      <w:r>
        <w:rPr>
          <w:rFonts w:ascii="Times New Roman" w:hAnsi="Times New Roman"/>
          <w:b/>
          <w:sz w:val="20"/>
        </w:rPr>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rFonts w:ascii="Times New Roman" w:hAnsi="Times New Roman"/>
          <w:sz w:val="20"/>
        </w:rPr>
      </w:pPr>
      <w:r>
        <w:rPr>
          <w:rFonts w:ascii="Times New Roman" w:hAnsi="Times New Roman"/>
          <w:sz w:val="20"/>
        </w:rPr>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9415" w:type="dxa"/>
        <w:jc w:val="left"/>
        <w:tblInd w:w="0" w:type="dxa"/>
        <w:tblLayout w:type="fixed"/>
        <w:tblCellMar>
          <w:top w:w="0" w:type="dxa"/>
          <w:left w:w="0" w:type="dxa"/>
          <w:bottom w:w="0" w:type="dxa"/>
          <w:right w:w="0" w:type="dxa"/>
        </w:tblCellMar>
      </w:tblPr>
      <w:tblGrid>
        <w:gridCol w:w="75"/>
        <w:gridCol w:w="230"/>
        <w:gridCol w:w="911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 (b))</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 (c)) Securities registered pursuant to Section 12(b) of the Act:</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6675" w:type="dxa"/>
        <w:jc w:val="left"/>
        <w:tblInd w:w="0" w:type="dxa"/>
        <w:tblLayout w:type="fixed"/>
        <w:tblCellMar>
          <w:top w:w="0" w:type="dxa"/>
          <w:left w:w="0" w:type="dxa"/>
          <w:bottom w:w="0" w:type="dxa"/>
          <w:right w:w="0" w:type="dxa"/>
        </w:tblCellMar>
      </w:tblPr>
      <w:tblGrid>
        <w:gridCol w:w="3395"/>
        <w:gridCol w:w="60"/>
        <w:gridCol w:w="860"/>
        <w:gridCol w:w="60"/>
        <w:gridCol w:w="2300"/>
      </w:tblGrid>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Trading</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Name of each exchange</w:t>
            </w:r>
          </w:p>
        </w:tc>
      </w:tr>
      <w:tr>
        <w:trPr/>
        <w:tc>
          <w:tcPr>
            <w:tcW w:w="3395"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Title of each class</w:t>
            </w:r>
          </w:p>
        </w:tc>
        <w:tc>
          <w:tcPr>
            <w:tcW w:w="60" w:type="dxa"/>
            <w:tcBorders/>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Symbol(s)</w:t>
            </w:r>
          </w:p>
        </w:tc>
        <w:tc>
          <w:tcPr>
            <w:tcW w:w="60" w:type="dxa"/>
            <w:tcBorders/>
            <w:vAlign w:val="center"/>
          </w:tcPr>
          <w:p>
            <w:pPr>
              <w:pStyle w:val="TableContents"/>
              <w:bidi w:val="0"/>
              <w:spacing w:before="0" w:after="283"/>
              <w:jc w:val="left"/>
              <w:rPr/>
            </w:pPr>
            <w:r>
              <w:rPr/>
              <w:t> </w:t>
            </w:r>
          </w:p>
        </w:tc>
        <w:tc>
          <w:tcPr>
            <w:tcW w:w="2300"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on which registered</w:t>
            </w:r>
          </w:p>
        </w:tc>
      </w:tr>
      <w:tr>
        <w:trPr/>
        <w:tc>
          <w:tcPr>
            <w:tcW w:w="339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Common Stock, par value $0.01 per share</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VTRS</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The NASDAQ Stock Market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bidi w:val="0"/>
        <w:spacing w:before="180" w:after="180"/>
        <w:jc w:val="left"/>
        <w:rPr/>
      </w:pPr>
      <w:r>
        <w:rPr/>
      </w:r>
    </w:p>
    <w:tbl>
      <w:tblPr>
        <w:tblW w:w="5260" w:type="dxa"/>
        <w:jc w:val="left"/>
        <w:tblInd w:w="0" w:type="dxa"/>
        <w:tblLayout w:type="fixed"/>
        <w:tblCellMar>
          <w:top w:w="0" w:type="dxa"/>
          <w:left w:w="0" w:type="dxa"/>
          <w:bottom w:w="0" w:type="dxa"/>
          <w:right w:w="0" w:type="dxa"/>
        </w:tblCellMar>
      </w:tblPr>
      <w:tblGrid>
        <w:gridCol w:w="830"/>
        <w:gridCol w:w="443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5.07</w:t>
            </w:r>
          </w:p>
        </w:tc>
        <w:tc>
          <w:tcPr>
            <w:tcW w:w="44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Submission of Matters to a Vote of Security Holders.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 On May 15, 2026, Viatris Inc. (“Viatris” or the “Company”) held its 2026 annual meeting of shareholders (the “2026 Annual Meeting”). At the 2026 Annual Meeting, shareholders were asked to consider and act upon the following items of business: (i) elect thirteen director nominees, each to hold office until the 2027 annual meeting of shareholders; (ii) approve, on a non-binding advisory basis, the 2025 compensation of the named executive officers of the Company; and (iii) ratify the selection of Deloitte &amp; Touche LLP as the Company’s independent registered public accounting firm for the fiscal year ending December 31, 2026. With respect to each proposal below, abstentions and broker non-votes were considered for purposes of establishing a quorum but were not considered to be votes cast and therefore had no effect on the vote on any such proposal.</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(b) The certified results of the matters voted on at the 2026 Annual Meeting are set forth below.</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Proposal No. 1 - Election of the following thirteen director nominees, each to hold office until the 2027 annual meeting of shareholders:</w:t>
      </w:r>
    </w:p>
    <w:p>
      <w:pPr>
        <w:pStyle w:val="TextBody"/>
        <w:bidi w:val="0"/>
        <w:spacing w:before="0" w:after="0"/>
        <w:jc w:val="left"/>
        <w:rPr>
          <w:rFonts w:ascii="Times New Roman" w:hAnsi="Times New Roman"/>
          <w:sz w:val="20"/>
        </w:rPr>
      </w:pPr>
      <w:r>
        <w:rPr>
          <w:rFonts w:ascii="Times New Roman" w:hAnsi="Times New Roman"/>
          <w:sz w:val="20"/>
        </w:rPr>
      </w:r>
    </w:p>
    <w:tbl>
      <w:tblPr>
        <w:tblW w:w="6670" w:type="dxa"/>
        <w:jc w:val="left"/>
        <w:tblInd w:w="0" w:type="dxa"/>
        <w:tblLayout w:type="fixed"/>
        <w:tblCellMar>
          <w:top w:w="0" w:type="dxa"/>
          <w:left w:w="0" w:type="dxa"/>
          <w:bottom w:w="0" w:type="dxa"/>
          <w:right w:w="0" w:type="dxa"/>
        </w:tblCellMar>
      </w:tblPr>
      <w:tblGrid>
        <w:gridCol w:w="1985"/>
        <w:gridCol w:w="1055"/>
        <w:gridCol w:w="60"/>
        <w:gridCol w:w="950"/>
        <w:gridCol w:w="60"/>
        <w:gridCol w:w="950"/>
        <w:gridCol w:w="60"/>
        <w:gridCol w:w="1550"/>
      </w:tblGrid>
      <w:tr>
        <w:trPr/>
        <w:tc>
          <w:tcPr>
            <w:tcW w:w="1985" w:type="dxa"/>
            <w:tcBorders/>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Nominee</w:t>
            </w:r>
          </w:p>
        </w:tc>
        <w:tc>
          <w:tcPr>
            <w:tcW w:w="1055" w:type="dxa"/>
            <w:tcBorders>
              <w:bottom w:val="single" w:sz="12" w:space="0" w:color="000000"/>
            </w:tcBorders>
            <w:tcMar>
              <w:bottom w:w="28"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For</w:t>
            </w:r>
          </w:p>
        </w:tc>
        <w:tc>
          <w:tcPr>
            <w:tcW w:w="60" w:type="dxa"/>
            <w:tcBorders/>
            <w:vAlign w:val="center"/>
          </w:tcPr>
          <w:p>
            <w:pPr>
              <w:pStyle w:val="TableContents"/>
              <w:bidi w:val="0"/>
              <w:spacing w:before="0" w:after="283"/>
              <w:jc w:val="left"/>
              <w:rPr/>
            </w:pPr>
            <w:r>
              <w:rPr/>
            </w:r>
          </w:p>
        </w:tc>
        <w:tc>
          <w:tcPr>
            <w:tcW w:w="950"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Against</w:t>
            </w:r>
          </w:p>
        </w:tc>
        <w:tc>
          <w:tcPr>
            <w:tcW w:w="60" w:type="dxa"/>
            <w:tcBorders/>
            <w:vAlign w:val="center"/>
          </w:tcPr>
          <w:p>
            <w:pPr>
              <w:pStyle w:val="TableContents"/>
              <w:bidi w:val="0"/>
              <w:spacing w:before="0" w:after="283"/>
              <w:jc w:val="left"/>
              <w:rPr/>
            </w:pPr>
            <w:r>
              <w:rPr/>
            </w:r>
          </w:p>
        </w:tc>
        <w:tc>
          <w:tcPr>
            <w:tcW w:w="950"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Abstain</w:t>
            </w:r>
          </w:p>
        </w:tc>
        <w:tc>
          <w:tcPr>
            <w:tcW w:w="60" w:type="dxa"/>
            <w:tcBorders/>
            <w:vAlign w:val="center"/>
          </w:tcPr>
          <w:p>
            <w:pPr>
              <w:pStyle w:val="TableContents"/>
              <w:bidi w:val="0"/>
              <w:spacing w:before="0" w:after="283"/>
              <w:jc w:val="left"/>
              <w:rPr/>
            </w:pPr>
            <w:r>
              <w:rPr/>
            </w:r>
          </w:p>
        </w:tc>
        <w:tc>
          <w:tcPr>
            <w:tcW w:w="1550"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Broker Non-Votes</w:t>
            </w:r>
          </w:p>
        </w:tc>
      </w:tr>
      <w:tr>
        <w:trPr/>
        <w:tc>
          <w:tcPr>
            <w:tcW w:w="1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 Don Cornwell</w:t>
            </w:r>
          </w:p>
        </w:tc>
        <w:tc>
          <w:tcPr>
            <w:tcW w:w="105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849,532,867</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24,182,514</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1,841,533</w:t>
            </w:r>
          </w:p>
        </w:tc>
        <w:tc>
          <w:tcPr>
            <w:tcW w:w="6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122,461,640</w:t>
            </w:r>
          </w:p>
        </w:tc>
      </w:tr>
      <w:tr>
        <w:trPr/>
        <w:tc>
          <w:tcPr>
            <w:tcW w:w="1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Frank D’Amelio</w:t>
            </w:r>
          </w:p>
        </w:tc>
        <w:tc>
          <w:tcPr>
            <w:tcW w:w="105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867,382,258</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7,361,498</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813,158</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122,461,640</w:t>
            </w:r>
          </w:p>
        </w:tc>
      </w:tr>
      <w:tr>
        <w:trPr/>
        <w:tc>
          <w:tcPr>
            <w:tcW w:w="1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JoEllen Lyons Dillon</w:t>
            </w:r>
          </w:p>
        </w:tc>
        <w:tc>
          <w:tcPr>
            <w:tcW w:w="105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798,545,833</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59,938,622</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17,072,459</w:t>
            </w:r>
          </w:p>
        </w:tc>
        <w:tc>
          <w:tcPr>
            <w:tcW w:w="6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122,461,640</w:t>
            </w:r>
          </w:p>
        </w:tc>
      </w:tr>
      <w:tr>
        <w:trPr/>
        <w:tc>
          <w:tcPr>
            <w:tcW w:w="1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Elisha Finney</w:t>
            </w:r>
          </w:p>
        </w:tc>
        <w:tc>
          <w:tcPr>
            <w:tcW w:w="105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871,844,773</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2,902,953</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809,188</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122,461,640</w:t>
            </w:r>
          </w:p>
        </w:tc>
      </w:tr>
      <w:tr>
        <w:trPr/>
        <w:tc>
          <w:tcPr>
            <w:tcW w:w="1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Leo Groothuis</w:t>
            </w:r>
          </w:p>
        </w:tc>
        <w:tc>
          <w:tcPr>
            <w:tcW w:w="105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854,806,833</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19,923,045</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827,036</w:t>
            </w:r>
          </w:p>
        </w:tc>
        <w:tc>
          <w:tcPr>
            <w:tcW w:w="6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122,461,640</w:t>
            </w:r>
          </w:p>
        </w:tc>
      </w:tr>
      <w:tr>
        <w:trPr/>
        <w:tc>
          <w:tcPr>
            <w:tcW w:w="1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Melina Higgins</w:t>
            </w:r>
          </w:p>
        </w:tc>
        <w:tc>
          <w:tcPr>
            <w:tcW w:w="105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870,698,982</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4,042,667</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815,265</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122,461,640</w:t>
            </w:r>
          </w:p>
        </w:tc>
      </w:tr>
      <w:tr>
        <w:trPr/>
        <w:tc>
          <w:tcPr>
            <w:tcW w:w="1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James M. Kilts</w:t>
            </w:r>
          </w:p>
        </w:tc>
        <w:tc>
          <w:tcPr>
            <w:tcW w:w="105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856,659,003</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18,077,659</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820,252</w:t>
            </w:r>
          </w:p>
        </w:tc>
        <w:tc>
          <w:tcPr>
            <w:tcW w:w="6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122,461,640</w:t>
            </w:r>
          </w:p>
        </w:tc>
      </w:tr>
      <w:tr>
        <w:trPr/>
        <w:tc>
          <w:tcPr>
            <w:tcW w:w="1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Richard Mark</w:t>
            </w:r>
          </w:p>
        </w:tc>
        <w:tc>
          <w:tcPr>
            <w:tcW w:w="105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869,902,473</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4,817,061</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837,380</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122,461,640</w:t>
            </w:r>
          </w:p>
        </w:tc>
      </w:tr>
      <w:tr>
        <w:trPr/>
        <w:tc>
          <w:tcPr>
            <w:tcW w:w="1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Mark Parrish</w:t>
            </w:r>
          </w:p>
        </w:tc>
        <w:tc>
          <w:tcPr>
            <w:tcW w:w="105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810,773,873</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63,952,809</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830,232</w:t>
            </w:r>
          </w:p>
        </w:tc>
        <w:tc>
          <w:tcPr>
            <w:tcW w:w="6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122,461,640</w:t>
            </w:r>
          </w:p>
        </w:tc>
      </w:tr>
      <w:tr>
        <w:trPr/>
        <w:tc>
          <w:tcPr>
            <w:tcW w:w="1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Michael Severino</w:t>
            </w:r>
          </w:p>
        </w:tc>
        <w:tc>
          <w:tcPr>
            <w:tcW w:w="105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871,428,340</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3,309,576</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818,998</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122,461,640</w:t>
            </w:r>
          </w:p>
        </w:tc>
      </w:tr>
      <w:tr>
        <w:trPr/>
        <w:tc>
          <w:tcPr>
            <w:tcW w:w="1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David Simmons</w:t>
            </w:r>
          </w:p>
        </w:tc>
        <w:tc>
          <w:tcPr>
            <w:tcW w:w="105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857,208,158</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17,530,423</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818,333</w:t>
            </w:r>
          </w:p>
        </w:tc>
        <w:tc>
          <w:tcPr>
            <w:tcW w:w="6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122,461,640</w:t>
            </w:r>
          </w:p>
        </w:tc>
      </w:tr>
      <w:tr>
        <w:trPr/>
        <w:tc>
          <w:tcPr>
            <w:tcW w:w="1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Scott A. Smith</w:t>
            </w:r>
          </w:p>
        </w:tc>
        <w:tc>
          <w:tcPr>
            <w:tcW w:w="105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871,094,570</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3,622,333</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840,011</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122,461,640</w:t>
            </w:r>
          </w:p>
        </w:tc>
      </w:tr>
      <w:tr>
        <w:trPr/>
        <w:tc>
          <w:tcPr>
            <w:tcW w:w="1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Rogério Vivaldi Coelho</w:t>
            </w:r>
          </w:p>
        </w:tc>
        <w:tc>
          <w:tcPr>
            <w:tcW w:w="105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871,117,588</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3,593,152</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846,174</w:t>
            </w:r>
          </w:p>
        </w:tc>
        <w:tc>
          <w:tcPr>
            <w:tcW w:w="6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122,461,640</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Each director nominee was elected to hold office until the 2027 annual meeting of shareholders.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Proposal No. 2 – Approval, on a non-binding advisory basis, of the 2025 compensation of the named executive officers of the Company:</w:t>
      </w:r>
    </w:p>
    <w:p>
      <w:pPr>
        <w:pStyle w:val="TextBody"/>
        <w:bidi w:val="0"/>
        <w:spacing w:before="0" w:after="0"/>
        <w:jc w:val="left"/>
        <w:rPr>
          <w:rFonts w:ascii="Times New Roman" w:hAnsi="Times New Roman"/>
          <w:sz w:val="20"/>
        </w:rPr>
      </w:pPr>
      <w:r>
        <w:rPr>
          <w:rFonts w:ascii="Times New Roman" w:hAnsi="Times New Roman"/>
          <w:sz w:val="20"/>
        </w:rPr>
      </w:r>
    </w:p>
    <w:tbl>
      <w:tblPr>
        <w:tblW w:w="4589" w:type="dxa"/>
        <w:jc w:val="left"/>
        <w:tblInd w:w="0" w:type="dxa"/>
        <w:tblLayout w:type="fixed"/>
        <w:tblCellMar>
          <w:top w:w="0" w:type="dxa"/>
          <w:left w:w="0" w:type="dxa"/>
          <w:bottom w:w="0" w:type="dxa"/>
          <w:right w:w="0" w:type="dxa"/>
        </w:tblCellMar>
      </w:tblPr>
      <w:tblGrid>
        <w:gridCol w:w="23"/>
        <w:gridCol w:w="1055"/>
        <w:gridCol w:w="23"/>
        <w:gridCol w:w="950"/>
        <w:gridCol w:w="60"/>
        <w:gridCol w:w="845"/>
        <w:gridCol w:w="60"/>
        <w:gridCol w:w="1550"/>
        <w:gridCol w:w="23"/>
      </w:tblGrid>
      <w:tr>
        <w:trPr/>
        <w:tc>
          <w:tcPr>
            <w:tcW w:w="23" w:type="dxa"/>
            <w:tcBorders/>
            <w:vAlign w:val="center"/>
          </w:tcPr>
          <w:p>
            <w:pPr>
              <w:pStyle w:val="TableContents"/>
              <w:bidi w:val="0"/>
              <w:spacing w:before="0" w:after="283"/>
              <w:jc w:val="left"/>
              <w:rPr/>
            </w:pPr>
            <w:r>
              <w:rPr/>
            </w:r>
          </w:p>
        </w:tc>
        <w:tc>
          <w:tcPr>
            <w:tcW w:w="105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For</w:t>
            </w:r>
          </w:p>
        </w:tc>
        <w:tc>
          <w:tcPr>
            <w:tcW w:w="23" w:type="dxa"/>
            <w:tcBorders/>
            <w:vAlign w:val="center"/>
          </w:tcPr>
          <w:p>
            <w:pPr>
              <w:pStyle w:val="TableContents"/>
              <w:bidi w:val="0"/>
              <w:spacing w:before="0" w:after="283"/>
              <w:jc w:val="left"/>
              <w:rPr/>
            </w:pPr>
            <w:r>
              <w:rPr/>
            </w:r>
          </w:p>
        </w:tc>
        <w:tc>
          <w:tcPr>
            <w:tcW w:w="95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Against</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Abstain</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Broker Non-Votes</w:t>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1055" w:type="dxa"/>
            <w:tcBorders>
              <w:top w:val="single" w:sz="12" w:space="0" w:color="000000"/>
            </w:tcBorders>
            <w:shd w:fill="CCEEFF" w:val="clear"/>
            <w:tcMar>
              <w:top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846,370,157</w:t>
            </w:r>
          </w:p>
        </w:tc>
        <w:tc>
          <w:tcPr>
            <w:tcW w:w="23" w:type="dxa"/>
            <w:tcBorders/>
            <w:shd w:fill="CCEEFF" w:val="clear"/>
            <w:vAlign w:val="center"/>
          </w:tcPr>
          <w:p>
            <w:pPr>
              <w:pStyle w:val="TableContents"/>
              <w:bidi w:val="0"/>
              <w:spacing w:before="0" w:after="283"/>
              <w:jc w:val="left"/>
              <w:rPr/>
            </w:pPr>
            <w:r>
              <w:rPr/>
            </w:r>
          </w:p>
        </w:tc>
        <w:tc>
          <w:tcPr>
            <w:tcW w:w="950" w:type="dxa"/>
            <w:tcBorders>
              <w:top w:val="single" w:sz="12" w:space="0" w:color="000000"/>
            </w:tcBorders>
            <w:shd w:fill="CCEEFF" w:val="clear"/>
            <w:tcMar>
              <w:top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26,920,688</w:t>
            </w:r>
          </w:p>
        </w:tc>
        <w:tc>
          <w:tcPr>
            <w:tcW w:w="60" w:type="dxa"/>
            <w:tcBorders/>
            <w:shd w:fill="CCEEFF" w:val="clear"/>
            <w:vAlign w:val="center"/>
          </w:tcPr>
          <w:p>
            <w:pPr>
              <w:pStyle w:val="TableContents"/>
              <w:bidi w:val="0"/>
              <w:spacing w:before="0" w:after="283"/>
              <w:jc w:val="center"/>
              <w:rPr/>
            </w:pPr>
            <w:r>
              <w:rPr/>
              <w:t> </w:t>
            </w:r>
          </w:p>
        </w:tc>
        <w:tc>
          <w:tcPr>
            <w:tcW w:w="845" w:type="dxa"/>
            <w:tcBorders>
              <w:top w:val="single" w:sz="12" w:space="0" w:color="000000"/>
            </w:tcBorders>
            <w:shd w:fill="CCEEFF" w:val="clear"/>
            <w:tcMar>
              <w:top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2,266,069</w:t>
            </w:r>
          </w:p>
        </w:tc>
        <w:tc>
          <w:tcPr>
            <w:tcW w:w="60" w:type="dxa"/>
            <w:tcBorders/>
            <w:shd w:fill="CCEEFF" w:val="clear"/>
            <w:vAlign w:val="center"/>
          </w:tcPr>
          <w:p>
            <w:pPr>
              <w:pStyle w:val="TableContents"/>
              <w:bidi w:val="0"/>
              <w:spacing w:before="0" w:after="283"/>
              <w:jc w:val="center"/>
              <w:rPr/>
            </w:pPr>
            <w:r>
              <w:rPr/>
              <w:t> </w:t>
            </w:r>
          </w:p>
        </w:tc>
        <w:tc>
          <w:tcPr>
            <w:tcW w:w="1550" w:type="dxa"/>
            <w:tcBorders>
              <w:top w:val="single" w:sz="12" w:space="0" w:color="000000"/>
            </w:tcBorders>
            <w:shd w:fill="CCEEFF" w:val="clear"/>
            <w:tcMar>
              <w:top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122,461,640</w:t>
            </w:r>
          </w:p>
        </w:tc>
        <w:tc>
          <w:tcPr>
            <w:tcW w:w="23" w:type="dxa"/>
            <w:tcBorders/>
            <w:vAlign w:val="center"/>
          </w:tcPr>
          <w:p>
            <w:pPr>
              <w:pStyle w:val="TableContents"/>
              <w:bidi w:val="0"/>
              <w:spacing w:before="0" w:after="283"/>
              <w:jc w:val="left"/>
              <w:rPr/>
            </w:pPr>
            <w:r>
              <w:rPr/>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This proposal was approved.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Proposal No. 3 – Ratification of the selection of Deloitte &amp; Touche LLP as the Company’s independent registered public accounting firm for the fiscal year ending December 31, 2026:</w:t>
      </w:r>
    </w:p>
    <w:p>
      <w:pPr>
        <w:pStyle w:val="TextBody"/>
        <w:bidi w:val="0"/>
        <w:spacing w:before="0" w:after="0"/>
        <w:jc w:val="left"/>
        <w:rPr>
          <w:rFonts w:ascii="Times New Roman" w:hAnsi="Times New Roman"/>
          <w:sz w:val="20"/>
        </w:rPr>
      </w:pPr>
      <w:r>
        <w:rPr>
          <w:rFonts w:ascii="Times New Roman" w:hAnsi="Times New Roman"/>
          <w:sz w:val="20"/>
        </w:rPr>
      </w:r>
    </w:p>
    <w:tbl>
      <w:tblPr>
        <w:tblW w:w="4663" w:type="dxa"/>
        <w:jc w:val="left"/>
        <w:tblInd w:w="0" w:type="dxa"/>
        <w:tblLayout w:type="fixed"/>
        <w:tblCellMar>
          <w:top w:w="0" w:type="dxa"/>
          <w:left w:w="0" w:type="dxa"/>
          <w:bottom w:w="0" w:type="dxa"/>
          <w:right w:w="0" w:type="dxa"/>
        </w:tblCellMar>
      </w:tblPr>
      <w:tblGrid>
        <w:gridCol w:w="60"/>
        <w:gridCol w:w="1055"/>
        <w:gridCol w:w="60"/>
        <w:gridCol w:w="950"/>
        <w:gridCol w:w="60"/>
        <w:gridCol w:w="845"/>
        <w:gridCol w:w="60"/>
        <w:gridCol w:w="1550"/>
        <w:gridCol w:w="23"/>
      </w:tblGrid>
      <w:tr>
        <w:trPr/>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For</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Against</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Abstain</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Broker Non-Votes</w:t>
            </w:r>
          </w:p>
        </w:tc>
        <w:tc>
          <w:tcPr>
            <w:tcW w:w="23"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t> </w:t>
            </w:r>
          </w:p>
        </w:tc>
        <w:tc>
          <w:tcPr>
            <w:tcW w:w="1055" w:type="dxa"/>
            <w:tcBorders>
              <w:top w:val="single" w:sz="12" w:space="0" w:color="000000"/>
            </w:tcBorders>
            <w:shd w:fill="CCEEFF" w:val="clear"/>
            <w:tcMar>
              <w:top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969,259,214</w:t>
            </w:r>
          </w:p>
        </w:tc>
        <w:tc>
          <w:tcPr>
            <w:tcW w:w="60" w:type="dxa"/>
            <w:tcBorders/>
            <w:shd w:fill="CCEEFF" w:val="clear"/>
            <w:vAlign w:val="center"/>
          </w:tcPr>
          <w:p>
            <w:pPr>
              <w:pStyle w:val="TableContents"/>
              <w:bidi w:val="0"/>
              <w:spacing w:before="0" w:after="283"/>
              <w:jc w:val="left"/>
              <w:rPr/>
            </w:pPr>
            <w:r>
              <w:rPr/>
              <w:t> </w:t>
            </w:r>
          </w:p>
        </w:tc>
        <w:tc>
          <w:tcPr>
            <w:tcW w:w="950" w:type="dxa"/>
            <w:tcBorders>
              <w:top w:val="single" w:sz="12" w:space="0" w:color="000000"/>
            </w:tcBorders>
            <w:shd w:fill="CCEEFF" w:val="clear"/>
            <w:tcMar>
              <w:top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27,657,863</w:t>
            </w:r>
          </w:p>
        </w:tc>
        <w:tc>
          <w:tcPr>
            <w:tcW w:w="60" w:type="dxa"/>
            <w:tcBorders/>
            <w:shd w:fill="CCEEFF" w:val="clear"/>
            <w:vAlign w:val="center"/>
          </w:tcPr>
          <w:p>
            <w:pPr>
              <w:pStyle w:val="TableContents"/>
              <w:bidi w:val="0"/>
              <w:spacing w:before="0" w:after="283"/>
              <w:jc w:val="left"/>
              <w:rPr/>
            </w:pPr>
            <w:r>
              <w:rPr/>
              <w:t> </w:t>
            </w:r>
          </w:p>
        </w:tc>
        <w:tc>
          <w:tcPr>
            <w:tcW w:w="845" w:type="dxa"/>
            <w:tcBorders>
              <w:top w:val="single" w:sz="12" w:space="0" w:color="000000"/>
            </w:tcBorders>
            <w:shd w:fill="CCEEFF" w:val="clear"/>
            <w:tcMar>
              <w:top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1,101,477</w:t>
            </w:r>
          </w:p>
        </w:tc>
        <w:tc>
          <w:tcPr>
            <w:tcW w:w="60" w:type="dxa"/>
            <w:tcBorders/>
            <w:shd w:fill="CCEEFF" w:val="clear"/>
            <w:vAlign w:val="center"/>
          </w:tcPr>
          <w:p>
            <w:pPr>
              <w:pStyle w:val="TableContents"/>
              <w:bidi w:val="0"/>
              <w:spacing w:before="0" w:after="283"/>
              <w:jc w:val="left"/>
              <w:rPr/>
            </w:pPr>
            <w:r>
              <w:rPr/>
              <w:t> </w:t>
            </w:r>
          </w:p>
        </w:tc>
        <w:tc>
          <w:tcPr>
            <w:tcW w:w="1550" w:type="dxa"/>
            <w:tcBorders>
              <w:top w:val="single" w:sz="12" w:space="0" w:color="000000"/>
            </w:tcBorders>
            <w:shd w:fill="CCEEFF" w:val="clear"/>
            <w:tcMar>
              <w:top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N/A</w:t>
            </w:r>
          </w:p>
        </w:tc>
        <w:tc>
          <w:tcPr>
            <w:tcW w:w="23" w:type="dxa"/>
            <w:tcBorders/>
            <w:vAlign w:val="center"/>
          </w:tcPr>
          <w:p>
            <w:pPr>
              <w:pStyle w:val="TableContents"/>
              <w:bidi w:val="0"/>
              <w:spacing w:before="0" w:after="283"/>
              <w:jc w:val="left"/>
              <w:rPr/>
            </w:pPr>
            <w:r>
              <w:rPr/>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This proposal was approved.</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180" w:after="18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rFonts w:ascii="Times New Roman" w:hAnsi="Times New Roman"/>
          <w:sz w:val="20"/>
        </w:rPr>
      </w:pPr>
      <w:r>
        <w:rPr>
          <w:rFonts w:ascii="Times New Roman" w:hAnsi="Times New Roman"/>
          <w:sz w:val="20"/>
        </w:rPr>
      </w:r>
    </w:p>
    <w:tbl>
      <w:tblPr>
        <w:tblW w:w="3615" w:type="dxa"/>
        <w:jc w:val="left"/>
        <w:tblInd w:w="0" w:type="dxa"/>
        <w:tblLayout w:type="fixed"/>
        <w:tblCellMar>
          <w:top w:w="0" w:type="dxa"/>
          <w:left w:w="0" w:type="dxa"/>
          <w:bottom w:w="0" w:type="dxa"/>
          <w:right w:w="0" w:type="dxa"/>
        </w:tblCellMar>
      </w:tblPr>
      <w:tblGrid>
        <w:gridCol w:w="1640"/>
        <w:gridCol w:w="320"/>
        <w:gridCol w:w="1655"/>
      </w:tblGrid>
      <w:tr>
        <w:trPr/>
        <w:tc>
          <w:tcPr>
            <w:tcW w:w="1640" w:type="dxa"/>
            <w:tcBorders/>
            <w:vAlign w:val="center"/>
          </w:tcPr>
          <w:p>
            <w:pPr>
              <w:pStyle w:val="TableContents"/>
              <w:bidi w:val="0"/>
              <w:spacing w:before="0" w:after="283"/>
              <w:jc w:val="left"/>
              <w:rPr/>
            </w:pPr>
            <w:r>
              <w:rPr/>
            </w:r>
          </w:p>
        </w:tc>
        <w:tc>
          <w:tcPr>
            <w:tcW w:w="1975"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VIATRIS INC.</w:t>
            </w:r>
          </w:p>
        </w:tc>
      </w:tr>
      <w:tr>
        <w:trPr/>
        <w:tc>
          <w:tcPr>
            <w:tcW w:w="1640"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r>
          </w:p>
        </w:tc>
        <w:tc>
          <w:tcPr>
            <w:tcW w:w="1655" w:type="dxa"/>
            <w:tcBorders/>
            <w:vAlign w:val="center"/>
          </w:tcPr>
          <w:p>
            <w:pPr>
              <w:pStyle w:val="TableContents"/>
              <w:bidi w:val="0"/>
              <w:spacing w:before="0" w:after="283"/>
              <w:jc w:val="left"/>
              <w:rPr/>
            </w:pPr>
            <w:r>
              <w:rPr/>
            </w:r>
          </w:p>
        </w:tc>
      </w:tr>
      <w:tr>
        <w:trPr/>
        <w:tc>
          <w:tcPr>
            <w:tcW w:w="164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Date: May 15, 2026</w:t>
            </w:r>
          </w:p>
        </w:tc>
        <w:tc>
          <w:tcPr>
            <w:tcW w:w="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655" w:type="dxa"/>
            <w:tcBorders>
              <w:bottom w:val="single" w:sz="12" w:space="0" w:color="000000"/>
            </w:tcBorders>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/s/ Matthew Maletta</w:t>
            </w:r>
          </w:p>
        </w:tc>
      </w:tr>
      <w:tr>
        <w:trPr/>
        <w:tc>
          <w:tcPr>
            <w:tcW w:w="1640"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r>
          </w:p>
        </w:tc>
        <w:tc>
          <w:tcPr>
            <w:tcW w:w="165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Matthew Maletta</w:t>
            </w:r>
          </w:p>
        </w:tc>
      </w:tr>
      <w:tr>
        <w:trPr/>
        <w:tc>
          <w:tcPr>
            <w:tcW w:w="1640"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r>
          </w:p>
        </w:tc>
        <w:tc>
          <w:tcPr>
            <w:tcW w:w="165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Chief Legal Officer</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702</Words>
  <Characters>4058</Characters>
  <CharactersWithSpaces>4683</CharactersWithSpaces>
  <Paragraphs>205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