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20" w:right="280" w:hanging="394"/>
        <w:spacing w:after="0" w:line="238"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420" w:right="260" w:hanging="394"/>
        <w:spacing w:after="0" w:line="238" w:lineRule="auto"/>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001-39695</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180"/>
          </w:cols>
          <w:pgMar w:left="320" w:top="988" w:right="39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2">
            <w:col w:w="7360" w:space="720"/>
            <w:col w:w="3100"/>
          </w:cols>
          <w:pgMar w:left="320" w:top="988" w:right="399" w:bottom="1440" w:gutter="0" w:footer="0" w:header="0"/>
          <w:type w:val="continuous"/>
        </w:sectPr>
      </w:pP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154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4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107" w:lineRule="exact"/>
        <w:rPr>
          <w:sz w:val="24"/>
          <w:szCs w:val="24"/>
          <w:color w:val="auto"/>
        </w:rPr>
      </w:pPr>
    </w:p>
    <w:p>
      <w:pPr>
        <w:sectPr>
          <w:pgSz w:w="11900" w:h="16838" w:orient="portrait"/>
          <w:cols w:equalWidth="0" w:num="2">
            <w:col w:w="7260" w:space="720"/>
            <w:col w:w="3200"/>
          </w:cols>
          <w:pgMar w:left="320" w:top="988"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88" w:right="399" w:bottom="1440" w:gutter="0" w:footer="0" w:header="0"/>
          <w:type w:val="continuous"/>
        </w:sectPr>
      </w:pPr>
    </w:p>
    <w:p>
      <w:pPr>
        <w:spacing w:after="0" w:line="14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129" w:lineRule="exact"/>
        <w:rPr>
          <w:sz w:val="24"/>
          <w:szCs w:val="24"/>
          <w:color w:val="auto"/>
        </w:rPr>
      </w:pPr>
    </w:p>
    <w:p>
      <w:pPr>
        <w:sectPr>
          <w:pgSz w:w="11900" w:h="16838" w:orient="portrait"/>
          <w:cols w:equalWidth="0" w:num="3">
            <w:col w:w="3980" w:space="720"/>
            <w:col w:w="2180" w:space="720"/>
            <w:col w:w="3580"/>
          </w:cols>
          <w:pgMar w:left="320" w:top="988" w:right="39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88" w:right="399" w:bottom="1440" w:gutter="0" w:footer="0" w:header="0"/>
          <w:type w:val="continuous"/>
        </w:sectPr>
      </w:pPr>
    </w:p>
    <w:p>
      <w:pPr>
        <w:spacing w:after="0" w:line="24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left="20" w:right="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number of shares of common stock outstanding, par value $0.01 per share, of the registrant as of November 2, 2026 was 1,146,454,729.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88"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6900" w:type="dxa"/>
            <w:vAlign w:val="bottom"/>
            <w:gridSpan w:val="10"/>
            <w:vMerge w:val="restart"/>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6900" w:type="dxa"/>
            <w:vAlign w:val="bottom"/>
            <w:gridSpan w:val="10"/>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3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 Three and Nine Months Ended September 30, 2026 and 2025</w:t>
            </w:r>
          </w:p>
        </w:tc>
        <w:tc>
          <w:tcPr>
            <w:tcW w:w="320" w:type="dxa"/>
            <w:vAlign w:val="bottom"/>
            <w:gridSpan w:val="2"/>
          </w:tcPr>
          <w:p>
            <w:pPr>
              <w:spacing w:after="0"/>
              <w:rPr>
                <w:sz w:val="16"/>
                <w:szCs w:val="16"/>
                <w:color w:val="auto"/>
              </w:rPr>
            </w:pPr>
          </w:p>
        </w:tc>
        <w:tc>
          <w:tcPr>
            <w:tcW w:w="98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Earnings — Three and Nine Months Ended September</w:t>
            </w:r>
          </w:p>
        </w:tc>
        <w:tc>
          <w:tcPr>
            <w:tcW w:w="9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30, 2026 and 2025</w:t>
            </w:r>
          </w:p>
        </w:tc>
        <w:tc>
          <w:tcPr>
            <w:tcW w:w="42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2026 and December 31, 2025</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 Three and Nine Months Ended September 30, 2026 and 2025</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2026 and 2025</w:t>
            </w:r>
          </w:p>
        </w:tc>
        <w:tc>
          <w:tcPr>
            <w:tcW w:w="640" w:type="dxa"/>
            <w:vAlign w:val="bottom"/>
            <w:gridSpan w:val="3"/>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900" w:type="dxa"/>
            <w:vAlign w:val="bottom"/>
            <w:gridSpan w:val="10"/>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73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736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7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Mylan N.V. Amended and Restated 2003 Long-Term Incentive Plan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2020 Incentive Plan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Viatris Inc. 2020 Stock Incentive Plan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2025 Form 10-K</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Viatris’ annual report on Form 10-K for the fiscal year ended December 31, 2025</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$3.5 billion revolving facility dated as of September 27, 2024, by and among Viatris, certain lenders and</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2024 Revolving Facility</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issuing banks from time to time party thereto and Bank of America, N.A., as administrative agent</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4.250% Senior Notes due 2033 issued by Viatris Inc., which are fully and unconditionally guaranteed on</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2033 Euro Senior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 senior unsecured basis by Mylan Inc., Mylan II B.V. and Utah Acquisition Sub Inc.</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 investors -</w:t>
            </w:r>
          </w:p>
        </w:tc>
      </w:tr>
      <w:tr>
        <w:trPr>
          <w:trHeight w:val="176"/>
        </w:trPr>
        <w:tc>
          <w:tcPr>
            <w:tcW w:w="3300" w:type="dxa"/>
            <w:vAlign w:val="bottom"/>
            <w:tcBorders>
              <w:left w:val="single" w:sz="8" w:color="auto"/>
              <w:right w:val="single" w:sz="8" w:color="auto"/>
            </w:tcBorders>
          </w:tcPr>
          <w:p>
            <w:pPr>
              <w:spacing w:after="0"/>
              <w:rPr>
                <w:sz w:val="15"/>
                <w:szCs w:val="15"/>
                <w:color w:val="auto"/>
              </w:rPr>
            </w:pPr>
          </w:p>
        </w:tc>
        <w:tc>
          <w:tcPr>
            <w:tcW w:w="796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EBITDA (defined below) is further adjusted for share-based compensation expense, litigation settlements,</w:t>
            </w: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and other contingencies, net, gain (loss) on divestitures of businesses, impairment of long-lived assets and</w:t>
            </w:r>
          </w:p>
        </w:tc>
      </w:tr>
      <w:tr>
        <w:trPr>
          <w:trHeight w:val="234"/>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goodwill, restructuring, acquisition and divestitures-related and other special items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Adjusted EPS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net earnings per diluted share</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Abbreviated New Drug Application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earnings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Active pharmaceutical ingredients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Antiretroviral medicines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Biocon Limited</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 Biologics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Biocon Biologics Limited, a majority owned subsidiary of Biocon</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 from time to time, among Viatris,</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Mylan, Pfizer and certain of their affiliates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Compulsory convertible preferred shares</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 Morris Trust transaction to form</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Viatris on November 16, 2020</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$1.65 billion unsecured commercial paper program entered into as of November 16, 2020 by Viatris, as</w:t>
            </w:r>
          </w:p>
        </w:tc>
      </w:tr>
      <w:tr>
        <w:trPr>
          <w:trHeight w:val="175"/>
        </w:trPr>
        <w:tc>
          <w:tcPr>
            <w:tcW w:w="3300" w:type="dxa"/>
            <w:vAlign w:val="bottom"/>
            <w:tcBorders>
              <w:left w:val="single" w:sz="8" w:color="auto"/>
              <w:right w:val="single" w:sz="8" w:color="auto"/>
            </w:tcBorders>
          </w:tcPr>
          <w:p>
            <w:pPr>
              <w:spacing w:after="0"/>
              <w:rPr>
                <w:sz w:val="15"/>
                <w:szCs w:val="15"/>
                <w:color w:val="auto"/>
              </w:rPr>
            </w:pPr>
          </w:p>
        </w:tc>
        <w:tc>
          <w:tcPr>
            <w:tcW w:w="796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issuer, Mylan Inc., Utah Acquisition Sub Inc. and Mylan II B.V., as guarantors, and certain dealers from time</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time</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North America and</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Europe</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Pfizer's distribution to Pfizer stockholders of all the issued and outstanding shares of Upjohn Inc.</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 provide information to investors -</w:t>
            </w:r>
          </w:p>
        </w:tc>
      </w:tr>
      <w:tr>
        <w:trPr>
          <w:trHeight w:val="175"/>
        </w:trPr>
        <w:tc>
          <w:tcPr>
            <w:tcW w:w="3300" w:type="dxa"/>
            <w:vAlign w:val="bottom"/>
            <w:tcBorders>
              <w:left w:val="single" w:sz="8" w:color="auto"/>
              <w:right w:val="single" w:sz="8" w:color="auto"/>
            </w:tcBorders>
          </w:tcPr>
          <w:p>
            <w:pPr>
              <w:spacing w:after="0"/>
              <w:rPr>
                <w:sz w:val="15"/>
                <w:szCs w:val="15"/>
                <w:color w:val="auto"/>
              </w:rPr>
            </w:pPr>
          </w:p>
        </w:tc>
        <w:tc>
          <w:tcPr>
            <w:tcW w:w="796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U.S. GAAP net earnings (loss) adjusted for income tax provision (benefit), interest expense and depreciation</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but is not limited to, our operations primarily in the following</w:t>
            </w: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markets: Parts of Asia, the Middle East, South and Central America, Africa, and Eastern Europe</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ERP system</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 resource planning system</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EWSR</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Enterprise-wide strategic review</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884"/>
        </w:trPr>
        <w:tc>
          <w:tcPr>
            <w:tcW w:w="3300" w:type="dxa"/>
            <w:vAlign w:val="bottom"/>
          </w:tcPr>
          <w:p>
            <w:pPr>
              <w:spacing w:after="0"/>
              <w:rPr>
                <w:sz w:val="24"/>
                <w:szCs w:val="24"/>
                <w:color w:val="auto"/>
              </w:rPr>
            </w:pPr>
          </w:p>
        </w:tc>
        <w:tc>
          <w:tcPr>
            <w:tcW w:w="7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330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10-Q</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This quarterly report on Form 10-Q for the quarterly period ended September 30, 2026</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 Depot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Long-acting glatiramer acetate depot product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Systemically Important Banks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institutions that are considered systemically important by the Financial Stability Board</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 following markets: mainland China,</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and Hong Kong</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Idorsia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Idorsia Pharmaceuticals Ltd.</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transaction between Viatris and Idorsia pursuant to which Viatris acquired the development programs</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and certain personnel related to selatogrel and cenerimod from Idorsia in exchange for an upfront payment to</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Idorsia Transaction</w:t>
            </w:r>
          </w:p>
        </w:tc>
        <w:tc>
          <w:tcPr>
            <w:tcW w:w="79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Idorsia of $350 million, potential development and regulatory milestone payments, certain contingent</w:t>
            </w:r>
          </w:p>
        </w:tc>
        <w:tc>
          <w:tcPr>
            <w:tcW w:w="0" w:type="dxa"/>
            <w:vAlign w:val="bottom"/>
          </w:tcPr>
          <w:p>
            <w:pPr>
              <w:spacing w:after="0"/>
              <w:rPr>
                <w:sz w:val="1"/>
                <w:szCs w:val="1"/>
                <w:color w:val="auto"/>
              </w:rPr>
            </w:pPr>
          </w:p>
        </w:tc>
      </w:tr>
      <w:tr>
        <w:trPr>
          <w:trHeight w:val="230"/>
        </w:trPr>
        <w:tc>
          <w:tcPr>
            <w:tcW w:w="33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of tiered sales milestones, as well as potential contingent tiered sales royalties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in the following markets: Japan, Australia and New</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Zealand</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Mapi</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Mapi Pharma Ltd.</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maximum consolidated leverage ratio financial covenant requiring maintenance of a maximum ratio of</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consolidated total indebtedness as of the end of any quarter to consolidated EBITDA for the trailing four</w:t>
            </w:r>
          </w:p>
        </w:tc>
        <w:tc>
          <w:tcPr>
            <w:tcW w:w="0" w:type="dxa"/>
            <w:vAlign w:val="bottom"/>
          </w:tcPr>
          <w:p>
            <w:pPr>
              <w:spacing w:after="0"/>
              <w:rPr>
                <w:sz w:val="1"/>
                <w:szCs w:val="1"/>
                <w:color w:val="auto"/>
              </w:rPr>
            </w:pPr>
          </w:p>
        </w:tc>
      </w:tr>
      <w:tr>
        <w:trPr>
          <w:trHeight w:val="234"/>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quarters as defined in the related credit agreements from time to time</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Multidistrict litigation</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4.550% Senior Notes due 2028, 5.400% Senior Notes due 2043 and 5.200% Senior Notes due 2048</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issued by Mylan Inc., which are fully and unconditionally guaranteed on a senior unsecured basis by Mylan</w:t>
            </w:r>
          </w:p>
        </w:tc>
        <w:tc>
          <w:tcPr>
            <w:tcW w:w="0" w:type="dxa"/>
            <w:vAlign w:val="bottom"/>
          </w:tcPr>
          <w:p>
            <w:pPr>
              <w:spacing w:after="0"/>
              <w:rPr>
                <w:sz w:val="1"/>
                <w:szCs w:val="1"/>
                <w:color w:val="auto"/>
              </w:rPr>
            </w:pPr>
          </w:p>
        </w:tc>
      </w:tr>
      <w:tr>
        <w:trPr>
          <w:trHeight w:val="234"/>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Inc. U.S. Dollar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II B.V., Viatris Inc. and Utah Acquisition Sub Inc.</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Drug Application</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Official Action Indicated, an official FDA inspection classification indicating that regulatory and/or</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OAI</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administrative actions are recommended</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Over-the-counter</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Viatris’ OTC business that the Company divested to Cooper Consumer Health SAS in July 2024, including</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two manufacturing sites located in Merignac, France, and Confienza, Italy, and an R&amp;D site in Monza, Italy.</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OTC Business</w:t>
            </w:r>
          </w:p>
        </w:tc>
        <w:tc>
          <w:tcPr>
            <w:tcW w:w="79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This excludes the Company’s rights for Viagra®, Dymista® (which, in certain limited markets, are sold as</w:t>
            </w:r>
          </w:p>
        </w:tc>
        <w:tc>
          <w:tcPr>
            <w:tcW w:w="0" w:type="dxa"/>
            <w:vAlign w:val="bottom"/>
          </w:tcPr>
          <w:p>
            <w:pPr>
              <w:spacing w:after="0"/>
              <w:rPr>
                <w:sz w:val="1"/>
                <w:szCs w:val="1"/>
                <w:color w:val="auto"/>
              </w:rPr>
            </w:pPr>
          </w:p>
        </w:tc>
      </w:tr>
      <w:tr>
        <w:trPr>
          <w:trHeight w:val="230"/>
        </w:trPr>
        <w:tc>
          <w:tcPr>
            <w:tcW w:w="33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OTC products), and select OTC products in certain markets.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Oyster Point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Oyster Point Pharma, Inc.</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Pacira BioSciences, Inc.</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Pacira</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second-step merger pursuant to which the Company will acquire all remaining Pacira Shares not</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Pacira Merger</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tendered in the Pacira Offer for $36.50 per share in cash</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definitive agreement between the Company and Pacira under which the Company has agreed to acquire</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Pacira Merger Agreement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of the outstanding Pacira Shares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Pacira Offer</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tender offer to acquire all of the outstanding Pacira Shares for $36.50 per share in cash</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Pacira Shares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shares of common stock of Pacira</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awards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accounts receivable facility for up to an aggregate amount of $600 million entered into in May 2025 and</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expiring in April 2028</w:t>
            </w:r>
          </w:p>
        </w:tc>
        <w:tc>
          <w:tcPr>
            <w:tcW w:w="0" w:type="dxa"/>
            <w:vAlign w:val="bottom"/>
          </w:tcPr>
          <w:p>
            <w:pPr>
              <w:spacing w:after="0"/>
              <w:rPr>
                <w:sz w:val="1"/>
                <w:szCs w:val="1"/>
                <w:color w:val="auto"/>
              </w:rPr>
            </w:pPr>
          </w:p>
        </w:tc>
      </w:tr>
      <w:tr>
        <w:trPr>
          <w:trHeight w:val="191"/>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2033 Euro Senior Notes, the Registered Upjohn Notes, the Utah U.S. Dollar Notes and the Mylan Inc.</w:t>
            </w:r>
          </w:p>
        </w:tc>
        <w:tc>
          <w:tcPr>
            <w:tcW w:w="0" w:type="dxa"/>
            <w:vAlign w:val="bottom"/>
          </w:tcPr>
          <w:p>
            <w:pPr>
              <w:spacing w:after="0"/>
              <w:rPr>
                <w:sz w:val="1"/>
                <w:szCs w:val="1"/>
                <w:color w:val="auto"/>
              </w:rPr>
            </w:pPr>
          </w:p>
        </w:tc>
      </w:tr>
      <w:tr>
        <w:trPr>
          <w:trHeight w:val="26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Dollar Notes, collectively.</w:t>
            </w:r>
          </w:p>
        </w:tc>
        <w:tc>
          <w:tcPr>
            <w:tcW w:w="0" w:type="dxa"/>
            <w:vAlign w:val="bottom"/>
          </w:tcPr>
          <w:p>
            <w:pPr>
              <w:spacing w:after="0"/>
              <w:rPr>
                <w:sz w:val="1"/>
                <w:szCs w:val="1"/>
                <w:color w:val="auto"/>
              </w:rPr>
            </w:pPr>
          </w:p>
        </w:tc>
      </w:tr>
      <w:tr>
        <w:trPr>
          <w:trHeight w:val="898"/>
        </w:trPr>
        <w:tc>
          <w:tcPr>
            <w:tcW w:w="3300" w:type="dxa"/>
            <w:vAlign w:val="bottom"/>
          </w:tcPr>
          <w:p>
            <w:pPr>
              <w:spacing w:after="0"/>
              <w:rPr>
                <w:sz w:val="24"/>
                <w:szCs w:val="24"/>
                <w:color w:val="auto"/>
              </w:rPr>
            </w:pPr>
          </w:p>
        </w:tc>
        <w:tc>
          <w:tcPr>
            <w:tcW w:w="7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300" w:type="dxa"/>
            <w:vAlign w:val="bottom"/>
            <w:tcBorders>
              <w:top w:val="single" w:sz="8" w:color="auto"/>
              <w:left w:val="single" w:sz="8" w:color="auto"/>
              <w:right w:val="single" w:sz="8" w:color="auto"/>
            </w:tcBorders>
          </w:tcPr>
          <w:p>
            <w:pPr>
              <w:spacing w:after="0"/>
              <w:rPr>
                <w:sz w:val="18"/>
                <w:szCs w:val="18"/>
                <w:color w:val="auto"/>
              </w:rPr>
            </w:pPr>
          </w:p>
        </w:tc>
        <w:tc>
          <w:tcPr>
            <w:tcW w:w="7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796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4.000% Senior Notes due 2050 originally issued on October 29, 2021 registered with the SEC in exchange</w:t>
            </w:r>
          </w:p>
        </w:tc>
        <w:tc>
          <w:tcPr>
            <w:tcW w:w="0" w:type="dxa"/>
            <w:vAlign w:val="bottom"/>
          </w:tcPr>
          <w:p>
            <w:pPr>
              <w:spacing w:after="0"/>
              <w:rPr>
                <w:sz w:val="1"/>
                <w:szCs w:val="1"/>
                <w:color w:val="auto"/>
              </w:rPr>
            </w:pP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796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for the corresponding Unregistered Upjohn U.S. Dollar Notes in a similar aggregate principal amount and</w:t>
            </w:r>
          </w:p>
        </w:tc>
        <w:tc>
          <w:tcPr>
            <w:tcW w:w="0" w:type="dxa"/>
            <w:vAlign w:val="bottom"/>
          </w:tcPr>
          <w:p>
            <w:pPr>
              <w:spacing w:after="0"/>
              <w:rPr>
                <w:sz w:val="1"/>
                <w:szCs w:val="1"/>
                <w:color w:val="auto"/>
              </w:rPr>
            </w:pP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796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with terms substantially identical to the corresponding Unregistered Upjohn U.S. Dollar Notes and fully and</w:t>
            </w:r>
          </w:p>
        </w:tc>
        <w:tc>
          <w:tcPr>
            <w:tcW w:w="0" w:type="dxa"/>
            <w:vAlign w:val="bottom"/>
          </w:tcPr>
          <w:p>
            <w:pPr>
              <w:spacing w:after="0"/>
              <w:rPr>
                <w:sz w:val="1"/>
                <w:szCs w:val="1"/>
                <w:color w:val="auto"/>
              </w:rPr>
            </w:pPr>
          </w:p>
        </w:tc>
      </w:tr>
      <w:tr>
        <w:trPr>
          <w:trHeight w:val="261"/>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Registered Upjohn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unconditionally guaranteed by Mylan Inc., Mylan II B.V. and Utah Acquisition Sub Inc.</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nonvested restricted stock and restricted stock unit awards, including PSUs</w:t>
            </w:r>
          </w:p>
        </w:tc>
        <w:tc>
          <w:tcPr>
            <w:tcW w:w="0" w:type="dxa"/>
            <w:vAlign w:val="bottom"/>
          </w:tcPr>
          <w:p>
            <w:pPr>
              <w:spacing w:after="0"/>
              <w:rPr>
                <w:sz w:val="1"/>
                <w:szCs w:val="1"/>
                <w:color w:val="auto"/>
              </w:rPr>
            </w:pPr>
          </w:p>
        </w:tc>
      </w:tr>
      <w:tr>
        <w:trPr>
          <w:trHeight w:val="21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7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0" w:type="dxa"/>
            <w:vAlign w:val="bottom"/>
          </w:tcPr>
          <w:p>
            <w:pPr>
              <w:spacing w:after="0"/>
              <w:rPr>
                <w:sz w:val="1"/>
                <w:szCs w:val="1"/>
                <w:color w:val="auto"/>
              </w:rPr>
            </w:pPr>
          </w:p>
        </w:tc>
      </w:tr>
      <w:tr>
        <w:trPr>
          <w:trHeight w:val="234"/>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U.S. Dollar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Upjohn U.S. Dollar Notes, the Utah U.S. Dollar Notes and the Mylan Inc. U.S. Dollar Notes, collectively</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 as of July 29, 2019, as amended</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from time to time</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Transition services agreements, including related distribution services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2.300% Senior Notes due 2027, 2.700% Senior Notes due 2030, 3.850% Senior Notes due 2040 and</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4.000% Senior Notes due 2050 originally issued on June 22, 2020 by Upjohn Inc. (now Viatris Inc.) in a</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Unregistered Upjohn U.S. Dollar Notes</w:t>
            </w:r>
          </w:p>
        </w:tc>
        <w:tc>
          <w:tcPr>
            <w:tcW w:w="79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private offering exempt from the registration requirements of the Securities Act and fully and unconditionally</w:t>
            </w: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guaranteed by Mylan Inc., Mylan II B.V. and Utah Acquisition Sub Inc.</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 that combined with Mylan and</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was renamed Viatris Inc.</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 that, in connection with the</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was separated from Pfizer and combined with Mylan to form Viatris</w:t>
            </w:r>
          </w:p>
        </w:tc>
        <w:tc>
          <w:tcPr>
            <w:tcW w:w="0" w:type="dxa"/>
            <w:vAlign w:val="bottom"/>
          </w:tcPr>
          <w:p>
            <w:pPr>
              <w:spacing w:after="0"/>
              <w:rPr>
                <w:sz w:val="1"/>
                <w:szCs w:val="1"/>
                <w:color w:val="auto"/>
              </w:rPr>
            </w:pPr>
          </w:p>
        </w:tc>
      </w:tr>
      <w:tr>
        <w:trPr>
          <w:trHeight w:val="205"/>
        </w:trPr>
        <w:tc>
          <w:tcPr>
            <w:tcW w:w="3300" w:type="dxa"/>
            <w:vAlign w:val="bottom"/>
            <w:tcBorders>
              <w:left w:val="single" w:sz="8" w:color="auto"/>
              <w:right w:val="single" w:sz="8" w:color="auto"/>
            </w:tcBorders>
          </w:tcPr>
          <w:p>
            <w:pPr>
              <w:spacing w:after="0"/>
              <w:rPr>
                <w:sz w:val="17"/>
                <w:szCs w:val="17"/>
                <w:color w:val="auto"/>
              </w:rPr>
            </w:pPr>
          </w:p>
        </w:tc>
        <w:tc>
          <w:tcPr>
            <w:tcW w:w="796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Select geographic markets that were part of the Combination that are smaller in nature and in which we had</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right w:val="single" w:sz="8" w:color="auto"/>
            </w:tcBorders>
          </w:tcPr>
          <w:p>
            <w:pPr>
              <w:spacing w:after="0"/>
              <w:rPr>
                <w:sz w:val="18"/>
                <w:szCs w:val="18"/>
                <w:color w:val="auto"/>
              </w:rPr>
            </w:pPr>
          </w:p>
        </w:tc>
        <w:tc>
          <w:tcPr>
            <w:tcW w:w="7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established infrastructure prior to or following the Combination and that the Company has divested or</w:t>
            </w:r>
          </w:p>
        </w:tc>
        <w:tc>
          <w:tcPr>
            <w:tcW w:w="0" w:type="dxa"/>
            <w:vAlign w:val="bottom"/>
          </w:tcPr>
          <w:p>
            <w:pPr>
              <w:spacing w:after="0"/>
              <w:rPr>
                <w:sz w:val="1"/>
                <w:szCs w:val="1"/>
                <w:color w:val="auto"/>
              </w:rPr>
            </w:pPr>
          </w:p>
        </w:tc>
      </w:tr>
      <w:tr>
        <w:trPr>
          <w:trHeight w:val="248"/>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Distributor Markets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intends to divest</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Senior unsecured notes denominated in U.S. dollars and originally issued by Upjohn Inc. or Viatris Inc.</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spacing w:after="0"/>
              <w:rPr>
                <w:sz w:val="16"/>
                <w:szCs w:val="16"/>
                <w:color w:val="auto"/>
              </w:rPr>
            </w:pPr>
          </w:p>
        </w:tc>
        <w:tc>
          <w:tcPr>
            <w:tcW w:w="79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pursuant to an indenture dated June 22, 2020 and fully and unconditionally guaranteed by Mylan Inc., Mylan</w:t>
            </w:r>
          </w:p>
        </w:tc>
        <w:tc>
          <w:tcPr>
            <w:tcW w:w="0" w:type="dxa"/>
            <w:vAlign w:val="bottom"/>
          </w:tcPr>
          <w:p>
            <w:pPr>
              <w:spacing w:after="0"/>
              <w:rPr>
                <w:sz w:val="1"/>
                <w:szCs w:val="1"/>
                <w:color w:val="auto"/>
              </w:rPr>
            </w:pPr>
          </w:p>
        </w:tc>
      </w:tr>
      <w:tr>
        <w:trPr>
          <w:trHeight w:val="234"/>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II B.V. and Utah Acquisition Sub Inc.</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Utah Acquisition Sub Inc., a Delaware corporation and an indirect wholly owned subsidiary of Viatris</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5.250% Senior Notes due 2046 issued by Utah Acquisition Sub Inc., which are fully and unconditionally</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Utah U.S. Dollar Notes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guaranteed on a senior unsecured basis by Mylan Inc., Viatris Inc. and Mylan II B.V.</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Viatris Inc., formerly known as Upjohn Inc. prior to the completion of the Combination</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spacing w:after="0"/>
              <w:rPr>
                <w:sz w:val="14"/>
                <w:szCs w:val="14"/>
                <w:color w:val="auto"/>
              </w:rPr>
            </w:pPr>
          </w:p>
        </w:tc>
        <w:tc>
          <w:tcPr>
            <w:tcW w:w="79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The ¥40 billion term loan agreement dated as of July 1, 2026, among Viatris, the guarantors from time to time</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YEN Term Loan Facility</w:t>
            </w:r>
          </w:p>
        </w:tc>
        <w:tc>
          <w:tcPr>
            <w:tcW w:w="7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party thereto, the lenders from time to time party thereto and Mizuho Bank, Ltd., as administrative agent</w:t>
            </w:r>
          </w:p>
        </w:tc>
        <w:tc>
          <w:tcPr>
            <w:tcW w:w="0" w:type="dxa"/>
            <w:vAlign w:val="bottom"/>
          </w:tcPr>
          <w:p>
            <w:pPr>
              <w:spacing w:after="0"/>
              <w:rPr>
                <w:sz w:val="1"/>
                <w:szCs w:val="1"/>
                <w:color w:val="auto"/>
              </w:rPr>
            </w:pPr>
          </w:p>
        </w:tc>
      </w:tr>
      <w:tr>
        <w:trPr>
          <w:trHeight w:val="898"/>
        </w:trPr>
        <w:tc>
          <w:tcPr>
            <w:tcW w:w="3300" w:type="dxa"/>
            <w:vAlign w:val="bottom"/>
          </w:tcPr>
          <w:p>
            <w:pPr>
              <w:spacing w:after="0"/>
              <w:rPr>
                <w:sz w:val="24"/>
                <w:szCs w:val="24"/>
                <w:color w:val="auto"/>
              </w:rPr>
            </w:pPr>
          </w:p>
        </w:tc>
        <w:tc>
          <w:tcPr>
            <w:tcW w:w="7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7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6,730.7</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6,336.0</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r>
      <w:tr>
        <w:trPr>
          <w:trHeight w:val="176"/>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 in unrecognized (loss) gain and prior service cost related to defined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plans</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(loss)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75"/>
        </w:trPr>
        <w:tc>
          <w:tcPr>
            <w:tcW w:w="61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unrecognized gain (loss) on derivatives in net investment hedging</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relationships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(loss) gain on available-for-sale fixed income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29"/>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9180"/>
        <w:spacing w:after="0"/>
        <w:tabs>
          <w:tab w:leader="none" w:pos="104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20"/>
          </w:cols>
          <w:pgMar w:left="320" w:top="114" w:right="359" w:bottom="1440" w:gutter="0" w:footer="0" w:header="0"/>
        </w:sect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Inventories</w:t>
      </w:r>
    </w:p>
    <w:p>
      <w:pPr>
        <w:spacing w:after="0" w:line="23" w:lineRule="exact"/>
        <w:rPr>
          <w:sz w:val="20"/>
          <w:szCs w:val="20"/>
          <w:color w:val="auto"/>
        </w:rPr>
      </w:pPr>
    </w:p>
    <w:p>
      <w:pPr>
        <w:ind w:left="680" w:right="320" w:hanging="201"/>
        <w:spacing w:after="0" w:line="273"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line="2" w:lineRule="exact"/>
        <w:rPr>
          <w:sz w:val="20"/>
          <w:szCs w:val="20"/>
          <w:color w:val="auto"/>
        </w:rPr>
      </w:pPr>
    </w:p>
    <w:p>
      <w:pPr>
        <w:ind w:left="240" w:right="1060"/>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Intangible assets, net Goodwill</w:t>
      </w:r>
    </w:p>
    <w:p>
      <w:pPr>
        <w:ind w:left="24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assets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162560</wp:posOffset>
            </wp:positionV>
            <wp:extent cx="71151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-128270</wp:posOffset>
            </wp:positionV>
            <wp:extent cx="7115175"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4240"/>
        <w:spacing w:after="0"/>
        <w:tabs>
          <w:tab w:leader="none" w:pos="4780" w:val="left"/>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1,789.2</w:t>
        <w:tab/>
        <w:t>$</w:t>
      </w:r>
      <w:r>
        <w:rPr>
          <w:sz w:val="20"/>
          <w:szCs w:val="20"/>
          <w:color w:val="auto"/>
        </w:rPr>
        <w:tab/>
      </w:r>
      <w:r>
        <w:rPr>
          <w:rFonts w:ascii="Times New Roman" w:cs="Times New Roman" w:eastAsia="Times New Roman" w:hAnsi="Times New Roman"/>
          <w:sz w:val="18"/>
          <w:szCs w:val="18"/>
          <w:color w:val="auto"/>
        </w:rPr>
        <w:t>1,322.4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71151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3,121.2</w:t>
      </w:r>
      <w:r>
        <w:rPr>
          <w:sz w:val="20"/>
          <w:szCs w:val="20"/>
          <w:color w:val="auto"/>
        </w:rPr>
        <w:tab/>
      </w:r>
      <w:r>
        <w:rPr>
          <w:rFonts w:ascii="Times New Roman" w:cs="Times New Roman" w:eastAsia="Times New Roman" w:hAnsi="Times New Roman"/>
          <w:sz w:val="18"/>
          <w:szCs w:val="18"/>
          <w:color w:val="auto"/>
        </w:rPr>
        <w:t>3,031.3</w:t>
      </w:r>
    </w:p>
    <w:p>
      <w:pPr>
        <w:spacing w:after="0" w:line="23"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3,829.2</w:t>
      </w:r>
      <w:r>
        <w:rPr>
          <w:sz w:val="20"/>
          <w:szCs w:val="20"/>
          <w:color w:val="auto"/>
        </w:rPr>
        <w:tab/>
      </w:r>
      <w:r>
        <w:rPr>
          <w:rFonts w:ascii="Times New Roman" w:cs="Times New Roman" w:eastAsia="Times New Roman" w:hAnsi="Times New Roman"/>
          <w:sz w:val="18"/>
          <w:szCs w:val="18"/>
          <w:color w:val="auto"/>
        </w:rPr>
        <w:t>3,999.2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1,558.2</w:t>
      </w:r>
      <w:r>
        <w:rPr>
          <w:sz w:val="20"/>
          <w:szCs w:val="20"/>
          <w:color w:val="auto"/>
        </w:rPr>
        <w:tab/>
      </w:r>
      <w:r>
        <w:rPr>
          <w:rFonts w:ascii="Times New Roman" w:cs="Times New Roman" w:eastAsia="Times New Roman" w:hAnsi="Times New Roman"/>
          <w:sz w:val="18"/>
          <w:szCs w:val="18"/>
          <w:color w:val="auto"/>
        </w:rPr>
        <w:t>1,436.3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14605</wp:posOffset>
            </wp:positionV>
            <wp:extent cx="1594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1"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10,297.8</w:t>
      </w:r>
      <w:r>
        <w:rPr>
          <w:sz w:val="20"/>
          <w:szCs w:val="20"/>
          <w:color w:val="auto"/>
        </w:rPr>
        <w:tab/>
      </w:r>
      <w:r>
        <w:rPr>
          <w:rFonts w:ascii="Times New Roman" w:cs="Times New Roman" w:eastAsia="Times New Roman" w:hAnsi="Times New Roman"/>
          <w:sz w:val="18"/>
          <w:szCs w:val="18"/>
          <w:color w:val="auto"/>
        </w:rPr>
        <w:t>9,789.2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2,419.8</w:t>
      </w:r>
      <w:r>
        <w:rPr>
          <w:sz w:val="20"/>
          <w:szCs w:val="20"/>
          <w:color w:val="auto"/>
        </w:rPr>
        <w:tab/>
      </w:r>
      <w:r>
        <w:rPr>
          <w:rFonts w:ascii="Times New Roman" w:cs="Times New Roman" w:eastAsia="Times New Roman" w:hAnsi="Times New Roman"/>
          <w:sz w:val="18"/>
          <w:szCs w:val="18"/>
          <w:color w:val="auto"/>
        </w:rPr>
        <w:t>2,614.0</w:t>
      </w:r>
    </w:p>
    <w:p>
      <w:pPr>
        <w:spacing w:after="0" w:line="23" w:lineRule="exact"/>
        <w:rPr>
          <w:sz w:val="20"/>
          <w:szCs w:val="20"/>
          <w:color w:val="auto"/>
        </w:rPr>
      </w:pPr>
    </w:p>
    <w:p>
      <w:pPr>
        <w:jc w:val="right"/>
        <w:ind w:right="60"/>
        <w:spacing w:after="0"/>
        <w:tabs>
          <w:tab w:leader="none" w:pos="620" w:val="left"/>
        </w:tabs>
        <w:rPr>
          <w:sz w:val="20"/>
          <w:szCs w:val="20"/>
          <w:color w:val="auto"/>
        </w:rPr>
      </w:pPr>
      <w:r>
        <w:rPr>
          <w:rFonts w:ascii="Times New Roman" w:cs="Times New Roman" w:eastAsia="Times New Roman" w:hAnsi="Times New Roman"/>
          <w:sz w:val="18"/>
          <w:szCs w:val="18"/>
          <w:color w:val="auto"/>
        </w:rPr>
        <w:t>13,079.5</w:t>
      </w:r>
      <w:r>
        <w:rPr>
          <w:sz w:val="20"/>
          <w:szCs w:val="20"/>
          <w:color w:val="auto"/>
        </w:rPr>
        <w:tab/>
      </w:r>
      <w:r>
        <w:rPr>
          <w:rFonts w:ascii="Times New Roman" w:cs="Times New Roman" w:eastAsia="Times New Roman" w:hAnsi="Times New Roman"/>
          <w:sz w:val="18"/>
          <w:szCs w:val="18"/>
          <w:color w:val="auto"/>
        </w:rPr>
        <w:t>15,102.1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6,620.0</w:t>
      </w:r>
      <w:r>
        <w:rPr>
          <w:sz w:val="20"/>
          <w:szCs w:val="20"/>
          <w:color w:val="auto"/>
        </w:rPr>
        <w:tab/>
      </w:r>
      <w:r>
        <w:rPr>
          <w:rFonts w:ascii="Times New Roman" w:cs="Times New Roman" w:eastAsia="Times New Roman" w:hAnsi="Times New Roman"/>
          <w:sz w:val="18"/>
          <w:szCs w:val="18"/>
          <w:color w:val="auto"/>
        </w:rPr>
        <w:t>6,754.7</w:t>
      </w:r>
    </w:p>
    <w:p>
      <w:pPr>
        <w:spacing w:after="0" w:line="23"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1,173.0</w:t>
      </w:r>
      <w:r>
        <w:rPr>
          <w:sz w:val="20"/>
          <w:szCs w:val="20"/>
          <w:color w:val="auto"/>
        </w:rPr>
        <w:tab/>
      </w:r>
      <w:r>
        <w:rPr>
          <w:rFonts w:ascii="Times New Roman" w:cs="Times New Roman" w:eastAsia="Times New Roman" w:hAnsi="Times New Roman"/>
          <w:sz w:val="18"/>
          <w:szCs w:val="18"/>
          <w:color w:val="auto"/>
        </w:rPr>
        <w:t>1,061.2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14605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right"/>
        <w:ind w:right="60"/>
        <w:spacing w:after="0"/>
        <w:tabs>
          <w:tab w:leader="none" w:pos="520" w:val="left"/>
        </w:tabs>
        <w:rPr>
          <w:sz w:val="20"/>
          <w:szCs w:val="20"/>
          <w:color w:val="auto"/>
        </w:rPr>
      </w:pPr>
      <w:r>
        <w:rPr>
          <w:rFonts w:ascii="Times New Roman" w:cs="Times New Roman" w:eastAsia="Times New Roman" w:hAnsi="Times New Roman"/>
          <w:sz w:val="18"/>
          <w:szCs w:val="18"/>
          <w:color w:val="auto"/>
        </w:rPr>
        <w:t>1,092.5</w:t>
      </w:r>
      <w:r>
        <w:rPr>
          <w:sz w:val="20"/>
          <w:szCs w:val="20"/>
          <w:color w:val="auto"/>
        </w:rPr>
        <w:tab/>
      </w:r>
      <w:r>
        <w:rPr>
          <w:rFonts w:ascii="Times New Roman" w:cs="Times New Roman" w:eastAsia="Times New Roman" w:hAnsi="Times New Roman"/>
          <w:sz w:val="18"/>
          <w:szCs w:val="18"/>
          <w:color w:val="auto"/>
        </w:rPr>
        <w:t>1,871.9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14605</wp:posOffset>
            </wp:positionV>
            <wp:extent cx="1594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1" w:lineRule="exact"/>
        <w:rPr>
          <w:sz w:val="20"/>
          <w:szCs w:val="20"/>
          <w:color w:val="auto"/>
        </w:rPr>
      </w:pPr>
    </w:p>
    <w:p>
      <w:pPr>
        <w:jc w:val="both"/>
        <w:ind w:left="4240"/>
        <w:spacing w:after="0"/>
        <w:tabs>
          <w:tab w:leader="none" w:pos="4700" w:val="left"/>
          <w:tab w:leader="none" w:pos="5520" w:val="left"/>
          <w:tab w:leader="none" w:pos="6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34,682.6</w:t>
        <w:tab/>
        <w:t>$</w:t>
      </w:r>
      <w:r>
        <w:rPr>
          <w:sz w:val="20"/>
          <w:szCs w:val="20"/>
          <w:color w:val="auto"/>
        </w:rPr>
        <w:tab/>
      </w:r>
      <w:r>
        <w:rPr>
          <w:rFonts w:ascii="Times New Roman" w:cs="Times New Roman" w:eastAsia="Times New Roman" w:hAnsi="Times New Roman"/>
          <w:sz w:val="18"/>
          <w:szCs w:val="18"/>
          <w:color w:val="auto"/>
        </w:rPr>
        <w:t>37,193.1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44" w:lineRule="exact"/>
        <w:rPr>
          <w:sz w:val="20"/>
          <w:szCs w:val="20"/>
          <w:color w:val="auto"/>
        </w:rPr>
      </w:pPr>
    </w:p>
    <w:p>
      <w:pPr>
        <w:sectPr>
          <w:pgSz w:w="11900" w:h="16838" w:orient="portrait"/>
          <w:cols w:equalWidth="0" w:num="2">
            <w:col w:w="3780" w:space="720"/>
            <w:col w:w="6720"/>
          </w:cols>
          <w:pgMar w:left="320" w:top="114" w:right="35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w:t>
            </w:r>
          </w:p>
        </w:tc>
      </w:tr>
      <w:tr>
        <w:trPr>
          <w:trHeight w:val="229"/>
        </w:trPr>
        <w:tc>
          <w:tcPr>
            <w:tcW w:w="8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3,282.9</w:t>
            </w:r>
          </w:p>
        </w:tc>
      </w:tr>
      <w:tr>
        <w:trPr>
          <w:trHeight w:val="223"/>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7,094.3</w:t>
            </w:r>
          </w:p>
        </w:tc>
      </w:tr>
      <w:tr>
        <w:trPr>
          <w:trHeight w:val="229"/>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12,480.6</w:t>
            </w:r>
          </w:p>
        </w:tc>
      </w:tr>
      <w:tr>
        <w:trPr>
          <w:trHeight w:val="23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22,481.8</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76"/>
        </w:trPr>
        <w:tc>
          <w:tcPr>
            <w:tcW w:w="87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3,000,000,000 shares authorized; shares issued: 1,258,911,040 and</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1,245,391,929 as of September 30, 2026 and December 31, 2025</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18,801.3</w:t>
            </w:r>
          </w:p>
        </w:tc>
      </w:tr>
      <w:tr>
        <w:trPr>
          <w:trHeight w:val="229"/>
        </w:trPr>
        <w:tc>
          <w:tcPr>
            <w:tcW w:w="8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Retained deficit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r>
      <w:tr>
        <w:trPr>
          <w:trHeight w:val="223"/>
        </w:trPr>
        <w:tc>
          <w:tcPr>
            <w:tcW w:w="8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15,718.5</w:t>
            </w:r>
          </w:p>
        </w:tc>
      </w:tr>
      <w:tr>
        <w:trPr>
          <w:trHeight w:val="230"/>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Common stock shares: 112,461,919 and 94,176,848 as of September 30, 2026 and December 31, 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2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14,711.3</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37,193.1</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 except share and per share amounts)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vMerge w:val="continue"/>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80" w:type="dxa"/>
            <w:vAlign w:val="bottom"/>
            <w:gridSpan w:val="3"/>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1,258,784,090</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$18,560.4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103,547,908</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(2,824.8)</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$14,260.4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8,914,011</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76"/>
        </w:trPr>
        <w:tc>
          <w:tcPr>
            <w:tcW w:w="3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Cash dividends declared, $0.12 per common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1,258,911,040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18,459.1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112,461,919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$13,685.5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88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940" w:type="dxa"/>
            <w:vAlign w:val="bottom"/>
            <w:gridSpan w:val="4"/>
            <w:vMerge w:val="continue"/>
          </w:tcPr>
          <w:p>
            <w:pPr>
              <w:spacing w:after="0"/>
              <w:rPr>
                <w:sz w:val="9"/>
                <w:szCs w:val="9"/>
                <w:color w:val="auto"/>
              </w:rPr>
            </w:pP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1,245,391,929</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$18,801.3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(388.3)</w:t>
            </w: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94,176,848</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$14,711.3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13,407,867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75"/>
        </w:trPr>
        <w:tc>
          <w:tcPr>
            <w:tcW w:w="3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18,285,071</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6"/>
        </w:trPr>
        <w:tc>
          <w:tcPr>
            <w:tcW w:w="37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Cash dividends declared, $0.36 per common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1,258,911,040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18,459.1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(656.0)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112,461,919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$13,685.5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3"/>
        </w:trPr>
        <w:tc>
          <w:tcPr>
            <w:tcW w:w="1080" w:type="dxa"/>
            <w:vAlign w:val="bottom"/>
            <w:tcBorders>
              <w:top w:val="single" w:sz="8" w:color="0000FF"/>
            </w:tcBorders>
          </w:tcPr>
          <w:p>
            <w:pPr>
              <w:spacing w:after="0"/>
              <w:rPr>
                <w:sz w:val="24"/>
                <w:szCs w:val="24"/>
                <w:color w:val="auto"/>
              </w:rPr>
            </w:pPr>
          </w:p>
        </w:tc>
        <w:tc>
          <w:tcPr>
            <w:tcW w:w="2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7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88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700" w:type="dxa"/>
            <w:vAlign w:val="bottom"/>
            <w:gridSpan w:val="4"/>
            <w:vMerge w:val="continue"/>
          </w:tcPr>
          <w:p>
            <w:pPr>
              <w:spacing w:after="0"/>
              <w:rPr>
                <w:sz w:val="9"/>
                <w:szCs w:val="9"/>
                <w:color w:val="auto"/>
              </w:rPr>
            </w:pPr>
          </w:p>
        </w:tc>
        <w:tc>
          <w:tcPr>
            <w:tcW w:w="1080" w:type="dxa"/>
            <w:vAlign w:val="bottom"/>
            <w:gridSpan w:val="3"/>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1,245,047,557</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$18,998.2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79,334,807</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$15,570.5</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175"/>
        </w:trPr>
        <w:tc>
          <w:tcPr>
            <w:tcW w:w="39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76"/>
        </w:trPr>
        <w:tc>
          <w:tcPr>
            <w:tcW w:w="39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6,787,315</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dividends declared, $0.12 per common 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1,245,284,268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18,890.7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86,122,122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$15,217.6</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9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7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920" w:type="dxa"/>
            <w:vAlign w:val="bottom"/>
            <w:gridSpan w:val="5"/>
            <w:vMerge w:val="continue"/>
          </w:tcPr>
          <w:p>
            <w:pPr>
              <w:spacing w:after="0"/>
              <w:rPr>
                <w:sz w:val="9"/>
                <w:szCs w:val="9"/>
                <w:color w:val="auto"/>
              </w:rPr>
            </w:pPr>
          </w:p>
        </w:tc>
        <w:tc>
          <w:tcPr>
            <w:tcW w:w="88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700" w:type="dxa"/>
            <w:vAlign w:val="bottom"/>
            <w:gridSpan w:val="4"/>
            <w:vMerge w:val="continue"/>
          </w:tcPr>
          <w:p>
            <w:pPr>
              <w:spacing w:after="0"/>
              <w:rPr>
                <w:sz w:val="9"/>
                <w:szCs w:val="9"/>
                <w:color w:val="auto"/>
              </w:rPr>
            </w:pPr>
          </w:p>
        </w:tc>
        <w:tc>
          <w:tcPr>
            <w:tcW w:w="1080" w:type="dxa"/>
            <w:vAlign w:val="bottom"/>
            <w:gridSpan w:val="3"/>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1,234,131,491</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$18,921.6</w:t>
            </w:r>
          </w:p>
        </w:tc>
        <w:tc>
          <w:tcPr>
            <w:tcW w:w="8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$ 3,418.8</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40,483,663</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$18,635.5</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176"/>
        </w:trPr>
        <w:tc>
          <w:tcPr>
            <w:tcW w:w="39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10,943,849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76"/>
        </w:trPr>
        <w:tc>
          <w:tcPr>
            <w:tcW w:w="39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repurchase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45,638,459</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29"/>
        </w:trPr>
        <w:tc>
          <w:tcPr>
            <w:tcW w:w="3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dividends declared, $0.36 per common share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48"/>
        </w:trPr>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1,245,284,268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18,890.7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86,122,122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$15,217.6</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(3,174.8)</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Loss on disposal of business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Acquired IPR&amp;D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Impairment of goodwill</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2,936.8</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non-cash items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w:t>
            </w:r>
          </w:p>
        </w:tc>
      </w:tr>
      <w:tr>
        <w:trPr>
          <w:trHeight w:val="219"/>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3"/>
        </w:trPr>
        <w:tc>
          <w:tcPr>
            <w:tcW w:w="8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r>
      <w:tr>
        <w:trPr>
          <w:trHeight w:val="213"/>
        </w:trPr>
        <w:tc>
          <w:tcPr>
            <w:tcW w:w="87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r>
      <w:tr>
        <w:trPr>
          <w:trHeight w:val="219"/>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r>
      <w:tr>
        <w:trPr>
          <w:trHeight w:val="207"/>
        </w:trPr>
        <w:tc>
          <w:tcPr>
            <w:tcW w:w="8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1,500.1</w:t>
            </w:r>
          </w:p>
        </w:tc>
      </w:tr>
      <w:tr>
        <w:trPr>
          <w:trHeight w:val="19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IPR&amp;D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the sale of property, plant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r>
      <w:tr>
        <w:trPr>
          <w:trHeight w:val="19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financing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8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w:t>
            </w:r>
          </w:p>
        </w:tc>
      </w:tr>
      <w:tr>
        <w:trPr>
          <w:trHeight w:val="219"/>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items,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w:t>
            </w:r>
          </w:p>
        </w:tc>
      </w:tr>
      <w:tr>
        <w:trPr>
          <w:trHeight w:val="212"/>
        </w:trPr>
        <w:tc>
          <w:tcPr>
            <w:tcW w:w="8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w:t>
            </w:r>
          </w:p>
        </w:tc>
      </w:tr>
      <w:tr>
        <w:trPr>
          <w:trHeight w:val="207"/>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financial position, equity and cash flows for the periods presented.</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 Viatris’ 2025 Form 10-K. The December 31, 2025 condensed consolidated balance sheet was derived from audited financial statements.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interim results of operations and comprehensive loss for the three and nine months ended September 30, 2026, and cash flows for the nine months ended September 30, 2026, are not necessarily indicative of the results to be expected for the full fiscal year or any other future period.</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22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the Company’s net sales by product category for each of our reportable segments for the three and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tcPr>
          <w:p>
            <w:pPr>
              <w:spacing w:after="0"/>
              <w:rPr>
                <w:sz w:val="16"/>
                <w:szCs w:val="16"/>
                <w:color w:val="auto"/>
              </w:rPr>
            </w:pPr>
          </w:p>
        </w:tc>
        <w:tc>
          <w:tcPr>
            <w:tcW w:w="438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0"/>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2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10,990.3</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tcPr>
          <w:p>
            <w:pPr>
              <w:spacing w:after="0"/>
              <w:rPr>
                <w:sz w:val="16"/>
                <w:szCs w:val="16"/>
                <w:color w:val="auto"/>
              </w:rPr>
            </w:pPr>
          </w:p>
        </w:tc>
        <w:tc>
          <w:tcPr>
            <w:tcW w:w="438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80" w:type="dxa"/>
            <w:vAlign w:val="bottom"/>
            <w:vMerge w:val="continue"/>
          </w:tcPr>
          <w:p>
            <w:pPr>
              <w:spacing w:after="0"/>
              <w:rPr>
                <w:sz w:val="15"/>
                <w:szCs w:val="15"/>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0"/>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2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4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6,838.2</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3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the impact of foreign currency fluctuations.</w:t>
      </w:r>
    </w:p>
    <w:p>
      <w:pPr>
        <w:spacing w:after="0" w:line="9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sales on a consolidated basis for select key products for the three and nine months ended September 30, 2026 and 2025,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Global Products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Lipitor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Norvasc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EpiPen® Auto-Injectors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Lyrica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Creon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Viagra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Zoloft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Celebrex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Effexor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Xalabrands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Select Key Segment Products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Influvac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Yupelri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Xanax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Amitiza ®</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Dymista ®</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does not disclose net sales for any products considered competitively sensitive.</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Products disclosed may change in future periods, including as a result of seasonality, competition or new product launches.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the impact of foreign currency fluctuations compared to the prior year period.</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intellectual property matters included in Note 18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for additional information regarding Amitiza®.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Variable Consideration and Accounts Receivable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three and nine months ended September 30, 2026 and 2025,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17,753.3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(3,684.5)</w:t>
            </w:r>
          </w:p>
        </w:tc>
        <w:tc>
          <w:tcPr>
            <w:tcW w:w="0" w:type="dxa"/>
            <w:vAlign w:val="bottom"/>
          </w:tcPr>
          <w:p>
            <w:pPr>
              <w:spacing w:after="0"/>
              <w:rPr>
                <w:sz w:val="1"/>
                <w:szCs w:val="1"/>
                <w:color w:val="auto"/>
              </w:rPr>
            </w:pP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3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the impact of foreign currency fluctuations.</w:t>
      </w:r>
    </w:p>
    <w:p>
      <w:pPr>
        <w:spacing w:after="0" w:line="90" w:lineRule="exact"/>
        <w:rPr>
          <w:sz w:val="20"/>
          <w:szCs w:val="20"/>
          <w:color w:val="auto"/>
        </w:rPr>
      </w:pPr>
    </w:p>
    <w:p>
      <w:pPr>
        <w:jc w:val="both"/>
        <w:ind w:right="220" w:firstLine="648"/>
        <w:spacing w:after="0" w:line="312" w:lineRule="auto"/>
        <w:rPr>
          <w:sz w:val="20"/>
          <w:szCs w:val="20"/>
          <w:color w:val="auto"/>
        </w:rPr>
      </w:pPr>
      <w:r>
        <w:rPr>
          <w:rFonts w:ascii="Times New Roman" w:cs="Times New Roman" w:eastAsia="Times New Roman" w:hAnsi="Times New Roman"/>
          <w:sz w:val="17"/>
          <w:szCs w:val="17"/>
          <w:color w:val="auto"/>
        </w:rPr>
        <w:t>No significant revisions were made to the methodology used in determining these provisions or the nature of the provisions during the three and nine months ended September 30, 2026. Such allowances were comprised of the following at September 30, 2026 and December 31, 2025, respectively:</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net was comprised of the following at September 30, 2026 and December 31, 2025, respectively:</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$149.9 million and $301.9 million of accounts receivable as of September 30, 2026 and December 31, 2025, respectively, under these factoring arrangements. Additionally, we have a similar arrangement for certain European countries. As of September 30, 2026, we assigned and derecognized approximately $50.7 million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were included in </w:t>
      </w:r>
      <w:r>
        <w:rPr>
          <w:rFonts w:ascii="Times New Roman" w:cs="Times New Roman" w:eastAsia="Times New Roman" w:hAnsi="Times New Roman"/>
          <w:sz w:val="18"/>
          <w:szCs w:val="18"/>
          <w:i w:val="1"/>
          <w:iCs w:val="1"/>
          <w:color w:val="auto"/>
        </w:rPr>
        <w:t>Other Receivable</w:t>
      </w:r>
      <w:r>
        <w:rPr>
          <w:rFonts w:ascii="Times New Roman" w:cs="Times New Roman" w:eastAsia="Times New Roman" w:hAnsi="Times New Roman"/>
          <w:sz w:val="18"/>
          <w:szCs w:val="18"/>
          <w:color w:val="auto"/>
        </w:rPr>
        <w:t>s. As of December 31, 2025, no amounts were assigned and derecognized.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jc w:val="both"/>
        <w:ind w:left="340" w:right="8040" w:hanging="332"/>
        <w:spacing w:after="0" w:line="548" w:lineRule="auto"/>
        <w:tabs>
          <w:tab w:leader="none" w:pos="3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color w:val="auto"/>
        </w:rPr>
        <w:t>Adoption of New Accounting Standards</w:t>
      </w: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permitting an entity to assume that conditions as of the balance sheet date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unchanged over the life of the asset when estimating expected credit losses for current accounts receivable and current contract assets. ASU 2025-05 is effective for annual reporting periods beginning after December 15, 2025, and interim reporting periods within those annual reporting periods, with early adoption permitted. Entities should apply the new guidance prospectively. We adopted this guidance beginning January 1, 2026. The adoption of this ASU did not have a material impact on the Company’s condensed consolidated financial statements and disclosures.</w:t>
      </w:r>
    </w:p>
    <w:p>
      <w:pPr>
        <w:spacing w:after="0" w:line="21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were no other significant changes in new accounting standards from those disclosed in Viatris’ 2025 Form 10-K. Refer to Viatris’ 2025 Form 10-K for additional information.</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Pacira BioSciences Inc.</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October 8, 2026, the Company entered into the Pacira Merger Agreement with Pacira under which Viatris has agreed to acquire all of the outstanding Pacira Shares for $36.50 per share in cash, representing an aggregate equity value of $1.65 billion. Pacira brings two established, high-margin, patent-protected, in-market U.S. products – EXPAREL® (bupivacaine liposome injectable suspension) and ZILRETTA® (triamcinolone acetonide extended-release injectable suspension). Viatris plans to leverage its intellectual property expertise and proven ability to extend product lifecycles and sustain meaningful sales after the entry of competition to maximize the long-term value of the Pacira portfolio and expects to expand the products' reach across select markets within its global infrastructure.</w:t>
      </w:r>
    </w:p>
    <w:p>
      <w:pPr>
        <w:spacing w:after="0" w:line="21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October 30, 2026, the Company commenced the Pacira Offer to purchase all of the issued and outstanding Pacira Shares for $36.50 per share in cash, net of applicable withholding taxes and without interest, upon the terms and subject to the conditions set forth in the related Pacira Merger Agreement. The Pacira Offer and withdrawal rights will expire at one minute after 11:59 p.m., Eastern Time, on November 16, 2026, unless the Pacira Offer is extended or earlier terminated in accordance with the Pacira Merger Agreement. Following completion of the Pacira Offer, Viatris will acquire all remaining Pacira Shares not tendered in the Pacira Offer through the Pacira Merger for the same consideration. The Company expects to fund the transaction primarily from excess cash with the remainder from short-term borrowings.</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which was unanimously approved by the boards of directors of both companies, is subject to customary closing conditions, including the tender of a majority of the outstanding Pacira Shares and expiration of the applicable regulatory waiting period. The transaction is expected to close by the end of November 2026.</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Divestitures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recorded additional pre-tax charges of approximately $13.9 million, and during the three and nine months ended September 30, 2025, the Company recorded pre-tax (gain) charges of approximately $(1.6) million and $79.1 million, respectively, primarily related to the divestitures of the OTC and API businesses. The additional charges were recorded as a component of </w:t>
      </w:r>
      <w:r>
        <w:rPr>
          <w:rFonts w:ascii="Times New Roman" w:cs="Times New Roman" w:eastAsia="Times New Roman" w:hAnsi="Times New Roman"/>
          <w:sz w:val="18"/>
          <w:szCs w:val="18"/>
          <w:i w:val="1"/>
          <w:iCs w:val="1"/>
          <w:color w:val="auto"/>
        </w:rPr>
        <w:t>Other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in the condensed consolidated statements of operations, and were primarily due to an increase in estimated transaction related costs,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of additional contractual obligations, as well as the impact of working capital and other transaction-related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The transition services and distribution agreements were substantially concluded as of December 31, 2025.</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of Tyrvaya® Product Rights</w:t>
      </w:r>
    </w:p>
    <w:p>
      <w:pPr>
        <w:spacing w:after="0" w:line="25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On August 3, 2026, the Company entered into a definitive agreement to sell the product rights for Tyrvaya® for upfront cash consideration of $30 million and potential contingent sales milestones of up to $70 million. On October 1, 2026, the Company amended and restated the definitive agreement to retain the rights to commercialize Tyrvaya® in Japan, subject to future sales royalties, and subsequently closed the transaction.</w:t>
      </w:r>
    </w:p>
    <w:p>
      <w:pPr>
        <w:spacing w:after="0" w:line="20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2026, the Company determined that the intangible asset related to Tyrvaya® should be classified as held for sale. Upon classification as held for sale, the Company recognized a charge of $177.8 million to write down the intangible asset to fair value, less cost to sell. During the third quarter of 2026, the Company adjusted the assets and liabilities held for sale, resulting in a gain of $0.8 million. The amounts are included in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on the condensed consolidated statements of operations. The assets and liabilities reclassified as held for sale are included in </w:t>
      </w:r>
      <w:r>
        <w:rPr>
          <w:rFonts w:ascii="Times New Roman" w:cs="Times New Roman" w:eastAsia="Times New Roman" w:hAnsi="Times New Roman"/>
          <w:sz w:val="18"/>
          <w:szCs w:val="18"/>
          <w:i w:val="1"/>
          <w:iCs w:val="1"/>
          <w:color w:val="auto"/>
        </w:rPr>
        <w:t>Prepaid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Current Assets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Other Current Liabilities</w:t>
      </w:r>
      <w:r>
        <w:rPr>
          <w:rFonts w:ascii="Times New Roman" w:cs="Times New Roman" w:eastAsia="Times New Roman" w:hAnsi="Times New Roman"/>
          <w:sz w:val="18"/>
          <w:szCs w:val="18"/>
          <w:color w:val="auto"/>
        </w:rPr>
        <w:t>, respectively, in the condensed consolidated balance sheet.</w:t>
      </w: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Incentive Plan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2020 Incentive Plan (the </w:t>
      </w:r>
      <w:r>
        <w:rPr>
          <w:rFonts w:ascii="Times New Roman" w:cs="Times New Roman" w:eastAsia="Times New Roman" w:hAnsi="Times New Roman"/>
          <w:sz w:val="18"/>
          <w:szCs w:val="18"/>
          <w:i w:val="1"/>
          <w:iCs w:val="1"/>
          <w:color w:val="auto"/>
        </w:rPr>
        <w:t>Viatris Inc. 2020 Stock Incentive Plan</w:t>
      </w:r>
      <w:r>
        <w:rPr>
          <w:rFonts w:ascii="Times New Roman" w:cs="Times New Roman" w:eastAsia="Times New Roman" w:hAnsi="Times New Roman"/>
          <w:sz w:val="18"/>
          <w:szCs w:val="18"/>
          <w:color w:val="auto"/>
        </w:rPr>
        <w:t>) which became effective as of the Distribution. In connection with the Combination, as of November 16,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the 2003 LTIP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Board approved an amendment to the 2020 Incentive Plan, which was approved by Viatris shareholders on December 6, 2024, to increase the maximum aggregate number of shares of Viatris common stock available for issuance under the 2020 Incentive Plan by 49,000,000.</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2020 Incentive Plan, shares are reserved for issuance to key employees, consultants, independent contractors and non-employee directors of the Company through a variety of incentive awards, including: stock options, stock appreciation rights,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options activity: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1,817,465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stock options outstanding, stock options vested and expected to vest, and stock options exercisable each had average remaining contractual terms of 2.0 years, and each had aggregate intrinsic values of approximately $0.4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changes in the Company’s nonvested Restricted Stock Awards (restricted stock and restricted stock unit awards,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PSUs) from December 31, 2025 to September 30, 2026 is presented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32,916,111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14,565,838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(15,618,994)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(2,752,042)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29,110,913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$201.0 million of total unrecognized compensation expense, net of estimated forfeitures, related to all of its stock-based awards, which we expect to recognize over the remaining weighted average vesting period of 1.5 years. The total intrinsic value of Restricted Stock Awards released and stock options exercised during the nine months ended September 30, 2026 and 2025 was $222.8 million and $120.9 million, respectively.</w:t>
      </w:r>
    </w:p>
    <w:p>
      <w:pPr>
        <w:spacing w:after="0" w:line="200" w:lineRule="exact"/>
        <w:rPr>
          <w:sz w:val="20"/>
          <w:szCs w:val="20"/>
          <w:color w:val="auto"/>
        </w:rPr>
      </w:pPr>
    </w:p>
    <w:p>
      <w:pPr>
        <w:spacing w:after="0" w:line="219" w:lineRule="exact"/>
        <w:rPr>
          <w:sz w:val="20"/>
          <w:szCs w:val="20"/>
          <w:color w:val="auto"/>
        </w:rPr>
      </w:pPr>
    </w:p>
    <w:p>
      <w:pPr>
        <w:ind w:left="340" w:right="7540" w:hanging="332"/>
        <w:spacing w:after="0" w:line="503" w:lineRule="auto"/>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Pensions and Other Postretirement Benefits </w:t>
      </w:r>
      <w:r>
        <w:rPr>
          <w:rFonts w:ascii="Times New Roman" w:cs="Times New Roman" w:eastAsia="Times New Roman" w:hAnsi="Times New Roman"/>
          <w:sz w:val="18"/>
          <w:szCs w:val="18"/>
          <w:i w:val="1"/>
          <w:iCs w:val="1"/>
          <w:color w:val="auto"/>
        </w:rPr>
        <w:t>Defined Benefit Plans</w:t>
      </w: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three and nine months ended September 30, 2026 and 2025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Pension and Other Postretirement Benefits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the minimum mandatory contributions to its defined benefit pension plans in the U.S. and Puerto Rico for the 2026 plan year. The Company expects to make total benefit payments of approximately $170.0 million from pension and other postretirement benefit plans in 2026. The Company anticipates making contributions to pension and other postretirement benefit plans of approximately $60.9 million in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7"/>
          <w:szCs w:val="17"/>
          <w:color w:val="auto"/>
        </w:rPr>
        <w:t>On July 17, 2025, the Company approved an amendment to terminate one of its defined benefit plans in the United States (the “U.S. Plan”). The distribution of the U.S. Plan assets pursuant to the termination will not be made until the plan termination satisfies all regulatory requirements, which is expected to be completed by the end of 2026. U.S. Plan participants will receive their full accrued benefits from plan assets by electing either lump sum distributions or annuity contracts with a qualifying third-party annuity provider. The resulting settlement effect of the U.S. Plan termination will be determined based on prevailing market conditions, the lump sum offer participation rate of eligible participants, the actual lump sum distributions, and annuity purchase rates at the date of distribution. As a result, the Company is currently unable to reasonably estimate either the timing or the final amount of such settlement charges. Based on the valuation performed as of January 1, 2026, the U.S. Plan had an overfunded status of approximately $0.2 million.</w:t>
      </w:r>
    </w:p>
    <w:p>
      <w:pPr>
        <w:spacing w:after="0" w:line="200" w:lineRule="exact"/>
        <w:rPr>
          <w:sz w:val="20"/>
          <w:szCs w:val="20"/>
          <w:color w:val="auto"/>
        </w:rPr>
      </w:pPr>
    </w:p>
    <w:p>
      <w:pPr>
        <w:spacing w:after="0" w:line="21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520" w:type="dxa"/>
            <w:vAlign w:val="bottom"/>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160" w:type="dxa"/>
            <w:vAlign w:val="bottom"/>
            <w:vMerge w:val="continue"/>
          </w:tcPr>
          <w:p>
            <w:pPr>
              <w:spacing w:after="0"/>
              <w:rPr>
                <w:sz w:val="16"/>
                <w:szCs w:val="16"/>
                <w:color w:val="auto"/>
              </w:rPr>
            </w:pPr>
          </w:p>
        </w:tc>
        <w:tc>
          <w:tcPr>
            <w:tcW w:w="45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21"/>
                <w:szCs w:val="21"/>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 for taxes on intercompany profit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2"/>
                <w:szCs w:val="2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0"/>
        </w:trPr>
        <w:tc>
          <w:tcPr>
            <w:tcW w:w="8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CCPS in Biocon Biologics </w:t>
      </w:r>
      <w:r>
        <w:rPr>
          <w:rFonts w:ascii="Times New Roman" w:cs="Times New Roman" w:eastAsia="Times New Roman" w:hAnsi="Times New Roman"/>
          <w:sz w:val="23"/>
          <w:szCs w:val="23"/>
          <w:color w:val="auto"/>
          <w:vertAlign w:val="superscript"/>
        </w:rPr>
        <w:t>(1)</w:t>
      </w:r>
    </w:p>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711517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85"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r>
      <w:tr>
        <w:trPr>
          <w:trHeight w:val="230"/>
        </w:trPr>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34"/>
        </w:trPr>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0"/>
        </w:trPr>
        <w:tc>
          <w:tcPr>
            <w:tcW w:w="10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000" w:space="720"/>
            <w:col w:w="2500"/>
          </w:cols>
          <w:pgMar w:left="320" w:top="114" w:right="35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7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22"/>
                <w:szCs w:val="22"/>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allowances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holders of Viatris Inc. common stock by the weighted average number of shares outstanding during the period. Diluted loss per share is computed by dividing net loss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loss per share attributable to Viatris Inc.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20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attributable to Viatris Inc. common shareholders (numerator):</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 loss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attributable to Viatris Inc. common shareholders (numerator):</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Viatris Inc. common shareholders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 loss per share attributable to Viatris Inc.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 stock options and Restricted Stock Awards were outstanding during the three and nine months ended September 30, 2026 and 2025, but were not included in the computation of diluted loss per share for each respective period because the effect would be anti-dilutive. Excluded shares also include certain PSUs whose performance conditions had not been fully met. Such excluded shares and anti-dilutive awards represented 22.5 million shares and 24.5 million shares for the three and nine months ended September 30, 2026, respectively, and 12.9 million shares and 22.6 million shares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paid a quarterly cash dividend of $0.12 per share on the Company’s issued and outstanding common stock in March 2026, June 2026, and September 2026. On November 2, 2026, the Company’s Board of Directors declared a quarterly cash dividend of $0.12 per share on the Company’s issued and outstanding common stock, which will be payable on December 16, 2026 to shareholders of record as of the close of business on November 23, 2026.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2025.</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approximately 8.9 million shares of common stock at a cost of approximately $150.0 million, and 18.3 million shares of common stock at a cost of approximately $300.0 million, respectively, under the program. During the three and nine months ended September 30, 2025, the Company repurchased approximately 6.8 million shares of common stock at a cost of approximately $67.9 million, and 45.6 million shares of common stock at a cost of approximately $418.3 million, respectively, under the program. As of September 30, 2026, the Company had repurchased a total of approximately 112.5 million shares of common stock at a cost of approximately $1.30 billion under the program.</w:t>
      </w:r>
    </w:p>
    <w:p>
      <w:pPr>
        <w:spacing w:after="0" w:line="200" w:lineRule="exact"/>
        <w:rPr>
          <w:sz w:val="20"/>
          <w:szCs w:val="20"/>
          <w:color w:val="auto"/>
        </w:rPr>
      </w:pPr>
    </w:p>
    <w:p>
      <w:pPr>
        <w:spacing w:after="0" w:line="226" w:lineRule="exact"/>
        <w:rPr>
          <w:sz w:val="20"/>
          <w:szCs w:val="20"/>
          <w:color w:val="auto"/>
        </w:rPr>
      </w:pPr>
    </w:p>
    <w:p>
      <w:pPr>
        <w:ind w:left="340" w:right="8500" w:hanging="332"/>
        <w:spacing w:after="0" w:line="503" w:lineRule="auto"/>
        <w:tabs>
          <w:tab w:leader="none" w:pos="33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2026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20" w:type="dxa"/>
            <w:vAlign w:val="bottom"/>
          </w:tcPr>
          <w:p>
            <w:pPr>
              <w:spacing w:after="0"/>
              <w:rPr>
                <w:sz w:val="16"/>
                <w:szCs w:val="1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6"/>
                <w:szCs w:val="16"/>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JANZ </w:t>
            </w:r>
            <w:r>
              <w:rPr>
                <w:rFonts w:ascii="Times New Roman" w:cs="Times New Roman" w:eastAsia="Times New Roman" w:hAnsi="Times New Roman"/>
                <w:sz w:val="18"/>
                <w:szCs w:val="18"/>
                <w:b w:val="1"/>
                <w:bCs w:val="1"/>
                <w:color w:val="auto"/>
                <w:vertAlign w:val="superscript"/>
              </w:rPr>
              <w:t>(2)</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6"/>
                <w:szCs w:val="16"/>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Markets </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461"/>
              <w:spacing w:after="0"/>
              <w:rPr>
                <w:sz w:val="20"/>
                <w:szCs w:val="20"/>
                <w:color w:val="auto"/>
              </w:rPr>
            </w:pPr>
            <w:r>
              <w:rPr>
                <w:rFonts w:ascii="Times New Roman" w:cs="Times New Roman" w:eastAsia="Times New Roman" w:hAnsi="Times New Roman"/>
                <w:sz w:val="9"/>
                <w:szCs w:val="9"/>
                <w:b w:val="1"/>
                <w:bCs w:val="1"/>
                <w:color w:val="auto"/>
              </w:rPr>
              <w:t>(3)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6,754.7</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2026 and December 31, 2025 include an accumulated impairment loss of $3.19 billion.</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2026 and December 31, 2025 include an accumulated impairment loss of $651.8 million.</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Balances as of September 30, 2026 and December 31, 2025 include an accumulated impairment loss of $499.0 million.</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April 1, 2026 on a quantitative basis for its four reporting units with remaining goodwill (North America, Europe, Emerging Markets,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 As of April 1, 2026, the Company’s North America and Emerging Markets reporting units each had fair values in excess of 10% of the respective unit’s carrying value, and the Company’s Europe and Greater China reporting units each had fair values in excess of 40% of the respective unit’s carrying value.</w:t>
      </w:r>
    </w:p>
    <w:p>
      <w:pPr>
        <w:spacing w:after="0" w:line="2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April 1, 2026, the allocation of the Company’s total goodwill was as follows: North America $2.40 billion, Europe $2.57 billion, Emerging Markets $0.80 billion, and Greater China $0.94 billion.</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and recorded a non-cash goodwill impairment charge of $2.94 billion as a result of the interim goodwill impairment test performed. After the goodwill impairment charge recorded during the first quarter of 2025, there was no remaining goodwill allocated to the JANZ reporting unit.</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September 30, 2026 and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Original 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21,320.5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21,320.5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13,079.5</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14,396.1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35,212.8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20,110.7</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 assets consist principally of customer lists and contractual rights.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intangible asset impairment charges and IPR&amp;D intangible asset impairment charges (which are included as a component of amortization expense) are classified primarily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and were as follows for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IPR&amp;D intangible asset impairment charges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 amortization expense (including impairment charges)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Intangible asset amortization expense over the remainder of 2026 and for the years ending December 31, 2027 through 2030 is estimated to be as follows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40" w:hanging="308"/>
        <w:spacing w:after="0"/>
        <w:tabs>
          <w:tab w:leader="none" w:pos="640" w:val="left"/>
        </w:tabs>
        <w:numPr>
          <w:ilvl w:val="1"/>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the pending Pacira acquisition.</w:t>
      </w:r>
    </w:p>
    <w:p>
      <w:pPr>
        <w:spacing w:after="0" w:line="200" w:lineRule="exact"/>
        <w:rPr>
          <w:rFonts w:ascii="Times New Roman" w:cs="Times New Roman" w:eastAsia="Times New Roman" w:hAnsi="Times New Roman"/>
          <w:sz w:val="23"/>
          <w:szCs w:val="23"/>
          <w:color w:val="auto"/>
          <w:vertAlign w:val="superscript"/>
        </w:rPr>
      </w:pPr>
    </w:p>
    <w:p>
      <w:pPr>
        <w:spacing w:after="0" w:line="23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primarily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and Yen borrowings and the notional amounts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 and Yen borrowings designated as net investment hedges:</w:t>
      </w:r>
    </w:p>
    <w:p>
      <w:pPr>
        <w:spacing w:after="0" w:line="11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Investment Hedge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160" w:type="dxa"/>
            <w:vAlign w:val="bottom"/>
            <w:gridSpan w:val="3"/>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1.362%</w:t>
            </w:r>
          </w:p>
        </w:tc>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3.125%</w:t>
            </w:r>
          </w:p>
        </w:tc>
        <w:tc>
          <w:tcPr>
            <w:tcW w:w="6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due 2028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1.908%</w:t>
            </w: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Senior Notes due 2032</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9"/>
        </w:trPr>
        <w:tc>
          <w:tcPr>
            <w:tcW w:w="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4.250%</w:t>
            </w:r>
          </w:p>
        </w:tc>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Euro Senior Notes due 2033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Euro 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Yen</w:t>
            </w:r>
          </w:p>
        </w:tc>
        <w:tc>
          <w:tcPr>
            <w:tcW w:w="6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YEN Term Loan</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Yen 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3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February 2026, the Company de-designated the €750.0 million 3.125% Euro Senior Notes due 2028 as net investment hedges.</w:t>
      </w:r>
    </w:p>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2026, the principal amount of the Company’s outstanding Yen borrowings and the notional amount of the Yen borrowings designated as net investment hedges was $254.1 million.</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the Company executed fixed-rate cross-currency interest rate swaps with notional amounts totaling Japanese Yen 14.6 billion with settlement dates through 2026. During the third quarter of 2025, the Company terminated its Yen fixed-rate cross-currency interest rate swaps in exchange for $3.4 million in cash proceeds, net of fees. During the second quarter of 2024, the Company executed fixed-rate cross-currency interest rate swaps with notional amounts totaling €500 million with settlement dates through 2026. In March 2026, the Company made payments totaling $37.7 million in conjunction with the termination of its Euro fixed-rate cross-currency interest rate swaps. The transactions hedged a portion of the Company’s net investment in certain Yen- and Euro-functional currency subsidiaries. All changes in the fair value of these derivative instruments, which are designated as net investment hedges, were marked-to-market using the current spot exchange rate as of the end of the period. The portion of these changes related to the excluded component were amortized in interest expense over the life of the derivative while the remainder was recorded in AOCE until the sale or substantial liquidation of the underlying net investments. The semiannual net interest payment received related to the fixed-rate component of the cross-currency interest rate swaps were reflected in operating cash flows.</w:t>
      </w:r>
    </w:p>
    <w:p>
      <w:pPr>
        <w:spacing w:after="0" w:line="19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2025, the Company executed foreign currency forward contracts with notional amounts totaling Chinese Renminbi 1.42 billion (approximately $200 million) maturing in December 2026 and Chinese Renminbi 695 million (approximately $100 million) maturing in December 2027. During the second quarter of 2026, the Company settled certain of these foreign currency forward contracts with notional amounts totaling $100 million that were maturing in December 2026 and entered into new contracts with notional amounts totaling $50 million maturing in December 2027 and $25 million maturing in December 2028. In October 2026, the Company settled certain of these foreign currency forward contracts with notional amounts totaling $100 million that were maturing in December 2026. The transactions hedge a portion of the Company’s net investment in certain Chinese Renminbi functional currency subsidiaries. The contracts are designated as net investment hedges.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summarizes the classification and fair values of derivative instruments in our condensed 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800" w:type="dxa"/>
            <w:vAlign w:val="bottom"/>
            <w:tcBorders>
              <w:top w:val="single" w:sz="8" w:color="auto"/>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3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2026 Fair</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2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2026 Fair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2025 Fair Value</w:t>
            </w:r>
          </w:p>
        </w:tc>
        <w:tc>
          <w:tcPr>
            <w:tcW w:w="100" w:type="dxa"/>
            <w:vAlign w:val="bottom"/>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2025 Fair Value</w:t>
            </w:r>
          </w:p>
        </w:tc>
        <w:tc>
          <w:tcPr>
            <w:tcW w:w="0" w:type="dxa"/>
            <w:vAlign w:val="bottom"/>
          </w:tcPr>
          <w:p>
            <w:pPr>
              <w:spacing w:after="0"/>
              <w:rPr>
                <w:sz w:val="1"/>
                <w:szCs w:val="1"/>
                <w:color w:val="auto"/>
              </w:rPr>
            </w:pPr>
          </w:p>
        </w:tc>
      </w:tr>
      <w:tr>
        <w:trPr>
          <w:trHeight w:val="20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620" w:type="dxa"/>
            <w:vAlign w:val="bottom"/>
            <w:shd w:val="clear" w:color="auto" w:fill="CCEEFF"/>
          </w:tcPr>
          <w:p>
            <w:pPr>
              <w:spacing w:after="0"/>
              <w:rPr>
                <w:sz w:val="16"/>
                <w:szCs w:val="16"/>
                <w:color w:val="auto"/>
              </w:rPr>
            </w:pPr>
          </w:p>
        </w:tc>
        <w:tc>
          <w:tcPr>
            <w:tcW w:w="184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Other current</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84"/>
        </w:trPr>
        <w:tc>
          <w:tcPr>
            <w:tcW w:w="36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Other long-term</w:t>
            </w: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4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w:t>
            </w:r>
          </w:p>
        </w:tc>
        <w:tc>
          <w:tcPr>
            <w:tcW w:w="1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hedges:</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&amp;</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derivatives not designated as hedges</w:t>
            </w:r>
          </w:p>
        </w:tc>
        <w:tc>
          <w:tcPr>
            <w:tcW w:w="1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8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the gains/(losses) incurred to hedge or offset operational foreign exchange or interest rate risk:</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7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114"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Derivative Financial Instruments in Cash Flow Hedging 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1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60" w:type="dxa"/>
            <w:vAlign w:val="bottom"/>
          </w:tcPr>
          <w:p>
            <w:pPr>
              <w:ind w:left="500"/>
              <w:spacing w:after="0" w:line="218"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r>
      <w:tr>
        <w:trPr>
          <w:trHeight w:val="25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60" w:type="dxa"/>
            <w:vAlign w:val="bottom"/>
          </w:tcPr>
          <w:p>
            <w:pPr>
              <w:ind w:left="500"/>
              <w:spacing w:after="0" w:line="255" w:lineRule="exact"/>
              <w:rPr>
                <w:sz w:val="20"/>
                <w:szCs w:val="20"/>
                <w:color w:val="auto"/>
              </w:rPr>
            </w:pPr>
            <w:r>
              <w:rPr>
                <w:rFonts w:ascii="Times New Roman" w:cs="Times New Roman" w:eastAsia="Times New Roman" w:hAnsi="Times New Roman"/>
                <w:sz w:val="18"/>
                <w:szCs w:val="18"/>
                <w:color w:val="auto"/>
                <w:w w:val="96"/>
              </w:rPr>
              <w:t xml:space="preserve">Interest expense </w:t>
            </w:r>
            <w:r>
              <w:rPr>
                <w:rFonts w:ascii="Times New Roman" w:cs="Times New Roman" w:eastAsia="Times New Roman" w:hAnsi="Times New Roman"/>
                <w:sz w:val="23"/>
                <w:szCs w:val="23"/>
                <w:color w:val="auto"/>
                <w:w w:val="9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 in Net Investment Hedging Relationships:</w:t>
      </w:r>
    </w:p>
    <w:tbl>
      <w:tblPr>
        <w:tblLayout w:type="fixed"/>
        <w:tblInd w:w="240" w:type="dxa"/>
        <w:tblCellMar>
          <w:top w:w="0" w:type="dxa"/>
          <w:left w:w="0" w:type="dxa"/>
          <w:bottom w:w="0" w:type="dxa"/>
          <w:right w:w="0" w:type="dxa"/>
        </w:tblCellMar>
      </w:tblPr>
      <w:tr>
        <w:trPr>
          <w:trHeight w:val="23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040" w:type="dxa"/>
            <w:vAlign w:val="bottom"/>
          </w:tcPr>
          <w:p>
            <w:pPr>
              <w:ind w:left="500"/>
              <w:spacing w:after="0" w:line="235"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r>
      <w:tr>
        <w:trPr>
          <w:trHeight w:val="25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40" w:type="dxa"/>
            <w:vAlign w:val="bottom"/>
          </w:tcPr>
          <w:p>
            <w:pPr>
              <w:ind w:left="500"/>
              <w:spacing w:after="0" w:line="255" w:lineRule="exact"/>
              <w:rPr>
                <w:sz w:val="20"/>
                <w:szCs w:val="20"/>
                <w:color w:val="auto"/>
              </w:rPr>
            </w:pPr>
            <w:r>
              <w:rPr>
                <w:rFonts w:ascii="Times New Roman" w:cs="Times New Roman" w:eastAsia="Times New Roman" w:hAnsi="Times New Roman"/>
                <w:sz w:val="18"/>
                <w:szCs w:val="18"/>
                <w:color w:val="auto"/>
                <w:w w:val="96"/>
              </w:rPr>
              <w:t xml:space="preserve">Other expense, net </w:t>
            </w:r>
            <w:r>
              <w:rPr>
                <w:rFonts w:ascii="Times New Roman" w:cs="Times New Roman" w:eastAsia="Times New Roman" w:hAnsi="Times New Roman"/>
                <w:sz w:val="23"/>
                <w:szCs w:val="23"/>
                <w:color w:val="auto"/>
                <w:w w:val="96"/>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Non-derivative Financial Instruments in Net Investment Hedging Relationships:</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 Not Designated as Hedging Instruments:</w:t>
      </w:r>
    </w:p>
    <w:p>
      <w:pPr>
        <w:spacing w:after="0" w:line="26" w:lineRule="exact"/>
        <w:rPr>
          <w:sz w:val="20"/>
          <w:szCs w:val="20"/>
          <w:color w:val="auto"/>
        </w:rPr>
      </w:pPr>
    </w:p>
    <w:p>
      <w:pPr>
        <w:ind w:left="220" w:right="220" w:firstLine="14"/>
        <w:spacing w:after="0" w:line="279" w:lineRule="auto"/>
        <w:rPr>
          <w:sz w:val="20"/>
          <w:szCs w:val="20"/>
          <w:color w:val="auto"/>
        </w:rPr>
      </w:pPr>
      <w:r>
        <w:rPr>
          <w:rFonts w:ascii="Times New Roman" w:cs="Times New Roman" w:eastAsia="Times New Roman" w:hAnsi="Times New Roman"/>
          <w:sz w:val="18"/>
          <w:szCs w:val="18"/>
          <w:color w:val="auto"/>
        </w:rPr>
        <w:t xml:space="preserve">Foreign currency option and forward contracts Other expense, net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41"/>
        </w:trPr>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46"/>
        </w:trPr>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7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Amount of Gains/(Losses)</w:t>
            </w:r>
          </w:p>
        </w:tc>
        <w:tc>
          <w:tcPr>
            <w:tcW w:w="0" w:type="dxa"/>
            <w:vAlign w:val="bottom"/>
          </w:tcPr>
          <w:p>
            <w:pPr>
              <w:spacing w:after="0"/>
              <w:rPr>
                <w:sz w:val="1"/>
                <w:szCs w:val="1"/>
                <w:color w:val="auto"/>
              </w:rPr>
            </w:pPr>
          </w:p>
        </w:tc>
      </w:tr>
      <w:tr>
        <w:trPr>
          <w:trHeight w:val="148"/>
        </w:trPr>
        <w:tc>
          <w:tcPr>
            <w:tcW w:w="1700" w:type="dxa"/>
            <w:vAlign w:val="bottom"/>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AOCE (Net</w:t>
            </w:r>
          </w:p>
        </w:tc>
        <w:tc>
          <w:tcPr>
            <w:tcW w:w="17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0" w:type="dxa"/>
            <w:vAlign w:val="bottom"/>
          </w:tcPr>
          <w:p>
            <w:pPr>
              <w:spacing w:after="0"/>
              <w:rPr>
                <w:sz w:val="1"/>
                <w:szCs w:val="1"/>
                <w:color w:val="auto"/>
              </w:rPr>
            </w:pPr>
          </w:p>
        </w:tc>
      </w:tr>
      <w:tr>
        <w:trPr>
          <w:trHeight w:val="190"/>
        </w:trPr>
        <w:tc>
          <w:tcPr>
            <w:tcW w:w="1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Tax) on Derivatives</w:t>
            </w:r>
          </w:p>
        </w:tc>
        <w:tc>
          <w:tcPr>
            <w:tcW w:w="17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300"/>
            <w:col w:w="538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92"/>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Location of Gain/(Loss)</w:t>
            </w:r>
          </w:p>
        </w:tc>
        <w:tc>
          <w:tcPr>
            <w:tcW w:w="200" w:type="dxa"/>
            <w:vAlign w:val="bottom"/>
          </w:tcPr>
          <w:p>
            <w:pPr>
              <w:spacing w:after="0"/>
              <w:rPr>
                <w:sz w:val="16"/>
                <w:szCs w:val="16"/>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8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6"/>
        </w:trPr>
        <w:tc>
          <w:tcPr>
            <w:tcW w:w="58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Derivative Financial Instruments in Cash Flow Hedging Relationships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6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 in Net Investment Hedging Relationships: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160" w:type="dxa"/>
            <w:vAlign w:val="bottom"/>
            <w:shd w:val="clear" w:color="auto" w:fill="CCEEFF"/>
          </w:tcPr>
          <w:p>
            <w:pPr>
              <w:ind w:left="100"/>
              <w:spacing w:after="0" w:line="231"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6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Non-derivative Financial Instruments in Net Investment Hedging Relationships: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 Not Designated as Hedging Instruments: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216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right="160" w:hanging="328"/>
        <w:spacing w:after="0" w:line="219"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September 30, 2026, the Company expects that approximately $7.0 million of pre-tax net losses on cash flow hedges will be reclassified from AOCE into earnings during the next twelve months.</w:t>
      </w:r>
    </w:p>
    <w:p>
      <w:pPr>
        <w:spacing w:after="0" w:line="4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recognized in earnings on derivatives.</w:t>
      </w:r>
    </w:p>
    <w:p>
      <w:pPr>
        <w:spacing w:after="0" w:line="68" w:lineRule="exact"/>
        <w:rPr>
          <w:rFonts w:ascii="Times New Roman" w:cs="Times New Roman" w:eastAsia="Times New Roman" w:hAnsi="Times New Roman"/>
          <w:sz w:val="23"/>
          <w:szCs w:val="23"/>
          <w:color w:val="auto"/>
          <w:vertAlign w:val="superscript"/>
        </w:rPr>
      </w:pPr>
    </w:p>
    <w:p>
      <w:pPr>
        <w:ind w:left="640" w:hanging="308"/>
        <w:spacing w:after="0" w:line="219" w:lineRule="auto"/>
        <w:tabs>
          <w:tab w:leader="none" w:pos="6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location of the gain/(loss) reclassified from AOCE into earnings.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980" w:right="320" w:hanging="324"/>
        <w:spacing w:after="0" w:line="284" w:lineRule="auto"/>
        <w:tabs>
          <w:tab w:leader="none" w:pos="97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gives the highest priority to Level 1 inputs.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rFonts w:ascii="Times New Roman" w:cs="Times New Roman" w:eastAsia="Times New Roman" w:hAnsi="Times New Roman"/>
          <w:sz w:val="18"/>
          <w:szCs w:val="18"/>
          <w:i w:val="1"/>
          <w:iCs w:val="1"/>
          <w:color w:val="auto"/>
        </w:rPr>
      </w:pPr>
    </w:p>
    <w:p>
      <w:pPr>
        <w:ind w:left="980" w:right="140" w:hanging="324"/>
        <w:spacing w:after="0" w:line="284" w:lineRule="auto"/>
        <w:tabs>
          <w:tab w:leader="none" w:pos="97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w:t>
      </w:r>
    </w:p>
    <w:p>
      <w:pPr>
        <w:spacing w:after="0" w:line="16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Exchange traded funds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CCPS in Biocon Biologics</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 backed securities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spacing w:after="0" w:line="1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7"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sources at the reporting date. Unrealized gains and losses attributable to changes in fair value are included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in the condensed consolidated statements of operations.</w:t>
      </w:r>
    </w:p>
    <w:p>
      <w:pPr>
        <w:spacing w:after="0" w:line="65"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losses attributable to changes in fair value are included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6" w:lineRule="exact"/>
        <w:rPr>
          <w:sz w:val="20"/>
          <w:szCs w:val="20"/>
          <w:color w:val="auto"/>
        </w:rPr>
      </w:pPr>
    </w:p>
    <w:p>
      <w:pPr>
        <w:ind w:left="980" w:hanging="324"/>
        <w:spacing w:after="0" w:line="268" w:lineRule="auto"/>
        <w:tabs>
          <w:tab w:leader="none" w:pos="9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CCPS in Biocon Biologics </w:t>
      </w:r>
      <w:r>
        <w:rPr>
          <w:rFonts w:ascii="Times New Roman" w:cs="Times New Roman" w:eastAsia="Times New Roman" w:hAnsi="Times New Roman"/>
          <w:sz w:val="17"/>
          <w:szCs w:val="17"/>
          <w:color w:val="auto"/>
        </w:rPr>
        <w:t>— In December 2025, the Company entered into definitive agreements with Biocon for the sale of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equity shares of Biocon were subject to a six-month lock up period. The Company completed the sale of its equity position in Biocon on July 14, 2026 for pre-tax total consideration of approximately $380 million. The pre-tax sale proceeds include the impacts of an approximate 2.7% block sale discount to market, transaction fees, and the strengthening of the U.S. dollar since the Company obtained the equity in January 2026.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the U.S. market. During the three and nine months ended September 30, 2026, the Company recognized a pre-tax loss of approximately $27.4 million and $36.0 million, respectively, as a component of </w:t>
      </w:r>
      <w:r>
        <w:rPr>
          <w:rFonts w:ascii="Times New Roman" w:cs="Times New Roman" w:eastAsia="Times New Roman" w:hAnsi="Times New Roman"/>
          <w:sz w:val="17"/>
          <w:szCs w:val="17"/>
          <w:i w:val="1"/>
          <w:iCs w:val="1"/>
          <w:color w:val="auto"/>
        </w:rPr>
        <w:t>Other Expense, Net</w:t>
      </w:r>
      <w:r>
        <w:rPr>
          <w:rFonts w:ascii="Times New Roman" w:cs="Times New Roman" w:eastAsia="Times New Roman" w:hAnsi="Times New Roman"/>
          <w:sz w:val="17"/>
          <w:szCs w:val="17"/>
          <w:color w:val="auto"/>
        </w:rPr>
        <w:t xml:space="preserve"> as a result of changes in the fair value and subsequent sale of the Biocon equity shares. During the three and nine months ended September 30, 2025, the Company recorded a loss of $100.0 million and $499.8 million, respectively, as a component of </w:t>
      </w:r>
      <w:r>
        <w:rPr>
          <w:rFonts w:ascii="Times New Roman" w:cs="Times New Roman" w:eastAsia="Times New Roman" w:hAnsi="Times New Roman"/>
          <w:sz w:val="17"/>
          <w:szCs w:val="17"/>
          <w:i w:val="1"/>
          <w:iCs w:val="1"/>
          <w:color w:val="auto"/>
        </w:rPr>
        <w:t>Other Expense, Net</w:t>
      </w:r>
      <w:r>
        <w:rPr>
          <w:rFonts w:ascii="Times New Roman" w:cs="Times New Roman" w:eastAsia="Times New Roman" w:hAnsi="Times New Roman"/>
          <w:sz w:val="17"/>
          <w:szCs w:val="17"/>
          <w:color w:val="auto"/>
        </w:rPr>
        <w:t xml:space="preserve"> as a result of remeasuring the CCPS in Biocon Biologics to fair value. The Company’s CCPS in Biocon Biologics were classified as equity securities and were included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in the condensed consolidated balance sheets.</w:t>
      </w:r>
    </w:p>
    <w:p>
      <w:pPr>
        <w:spacing w:after="0" w:line="73" w:lineRule="exact"/>
        <w:rPr>
          <w:rFonts w:ascii="Times New Roman" w:cs="Times New Roman" w:eastAsia="Times New Roman" w:hAnsi="Times New Roman"/>
          <w:sz w:val="17"/>
          <w:szCs w:val="17"/>
          <w:color w:val="auto"/>
        </w:rPr>
      </w:pPr>
    </w:p>
    <w:p>
      <w:pPr>
        <w:ind w:left="980" w:right="400" w:hanging="324"/>
        <w:spacing w:after="0" w:line="267"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color w:val="auto"/>
        </w:rPr>
      </w:pPr>
    </w:p>
    <w:p>
      <w:pPr>
        <w:ind w:left="980" w:right="580" w:hanging="324"/>
        <w:spacing w:after="0" w:line="284" w:lineRule="auto"/>
        <w:tabs>
          <w:tab w:leader="none" w:pos="975"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Interest rate swaps and foreign exchange derivative assets and liabilities </w:t>
      </w:r>
      <w:r>
        <w:rPr>
          <w:rFonts w:ascii="Times New Roman" w:cs="Times New Roman" w:eastAsia="Times New Roman" w:hAnsi="Times New Roman"/>
          <w:sz w:val="18"/>
          <w:szCs w:val="18"/>
          <w:color w:val="auto"/>
        </w:rPr>
        <w:t>— valued using interest yield curves, quoted forward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prices and spot rates at the reporting date. Counterparties to these contracts are highly rated financial institutions.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a contingent consideration liability of $411.0 million and $307.0 million, respectively, related to the Idorsia Transaction. For the nine months ended September 30, 2026, the change in fair value was primarily driven by a change in probabilities on both development programs as a result of the progress of the clinical trials. As of September 30, 2026 and December 31, 2025, the Company had a contingent consideration liability of $29.8 million and $64.6 million, respectively, related to the Respiratory Delivery Platform.</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September 30, 2026, discount rates ranging from 10.0% to 18.0%, and at December 31, 2025, discount rates ranging from 8.5% to 19.0% were utilized in the valuations. Significant changes in unobservable inputs could result in material changes to the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2025 to September 30, 2026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Portion </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condensed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condensed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condensed consolidated statements of operations.</w:t>
      </w:r>
    </w:p>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any future transacted financial asset or liability will be evaluated for the fair value election.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Viatris’ 2025 Form 10-K.</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are included as a component of short-term borrowings, while the accounts receivable securing these obligations remain as a component of accounts receivable, net,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1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560" w:type="dxa"/>
            <w:vAlign w:val="bottom"/>
          </w:tcPr>
          <w:p>
            <w:pPr>
              <w:jc w:val="center"/>
              <w:ind w:left="2968"/>
              <w:spacing w:after="0"/>
              <w:rPr>
                <w:sz w:val="20"/>
                <w:szCs w:val="20"/>
                <w:color w:val="auto"/>
              </w:rPr>
            </w:pPr>
            <w:r>
              <w:rPr>
                <w:rFonts w:ascii="Times New Roman" w:cs="Times New Roman" w:eastAsia="Times New Roman" w:hAnsi="Times New Roman"/>
                <w:sz w:val="14"/>
                <w:szCs w:val="14"/>
                <w:b w:val="1"/>
                <w:bCs w:val="1"/>
                <w:color w:val="auto"/>
              </w:rPr>
              <w:t>Interest Rate as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020" w:type="dxa"/>
            <w:vAlign w:val="bottom"/>
            <w:vMerge w:val="continue"/>
          </w:tcPr>
          <w:p>
            <w:pPr>
              <w:spacing w:after="0"/>
              <w:rPr>
                <w:sz w:val="16"/>
                <w:szCs w:val="16"/>
                <w:color w:val="auto"/>
              </w:rPr>
            </w:pPr>
          </w:p>
        </w:tc>
        <w:tc>
          <w:tcPr>
            <w:tcW w:w="4560" w:type="dxa"/>
            <w:vAlign w:val="bottom"/>
          </w:tcPr>
          <w:p>
            <w:pPr>
              <w:jc w:val="center"/>
              <w:ind w:left="296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1"/>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820" w:type="dxa"/>
            <w:vAlign w:val="bottom"/>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(a) **</w:t>
            </w:r>
          </w:p>
        </w:tc>
        <w:tc>
          <w:tcPr>
            <w:tcW w:w="3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3.950 %  $</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1.362 %</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2.300 %</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36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Variable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30"/>
        </w:trPr>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52"/>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500" w:type="dxa"/>
            <w:vAlign w:val="bottom"/>
            <w:shd w:val="clear" w:color="auto" w:fill="CCEEFF"/>
          </w:tcPr>
          <w:p>
            <w:pPr>
              <w:ind w:left="20"/>
              <w:spacing w:after="0" w:line="252"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1.362 %</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2.300 %</w:t>
            </w:r>
          </w:p>
        </w:tc>
        <w:tc>
          <w:tcPr>
            <w:tcW w:w="3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3.125 %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1.908 %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2033</w:t>
            </w:r>
          </w:p>
        </w:tc>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w:t>
            </w:r>
          </w:p>
        </w:tc>
      </w:tr>
      <w:tr>
        <w:trPr>
          <w:trHeight w:val="229"/>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YEN Term Loan Facility</w:t>
            </w:r>
          </w:p>
        </w:tc>
        <w:tc>
          <w:tcPr>
            <w:tcW w:w="39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Variable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5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36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12,480.6</w:t>
            </w:r>
          </w:p>
        </w:tc>
      </w:tr>
      <w:tr>
        <w:trPr>
          <w:trHeight w:val="20"/>
        </w:trPr>
        <w:tc>
          <w:tcPr>
            <w:tcW w:w="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340" w:right="5060" w:hanging="8"/>
        <w:spacing w:after="0" w:line="229" w:lineRule="auto"/>
        <w:tabs>
          <w:tab w:leader="none" w:pos="613" w:val="left"/>
        </w:tabs>
        <w:numPr>
          <w:ilvl w:val="0"/>
          <w:numId w:val="2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 xml:space="preserve">The 2026 Senior Notes were repaid at maturity in the second quarter of 2026.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was issued by Mylan Inc.</w:t>
      </w:r>
    </w:p>
    <w:p>
      <w:pPr>
        <w:ind w:left="340"/>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was originally issued by Mylan N.V.; now held by Utah Acquisition Sub Inc.</w:t>
      </w:r>
    </w:p>
    <w:p>
      <w:pPr>
        <w:ind w:left="660" w:hanging="328"/>
        <w:spacing w:after="0" w:line="199" w:lineRule="auto"/>
        <w:tabs>
          <w:tab w:leader="none" w:pos="6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Viatris Inc.</w:t>
      </w:r>
    </w:p>
    <w:p>
      <w:pPr>
        <w:spacing w:after="0" w:line="56"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2033 Euro Senior Notes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On June 17, 2026, Viatris Inc. completed a public offering of €650 million aggregate principal amount of its 4.250% Senior Notes due 2033 (the “2033 Euro Senior Notes”). The 2033 Euro Senior Notes are senior unsecured obligations of Viatris Inc. The 2033 Euro Senior Notes are guaranteed on a senior unsecured basis by Mylan Inc., Mylan II B.V. and Utah Acquisition Sub Inc. (the “Guarantors”).</w:t>
      </w:r>
    </w:p>
    <w:p>
      <w:pPr>
        <w:spacing w:after="0" w:line="203"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offering were used (i) to fund the repayment of amounts borrowed under the 2024 Revolving Facility in June 2026 in connection with the repayment at maturity of the entire $1.675 billion of outstanding principal amount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3.950% Senior Notes due 2026 (the “2026 Senior Notes”) and (ii) to replenish cash utilized in connection with the repayment of the 2026 Senior Notes, with such cash to be used for general corporate purposes.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2033 Euro Senior Notes were issued pursuant to an Indenture (the “Base Indenture”), dated June 17, 2026, among Viatris Inc., the Guarantors and The Bank of New York Mellon, as trustee (the “Trustee”), as supplemented by the First Supplemental Indenture (together with the Base Indenture, the “Indenture”), dated June 17, 2026, among Viatris Inc., the Guarantors and the Trustee. The 2033 Euro Senior Notes accrue interest at a rate of 4.250% per annum, accruing from June 17, 2026, payable annually beginning June 17, 2027, and will mature on June 17, 2033, subject to earlier repurchase or redemption in accordance with the terms of the Indenture. The Indenture contains customary affirmative covenants for facilities of this type. The 2033 Euro Senior Notes may be redeemed by Viatris as set forth in the Indenture.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YEN Term Loan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July 1, 2026 (the “Closing Date”), Viatris entered into an amended and restated term loan credit agreement (the “Amended and Restated Term Loan Credit Agreement”), among Viatris, the guarantors from time to time party thereto, the lenders from time to time party thereto and Mizuho Bank, Ltd., as administrative agent. The Amended and Restated Term Loan Credit Agreement provides for a ¥40 billion principal amount senior unsecured term loan facility (the “Term Loan Credit Facility”).</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Term Loan Credit Facility will be used for general lawful corporate purposes of Viatris and its subsidiaries, including, without limitation, to repay outstanding obligations under Viatris’ prior ¥40 billion unsecured term loan facility, dated as of July 1, 2021.</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Term Loan Credit Facility will initially bear interest at the TIBO Rate (determined in accordance with the Amended and Restated Term Loan Credit Agreement) plus 1.10% per annum. The applicable margin over the TIBO Rate for the Term Loan Credit Facility can fluctuate based on the long-term unsecured senior, non-credit enhanced debt rating of Viatris by S&amp;P Global Ratings, Moody’s Investors Service, Inc. and Fitch Ratings, Inc.</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Term Loan Credit Agreement contains customary affirmative covenants for facilities of this type. The Amended and Restated Term Loan Credit Agreement also contains a financial covenant requiring maintenance of a leverage ratio no greater than 3.75 to 1.00 as of the last day of each fiscal quarter ending after the Closing Date. The Amended and Restated Term Loan Credit Agreement contains default provisions customary for facilities of this type, which are subject to customary grace periods and materiality thresholds.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the aggregate fair value of the Company’s outstanding notes was approximately $10.69 billion and $11.99 billion, respectively. The fair values of the outstanding notes were valued at quoted market prices from broker or dealer quotations and were classified as Level 2 in the fair value hierarchy.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September 30, 2026 were as follows for each of the 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9"/>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10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7,902</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Comprehensive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condensed consolidated balance sheets, is comprised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 fixed income securities, net of tax</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gridSpan w:val="11"/>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and prior service cost related to defined benefit plans, net of tax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gridSpan w:val="11"/>
          </w:tcPr>
          <w:p>
            <w:pPr>
              <w:ind w:left="220"/>
              <w:spacing w:after="0"/>
              <w:rPr>
                <w:sz w:val="20"/>
                <w:szCs w:val="20"/>
                <w:color w:val="auto"/>
              </w:rPr>
            </w:pPr>
            <w:r>
              <w:rPr>
                <w:rFonts w:ascii="Times New Roman" w:cs="Times New Roman" w:eastAsia="Times New Roman" w:hAnsi="Times New Roman"/>
                <w:sz w:val="18"/>
                <w:szCs w:val="18"/>
                <w:color w:val="auto"/>
              </w:rPr>
              <w:t>Net unrecognized gain (loss) on derivatives in cash flow hedging relationships, net of tax</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00" w:type="dxa"/>
            <w:vAlign w:val="bottom"/>
            <w:gridSpan w:val="11"/>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gain on derivatives in net investment hedging relationships, net of tax</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20" w:type="dxa"/>
            <w:vAlign w:val="bottom"/>
          </w:tcPr>
          <w:p>
            <w:pPr>
              <w:spacing w:after="0"/>
              <w:rPr>
                <w:sz w:val="24"/>
                <w:szCs w:val="24"/>
                <w:color w:val="auto"/>
              </w:rPr>
            </w:pPr>
          </w:p>
        </w:tc>
        <w:tc>
          <w:tcPr>
            <w:tcW w:w="11200" w:type="dxa"/>
            <w:vAlign w:val="bottom"/>
            <w:gridSpan w:val="26"/>
          </w:tcPr>
          <w:p>
            <w:pPr>
              <w:ind w:left="640"/>
              <w:spacing w:after="0"/>
              <w:rPr>
                <w:sz w:val="20"/>
                <w:szCs w:val="20"/>
                <w:color w:val="auto"/>
              </w:rPr>
            </w:pPr>
            <w:r>
              <w:rPr>
                <w:rFonts w:ascii="Times New Roman" w:cs="Times New Roman" w:eastAsia="Times New Roman" w:hAnsi="Times New Roman"/>
                <w:sz w:val="18"/>
                <w:szCs w:val="18"/>
                <w:color w:val="auto"/>
              </w:rPr>
              <w:t>Components of accumulated other comprehensive loss, before tax, consist of the following, for the three and 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2025:</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180" w:type="dxa"/>
            <w:vAlign w:val="bottom"/>
            <w:gridSpan w:val="11"/>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2"/>
                <w:szCs w:val="12"/>
                <w:color w:val="auto"/>
              </w:rPr>
            </w:pPr>
          </w:p>
        </w:tc>
        <w:tc>
          <w:tcPr>
            <w:tcW w:w="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6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76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Rate</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 net of tax</w:t>
            </w: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w w:val="97"/>
              </w:rPr>
              <w:t>7.2</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w:t>
            </w: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3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before tax:</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4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Loss on foreign exchange forward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80" w:type="dxa"/>
            <w:vAlign w:val="bottom"/>
            <w:vMerge w:val="restart"/>
          </w:tcPr>
          <w:p>
            <w:pPr>
              <w:jc w:val="right"/>
              <w:ind w:right="5"/>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center"/>
              <w:ind w:left="172"/>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34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w w:val="99"/>
              </w:rPr>
              <w:t>Gain on interest rate swaps classified as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4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4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other expense, net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334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 SG&amp;A</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4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before tax</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 net of tax</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7"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0" w:type="dxa"/>
            <w:vAlign w:val="bottom"/>
          </w:tcPr>
          <w:p>
            <w:pPr>
              <w:spacing w:after="0"/>
              <w:rPr>
                <w:sz w:val="1"/>
                <w:szCs w:val="1"/>
                <w:color w:val="auto"/>
              </w:rPr>
            </w:pPr>
          </w:p>
        </w:tc>
      </w:tr>
      <w:tr>
        <w:trPr>
          <w:trHeight w:val="155"/>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included in other expense, net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56"/>
        </w:trPr>
        <w:tc>
          <w:tcPr>
            <w:tcW w:w="336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8"/>
              </w:rPr>
              <w:t>(0.4)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Pr>
          <w:p>
            <w:pPr>
              <w:spacing w:after="0"/>
              <w:rPr>
                <w:sz w:val="11"/>
                <w:szCs w:val="11"/>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Sale Fixed</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0" w:type="dxa"/>
            <w:vAlign w:val="bottom"/>
          </w:tcPr>
          <w:p>
            <w:pPr>
              <w:spacing w:after="0"/>
              <w:rPr>
                <w:sz w:val="1"/>
                <w:szCs w:val="1"/>
                <w:color w:val="auto"/>
              </w:rPr>
            </w:pPr>
          </w:p>
        </w:tc>
      </w:tr>
      <w:tr>
        <w:trPr>
          <w:trHeight w:val="156"/>
        </w:trPr>
        <w:tc>
          <w:tcPr>
            <w:tcW w:w="33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 before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Loss on interest rate swaps classified as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6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cash flow hedges, included in interest</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5"/>
        </w:trPr>
        <w:tc>
          <w:tcPr>
            <w:tcW w:w="336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included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7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spacing w:after="0" w:line="18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Certain costs and gains are not included in the measurement of segment profitability, or in segment cost of sales, and segment SG&amp;A, as management excludes these costs in assessing segment financial performance. Such costs and gains include:</w:t>
      </w:r>
    </w:p>
    <w:p>
      <w:pPr>
        <w:spacing w:after="0" w:line="54" w:lineRule="exact"/>
        <w:rPr>
          <w:sz w:val="20"/>
          <w:szCs w:val="20"/>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 (including of goodwill, intangible assets (including IPR&amp;D), and long-lived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Acquired IPR&amp;D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firstLine="320"/>
        <w:spacing w:after="0" w:line="272" w:lineRule="auto"/>
        <w:tabs>
          <w:tab w:leader="none" w:pos="1304"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w:t>
      </w:r>
    </w:p>
    <w:p>
      <w:pPr>
        <w:spacing w:after="0" w:line="1" w:lineRule="exact"/>
        <w:rPr>
          <w:rFonts w:ascii="Times New Roman" w:cs="Times New Roman" w:eastAsia="Times New Roman" w:hAnsi="Times New Roman"/>
          <w:sz w:val="17"/>
          <w:szCs w:val="17"/>
          <w:color w:val="auto"/>
        </w:rPr>
      </w:pPr>
    </w:p>
    <w:p>
      <w:pPr>
        <w:ind w:left="660" w:right="60" w:hanging="4"/>
        <w:spacing w:after="0" w:line="252" w:lineRule="auto"/>
        <w:tabs>
          <w:tab w:leader="none" w:pos="9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spacing w:after="0" w:line="80" w:lineRule="exact"/>
        <w:rPr>
          <w:rFonts w:ascii="Times New Roman" w:cs="Times New Roman" w:eastAsia="Times New Roman" w:hAnsi="Times New Roman"/>
          <w:sz w:val="18"/>
          <w:szCs w:val="18"/>
          <w:color w:val="auto"/>
        </w:rPr>
      </w:pPr>
    </w:p>
    <w:p>
      <w:pPr>
        <w:ind w:left="660" w:right="140" w:firstLine="320"/>
        <w:spacing w:after="0" w:line="261"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spacing w:after="0" w:line="71" w:lineRule="exact"/>
        <w:rPr>
          <w:rFonts w:ascii="Times New Roman" w:cs="Times New Roman" w:eastAsia="Times New Roman" w:hAnsi="Times New Roman"/>
          <w:sz w:val="18"/>
          <w:szCs w:val="18"/>
          <w:color w:val="auto"/>
        </w:rPr>
      </w:pPr>
    </w:p>
    <w:p>
      <w:pPr>
        <w:ind w:left="660" w:right="580" w:firstLine="320"/>
        <w:spacing w:after="0" w:line="282"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(including interest and dividend income, gains and losses from investments, business divestitures, and foreign exchange);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w:t>
      </w:r>
    </w:p>
    <w:p>
      <w:pPr>
        <w:spacing w:after="0" w:line="20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2025 Form 10-K.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6"/>
                <w:szCs w:val="16"/>
                <w:color w:val="auto"/>
              </w:rPr>
            </w:pPr>
          </w:p>
        </w:tc>
        <w:tc>
          <w:tcPr>
            <w:tcW w:w="9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(including IPR&amp;D) impairment charges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gridSpan w:val="8"/>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6"/>
                <w:szCs w:val="16"/>
                <w:color w:val="auto"/>
              </w:rPr>
            </w:pPr>
          </w:p>
        </w:tc>
        <w:tc>
          <w:tcPr>
            <w:tcW w:w="9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5,120.7</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(including IPR&amp;D) impairment charges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6"/>
                <w:szCs w:val="16"/>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Litigation settlements and other contingencies,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from operations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(593.4)</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(55.7)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(205.6)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(380.8)</w:t>
      </w:r>
    </w:p>
    <w:p>
      <w:pPr>
        <w:spacing w:after="0" w:line="31" w:lineRule="exact"/>
        <w:rPr>
          <w:sz w:val="20"/>
          <w:szCs w:val="20"/>
          <w:color w:val="auto"/>
        </w:rPr>
      </w:pPr>
    </w:p>
    <w:p>
      <w:pPr>
        <w:ind w:left="680" w:hanging="677"/>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7454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360" w:space="720"/>
            <w:col w:w="1160"/>
          </w:cols>
          <w:pgMar w:left="320" w:top="114" w:right="339" w:bottom="1440" w:gutter="0" w:footer="0" w:header="0"/>
          <w:type w:val="continuous"/>
        </w:sectPr>
      </w:pP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2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Emerging</w:t>
            </w:r>
          </w:p>
        </w:tc>
        <w:tc>
          <w:tcPr>
            <w:tcW w:w="118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6"/>
                <w:szCs w:val="16"/>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(including IPR&amp;D) impairment charges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IPR&amp;D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Other</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Restructuring Program</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three years ending 2028.</w:t>
      </w:r>
    </w:p>
    <w:p>
      <w:pPr>
        <w:spacing w:after="0" w:line="21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record charges for costs associated with the restructuring activities of the EWSR. For the committed restructuring activities, the Company expects to incur total pre-tax charges ranging between $700 million and $850 million.</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Charges for restructuring and ongoing cost reduction initiatives are recorded in the period the Company commits to a restructuring or cost reduction plan, or executes specific actions contemplated by the plan and all criteria for liability recognition have been met. These charges are recognized 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R&amp;D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xml:space="preserve"> in the condensed consolidated statements of operations based on the classification of the affected employees or the related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and the reserve activity for the 2026 restructuring program from December 31, 2025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Exit Costs</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jc w:val="both"/>
        <w:ind w:left="660" w:hanging="328"/>
        <w:spacing w:after="0" w:line="239" w:lineRule="auto"/>
        <w:tabs>
          <w:tab w:leader="none" w:pos="70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September 30, 2026, total restructuring charges in Developed Markets, Greater China, JANZ, Emerging Markets, and Corporate/Other were approximately $49.1 million, $(0.2) million, $0.3 million, $0.6 million, and $2.3 million, respectively. For the nine months ended September 30, 2026, total restructuring charges in Developed Markets, Greater China, JANZ, Emerging Markets, and Corporate/Other were approximately $136.1 million, $1.1 million, $0.3 million, $9.8 million, and $10.0 million,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Additional restructuring charges, primarily for facilities to be closed or disposed of that are not a component of the 2026 restructuring program, were also incurred during the three and nine months ended September 30, 2026. At September 30, 2026 and December 31, 2025, accrued liabilities for restructuring and other cost reduction programs were primarily included in other current liabilities and other long-term obligations in the condensed consolidated balance sheets.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Nashik Manufacturing Facility</w:t>
      </w:r>
    </w:p>
    <w:p>
      <w:pPr>
        <w:spacing w:after="0" w:line="21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in February 2026, a fire occurred in a service area at the Company’s oral solid dose manufacturing facility in Nashik, India. Manufacturing at the facility was temporarily suspended.</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May 2026, the FDA inspected the facility and issued Form 483 observations. The Company responded to the Form 483 observations and promptly initiated a comprehensive remediation plan. The Company has also engaged independent third-party subject matter experts to support its remediation plan. While production at the facility had resumed, the temporary suspension of manufacturing and activities under the remediation plan led to disruptions at the facility.</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September 2026, the Company received notice from the FDA that the inspection classification of the facility was OAI, which could lead to enforcement actions, including a warning letter or import alert. In October 2026, out of an abundance of caution, the Company voluntarily suspended manufacturing at the facility to focus on remediation activities. The Company expects to resume production at the facility during the first quarter of 2027. The foregoing manufacturing suspension is expected to result in incremental costs associated with the Company’s remediation activities, operational inefficiencies, reduced production volumes and delays in production during the affected period. Any enforcement action by the FDA in connection with the OAI inspection classification of the facility could also lead to additional delays in production, product launches, interruptions in product supply, increased operating costs, or reduced product availability, one or more of which could have a material adverse effect on the Company’s business, financial condition, results of operations, cash flows, ability to pay dividends or repurchase shares and/or stock price.</w:t>
      </w:r>
    </w:p>
    <w:p>
      <w:pPr>
        <w:spacing w:after="0" w:line="21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2026, the Company recognized total charges of $11.8 million and $98.6 million, respectively,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primarily related to the write off of inventory and fixed assets damaged in the fire and incremental manufacturing variances. The Company believes it has certain insurance coverages for these losses, including for assets and business interruption. In the event the plant cannot be returned to sustained normal operations or the Company’s insurance coverage is unavailable or inadequate, this event could have a negative impact on our financial position, results of operations and cash flows.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Including Licensing and Other Partner Agreements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acquisition-related contingent consideration, including those related to the Idorsia Transaction. Refer to Note 11 </w:t>
      </w:r>
      <w:r>
        <w:rPr>
          <w:rFonts w:ascii="Times New Roman" w:cs="Times New Roman" w:eastAsia="Times New Roman" w:hAnsi="Times New Roman"/>
          <w:sz w:val="18"/>
          <w:szCs w:val="18"/>
          <w:i w:val="1"/>
          <w:iCs w:val="1"/>
          <w:color w:val="auto"/>
        </w:rPr>
        <w:t>Financial Instruments and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for further discussion of contingent consideration.</w:t>
      </w:r>
    </w:p>
    <w:p>
      <w:pPr>
        <w:spacing w:after="0" w:line="18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Our potential maximum development milestones not accrued for at September 30, 2026 totaled approximately $386 million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estimate that the amounts that may be paid through the end of 2026 to be approximately $50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Mapi</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2018, the Company entered into an exclusive license and commercialization agreement with Mapi for the development and commercialization on a world-wide basis of GA Depot. In 2024, the Company was informed that Mapi received a Complete Response Letter regarding the NDA for GA Depot 40 mg from the FDA.</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Company entered into a letter agreement, as amended, with Mapi for the development and commercialization of certain additional products. The Company made an initial upfront payment of $75.0 million during the year ended December 31, 2023 as part of the letter agreement.</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and Mapi agreed to immediately terminate the license and commercialization agreement for GA Depot and the December 2023 letter agreement.</w:t>
      </w:r>
    </w:p>
    <w:p>
      <w:pPr>
        <w:spacing w:after="0" w:line="189"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 xml:space="preserve">The Company holds an investment in preferred shares of Mapi that are accounted for at cost, less impairment, adjusted for observable price changes, in accordance with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 In 2024, the Company fully impaired its investment in the Mapi preferred shares.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other significant changes to our licensing and other partner agreements as disclosed in our 2025 Form 10-K.</w:t>
      </w:r>
    </w:p>
    <w:p>
      <w:pPr>
        <w:spacing w:after="0" w:line="252"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Viatris periodically enters into acquisition, divestiture, collaboration, employment, legal settlement and other agreements which include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w:t>
      </w:r>
    </w:p>
    <w:p>
      <w:pPr>
        <w:spacing w:after="0" w:line="21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matters—including certain specified competition law matters—to the extent they arise from conduct during the pre-Distribution period and has agreed to indemnify the Company for liabilities arising out of such matters. If Pfizer were to successfully dispute its retention of these matters, or if there is an adverse outcome in the matters that Pfizer has agreed to retain, this could have an adverse impact on Viatris. In addition, Viatris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In June 2026, the Company received a letter from Pfizer inquiring about the Company’s plan for payment to Pfizer under the foregoing agreement. The Company disagrees that the payment Pfizer requests is owed. Any loss to the Company as a result of the foregoing disagreement could have an adverse impact on Viatris.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Examinations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ongoing IRS examinations. The years 2020 through 2025 are open years, with 2020 and 2021 under examination. For 2020, there is one open item for which the Company disagrees with the IRS’ conclusion and initiated a mediation process with the IRS through its Fast Track appeal process.</w:t>
      </w:r>
    </w:p>
    <w:p>
      <w:pPr>
        <w:spacing w:after="0" w:line="20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France, the tax authorities issued notices of assessments to the Company for the years ended December 2013 to December 2015 concerning our tax position with respect to whether income earned by a Company entity not domiciled in France should be subject to French tax. We commenced litigation before the French tax courts where the tax authorities are seeking unpaid taxes, penalties, and interest. In February 2026, the first instance tax court upheld the Company’s tax position and fully cancelled the notices of assessment. In June 2026, the tax authorities filed an appeal.</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the year ended December 31, 2023 due to the terms of this agreement. The remaining issues are in the audit phase or are being challenged in the Indian tax courts.</w:t>
      </w:r>
    </w:p>
    <w:p>
      <w:pPr>
        <w:spacing w:after="0" w:line="210"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In Italy, the tax authorities have issued notices of assessments to the Company for the years ended December 2016 to December 2019, seeking unpaid taxes, penalties, and interest, concerning our tax position with respect to certain intercompany transactions. We have commenced litigation before the Italian tax courts challenging those assessments and, to date, the Company’s position has been upheld, subject to further appeal by the tax authorities.</w:t>
      </w:r>
    </w:p>
    <w:p>
      <w:pPr>
        <w:spacing w:after="0" w:line="18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recorded a net reserve for uncertain tax positions of $270.5 million and $293.6 million, including interest and penalties, in connection with its international audits at September 30, 2026 and December 31, 2025, respectively. In connection with our international tax audits, it is possible that we will incur material losses above the amounts reserved.</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Company’s major U.S. state taxing jurisdictions remain open from fiscal year 2015 through 2025, with several state audits currently in progress. The Company’s major international taxing jurisdictions remain open from 2013 through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Uncertainty in Income Taxes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Litigation</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w:t>
      </w:r>
    </w:p>
    <w:p>
      <w:pPr>
        <w:spacing w:after="0" w:line="22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In June 2024, the Company received a civil subpoena from the Attorney General of the State of Mississippi seeking information relating to the sales and/or marketing of EpiPen® Auto-Injector. The Company was subsequently contacted by certain other State Attorneys General regarding similar issues, including those that generally relate to issues from EpiPen litigations and/or investigations that have been previously resolved and disclosed. The Company has reached settlements with Mississippi and all of those certain other State Attorneys General. These matters are now closed.</w:t>
      </w:r>
    </w:p>
    <w:p>
      <w:pPr>
        <w:spacing w:after="0" w:line="203" w:lineRule="exact"/>
        <w:rPr>
          <w:sz w:val="20"/>
          <w:szCs w:val="20"/>
          <w:color w:val="auto"/>
        </w:rPr>
      </w:pPr>
    </w:p>
    <w:p>
      <w:pPr>
        <w:jc w:val="center"/>
        <w:ind w:right="9640"/>
        <w:spacing w:after="0"/>
        <w:rPr>
          <w:sz w:val="20"/>
          <w:szCs w:val="20"/>
          <w:color w:val="auto"/>
        </w:rPr>
      </w:pPr>
      <w:r>
        <w:rPr>
          <w:rFonts w:ascii="Times New Roman" w:cs="Times New Roman" w:eastAsia="Times New Roman" w:hAnsi="Times New Roman"/>
          <w:sz w:val="17"/>
          <w:szCs w:val="17"/>
          <w:b w:val="1"/>
          <w:bCs w:val="1"/>
          <w:i w:val="1"/>
          <w:iCs w:val="1"/>
          <w:color w:val="auto"/>
        </w:rPr>
        <w:t>Drug Pricing Matters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that include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Plaintiffs assert that the Company engaged in individual drug conspiracies with respect to certain products sold by the Company, and in certain lawsuits, plaintiffs assert that the Company engaged in an “overarching conspiracy” with numerous other defendants and seek to impose liability on the Company and the other defendants with respect to all of the alleged products, including products that the individual defendants did not sell. Some of the United States lawsuits also name as defendants the Company’s former President, including allegations against him with respect to a single drug product, and one of the Company’s former sales employees, including allegations against him with respect to certain generic drugs. The vast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majority of the United States lawsuits have been consolidated in an MDL proceeding in the Eastern District of Pennsylvania (“EDPA”). Plaintiffs generally seek monetary damages, restitution, declaratory and injunctive relief, attorneys’ fees and costs.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Defendants’ summary judgment motions in the direct purchaser case was denied and was largely denied with some narrowing of claims, and potentially reducing claimed damages, in the indirect purchaser case. Plaintiffs are asserting damages of approximately $350 million in each of the Clomipramine bellwether cases, which are subject to trebling under federal law in the direct purchaser case or multipliers under certain state laws in the indirect purchaser case.</w:t>
      </w:r>
    </w:p>
    <w:p>
      <w:pPr>
        <w:spacing w:after="0" w:line="21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EDPA Court has selected additional cases to proceed as bellwethers, which consist of non-class cases filed by direct and indirect purchasers against the Company and other defendants. In a case filed by Humana, the Court had stayed the case prior to a trial scheduled to begin in September 2026. No new trial date has been set. Defendants’ motions for summary judgment have been largely denied with some narrowing of claims, potentially reducing claimed damages. Humana has dismissed with prejudice all of its claims – including those based on an “overarching conspiracy” – except for its claims related to a single drug product. The Company and one other generic manufacturer remain as defendants in the Humana case. Humana is asserting damages of approximately $300 million against the remaining defendants, which is subject to trebling under federal law with respect to Humana’s direct purchases and multipliers under certain state laws in connection with its indirect purchases.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Trials have been scheduled to begin in two other bellwether cases involving the Company in August 2027 and January 2028.</w:t>
      </w:r>
    </w:p>
    <w:p>
      <w:pPr>
        <w:spacing w:after="0" w:line="23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Canadian lawsuit, in February 2026, the Federal Court in Canada denied Plaintiff’s motion for class certification and the case has been dismissed. This matter is now closed.</w:t>
      </w:r>
    </w:p>
    <w:p>
      <w:pPr>
        <w:spacing w:after="0" w:line="20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 acted lawfully, is continuing to defend itself vigorously, and intends to vigorously contest all aspects of the cases, including the asserted damages.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and was subsequently transferred back to the U.S. District Court for the District of Connecticut. The operative complaint includes attorneys general of forty-two states, the District of Columbia and the Commonwealth of Puerto Rico. The Company is alleged to have engaged in anticompetitive conduct with respect to four generic drug products sold by the Company as well as an “overarching conspiracy” with respect to the various products asserted in the operative complaint against the Defendants. The amended complaint also includes claims asserted by attorneys general of thirty-two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spacing w:after="0" w:line="2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former sales employees, alleging anticompetitive conduct with respect to additional generic drugs sold by the Company as well as an “overarching conspiracy” with respect to the various products asserted in the operative complaint against the Defendants.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former Company sales employee. The operative complaint seeks declaratory and injunctive relief, disgorgement, attorneys’ fees and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costs, and certain states seek monetary damages, civil penalties, restitution, and other equitable monetary relief. This lawsuit was transferred to the aforementioned MDL proceeding in the EDPA and was subsequently transferred back to the U.S. District Court for the District of Connecticut.</w:t>
      </w:r>
    </w:p>
    <w:p>
      <w:pPr>
        <w:spacing w:after="0" w:line="16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sold by the Company as well as an “overarching conspiracy” with respect to the various products asserted in the operative complaint against the Defendants. On September 9, 2021, the complaint was amended, adding an additional state as a plaintiff. The operative complaint is brought by attorneys general of forty-two states, certain territories and the District of Columbia. The states’ claim for disgorgement and restitution under federal law, and certain state law claims brought by certain states, have been dismissed. This lawsuit was transferred to the aforementioned MDL proceeding in the EDPA and was ordered to proceed as a bellwether and was subsequently transferred back to the U.S. District Court for the District of Connecticut. The Company’s motions for summary judgment were largely denied with some of the States’ claims for monetary relief being reduced. In October 2026, the states dismissed their overarching conspiracy claim against the Company. As a result, the Company is no longer a defendant in the trial scheduled to begin in February 2027. With respect to the states’ sole remaining claims on three individual drug products, the Court ordered these claims to proceed separately. No trial date has been scheduled. The states currently seek disgorgement, civil penalties, declaratory and injunctive relief, attorneys’ fees and costs, and damages under certain state laws.</w:t>
      </w:r>
    </w:p>
    <w:p>
      <w:pPr>
        <w:spacing w:after="0" w:line="21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accrued approximately $50.0 million in connection with these matters at September 30, 2026, which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the condensed consolidated balance sheets. Although it is reasonably possible that the Company may incur additional losses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sought monetary damages as well as fees and costs. The Company has resolved this matter and the case has been dismissed.</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 former officer/director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included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sought certification of a class of purchasers of Mylan N.V. securities between February 16, 2016 and May 7, 2019. In July 2025, the Court held that Plaintiffs’ misstatements claim as to 1 of the 46 challenged statements, and their scheme claim, may proceed to discovery. The complaint sought monetary damages, as well as the plaintiff’s fees and costs. In February 2026, the Company reached an agreement to pay $60 million to fully resolve this matter, which has been approved by the court. This matter is now closed.</w:t>
      </w:r>
    </w:p>
    <w:p>
      <w:pPr>
        <w:spacing w:after="0" w:line="2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Beginning in May 2023, putative class action complaints were filed against the Company and certain of the Company’s former officers, directors, and employees in the WDPA on behalf of certain purchasers of securities of the Company. These actions were consolidated and, on October 23, 2023, a consolidated amended putative class action complaint was filed in the WDPA against the Company, and former officers and directors (“WDPA Viatris Class Action Litigation”). The operative complaint alleged that defendants made false or misleading statements and omissions of material fact, in violation of federal securities laws, in connection with disclosures relating to the Company’s projected financial performance and biosimilars business. Plaintiffs sought certification of a class of purchasers of Company securities between March 1, 2021 and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February 25, 2022. Plaintiffs sought monetary damages, reasonable costs and expenses, and certain other relief. On September 20, 2024, the Court granted Defendants’ motion to dismiss all of Plaintiffs’ claims. Plaintiffs’ appeals were denied and this case is now closed.</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was named as a nominal defendant in these derivative actions. Certain of the complaints also asserted claims for corporate waste and unjust enrichment. Plaintiffs sought various forms of relief, including damages, disgorgement, restitution, costs and fees. Following the consolidation of their complaints, in April 2026, Plaintiffs dismissed their complaint. These matters are now closed.</w:t>
      </w:r>
    </w:p>
    <w:p>
      <w:pPr>
        <w:spacing w:after="0" w:line="214"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In April 2025, a putative class action complaint, which was subsequently amended in September 2025 and March 2026, was filed against the Company and certain of the Company’s current and former officers, in the WDPA on behalf of certain purchasers of the Company’s securities (“WDPA Indore Class Action Litigation”). The amended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February 28, 2024 and February 26, 2025. Plaintiffs seek various forms of relief, including damages, costs and fees.</w:t>
      </w:r>
    </w:p>
    <w:p>
      <w:pPr>
        <w:spacing w:after="0" w:line="214"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Beginning in November 2025, stockholder derivative actions purportedly on behalf of Viatris have been filed in the WDPA and the U.S. District Court for the District of Delaware against certain of the Company’s current and former officers and directors alleging that the defendants failed to ensure that the Company was making truthful and accurate statements in connection with the disclosures alleged in the WDPA Indore Class Action Litigation.</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Viatris is also named as a nominal defendant in these derivative actions. The complaints assert various claims, including, violations of federal securities laws, as well as claims for breach of fiduciary duty, waste of corporate assets, and unjust enrichment. Plaintiffs seek various forms of relief, including damages, disgorgement, restitution, equitable relief, and costs and fees.</w:t>
      </w:r>
    </w:p>
    <w:p>
      <w:pPr>
        <w:spacing w:after="0" w:line="211"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 total accrual of approximately $60.0 million related to these matters at September 30, 2026, which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the condensed consolidated balance sheets. Although it is reasonably possible that the Company may incur additional losses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spacing w:after="0" w:line="21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maintains insurance coverage with respect to these matters. Management has determined that the majority of the losses associated with the WDPA Mylan N.V. Class Action Litigation are covered under existing insurance policies. Accordingly, the Company has recognized an insurance receivable of $58.0 million within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in the condensed consolidated balance sheets. The recognition of this receivable is based on management’s assessment that recovery of these costs is probable.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along with other manufacturers, distributors, pharmacies, pharmacy benefit managers, and individual healthcare providers, is a defendant in cases in the United States and Canada filed by various plaintiffs, including counties, cities and other local governmental entities, asserting civil claims related to sales, marketing and/or distribution practices with respect to prescription opioid products.</w:t>
      </w:r>
    </w:p>
    <w:p>
      <w:pPr>
        <w:spacing w:after="0" w:line="203"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were consolidated in an MDL in the U.S. District Court for the Northern District Court of Ohio.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2025, the Company reached a nationwide settlement framework to resolve opioid-related claims by States, local governments, and Native American tribes against the Company and certain of its subsidiaries. Under the agreed upon framework, the Company would pay up to a maximum of $335 million, consisting of annual payments over a nine-year period of between approximately $27.5 million and $40 million each, to help support state and local efforts to address opioid-related issues. Following a sign-on period, the settlement framework achieved high levels of participation, including all States and Territories, all litigating Native American Tribes, and the vast majority of litigating local governments. Accordingly, the settlement was finalized, and the cases covered by the settlement have either been dismissed or are in the process of being dismissed. The settlement contains no admission of wrongdoing or liability.</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Certain cases not covered by the settlement remain pending, including a small number of actions brought by local governments, private hospitals, third party payors, a personal injury plaintiff, and an action brought on behalf of children with Neonatal Abstinence Syndrome due to alleged exposure to opioids. Some of the pending actions are putative class action lawsuits.</w:t>
      </w:r>
    </w:p>
    <w:p>
      <w:pPr>
        <w:spacing w:after="0" w:line="174"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accrued approximately $281.3 million in connection with these matters at September 30, 2026, which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Other Long-term Obligations </w:t>
      </w:r>
      <w:r>
        <w:rPr>
          <w:rFonts w:ascii="Times New Roman" w:cs="Times New Roman" w:eastAsia="Times New Roman" w:hAnsi="Times New Roman"/>
          <w:sz w:val="18"/>
          <w:szCs w:val="18"/>
          <w:color w:val="auto"/>
        </w:rPr>
        <w:t>in the condensed consolidated balance sheets. Although it is reasonably possible that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Citalopram</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€12.2 million as of September 30, 2026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Perindopril</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spacing w:after="0" w:line="20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 The Company has reached an agreement in principle to resolve this matter.</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December 2024, health insurance funds located in the EU filed a case in the Amsterdam District Court against Servier and the generic</w:t>
      </w:r>
    </w:p>
    <w:p>
      <w:pPr>
        <w:spacing w:after="0" w:line="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companies, including the Company, seeking monetary damages, plus interest, purportedly arising from the settlement agreements. In April 2026, the Court dismissed the case against the Company for lack of jurisdiction. Plaintiffs have filed an appeal.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In July 2026, Servier filed a case in the Amsterdam District Court against all of the generic companies, including the Company, seeking contribution from the generic companies in the event Servier pays any damages amounts to Plaintiffs.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accrued approximately $35.6 million as of September 30, 2026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Company has reached an agreement to resolve the valsartan personal injury lawsuits in the U.S.</w:t>
      </w:r>
    </w:p>
    <w:p>
      <w:pPr>
        <w:spacing w:after="0" w:line="21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original master complaints concerning ranitidine were dismissed on December 31, 2020. The end-payor plaintiff immediately appealed to the U.S. Court of 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While state court cases remain pending in Missouri and New York, those cases are inactive.</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Depo-Provera</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Beginning in October 2024, the Company (including Greenstone LLC), Pfizer and certain entities related to Pfizer, and Prasco Labs were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were also filed. In February 2025, the federal lawsuits were transferred for consolidated pre-trial proceedings to an MDL in the U.S. District Court for the Northern District of Florida. Pfizer is the new drug application holder of Depo-Provera and markets and sells the branded version of the product. Greenstone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this process, the Company has been dismissed without prejudice from all cases originally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Greenstone LLC.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 pharmaceutical manufacturers.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Dimethyl Fumarate</w:t>
      </w:r>
    </w:p>
    <w:p>
      <w:pPr>
        <w:spacing w:after="0" w:line="22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Company launched its generic dimethyl fumarate (“DMF”) product in Europe starting in July 2022 after the European Commission concluded that Biogen Netherlands B.V. (“Biogen”) was not entitled to regulatory data exclusivity for Tecfidera®. In December 2023, based on its interpretation of an intervening ruling from the Court of Justice of the European Union (“CJEU”), the European Commission revoked certain generic marketing authorizations for DMF, including the Company’s. The Company challenged the European Commission’s revocation decision before the General Court of the European Union (“GCEU”) and, in February 2026, the GCEU denied the Company’s challenge. The Company has filed an appeal to the CJEU.</w:t>
      </w:r>
    </w:p>
    <w:p>
      <w:pPr>
        <w:spacing w:after="0" w:line="1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Beginning in October 2023, Biogen and certain Biogen affiliated entities filed damages actions in commercial courts of Spain, Belgium, France, Netherlands, Portugal, Germany, Italy, Estonia, Finland and Croatia claiming that the Company’s sales of generic DMF violated Tecfidera’s purportedly restored regulatory exclusivity and these actions are in various stages. Biogen’s purported regulatory exclusivity for Tecfidera expired in February 2024, its patent covering DMF has been revoked, and the Company has secured a new marketing authorization for DMF. Thus, the Company has resumed commercializing DMF in Europe.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Yupelri</w:t>
      </w:r>
    </w:p>
    <w:p>
      <w:pPr>
        <w:spacing w:after="0" w:line="241"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Beginning in January 2023, certain generic companies notified us that they had filed ANDAs with the FDA seeking approval to market generic versions of Yupelri® with associated Paragraph IV certifications. Beginning in February 2023, we brought patent infringement actions against the generic</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filers. The Company has entered into settlement agreements with all of the generic filers, granting them licenses to commercialize their generic versions of Yupelri® in April 2039 or earlier depending on certain circumstances. This matter is now closed.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 Continued</w:t>
      </w:r>
    </w:p>
    <w:p>
      <w:pPr>
        <w:spacing w:after="0" w:line="3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Amitiza</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Beginning in September 2023, Sawai Pharmaceutical Co. (“Sawai”) and Towa Pharmaceutical Co. Ltd. (“Towa”) filed challenges with the Japanese Patent Office (“JPO”) asserting invalidity of JP ’4332353 (“the ’353 patent”) and its patent term extensions (“PTE”) relevant to Amitiza®, which the Company commercializes in Japan in 24µg and 12µg dosages as a licensee of the relevant patents. The remaining PTE for the ‘353 patent, which was granted based on the approval of the 12µg product, expires in April 2027. In April 2025 and June 2025, the JPO upheld the validity of the ‘353 patent and its PTE. Sawai filed appeals against these JPO decisions with the Intellectual Property High Court which, in April and June 2026, were denied. Sawai has appealed the decision on the validity of the ‘353 patent to the Supreme Court of Japan.</w:t>
      </w:r>
    </w:p>
    <w:p>
      <w:pPr>
        <w:spacing w:after="0" w:line="21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Beginning in April 2024, Sawai filed challenges with the JPO with respect to the 12µg strength, asserting invalidity of PTE of five patents expiring in October 2025, September 2026, August 2027, November 2027, and December 2028, and challenged the validity of the August 2027 and December 2028 patents themselves. In January 2026, the JPO upheld the validity of the August 2027 patent. In May 2026, the JPO upheld the validity of the five challenged PTEs. Sawai has appealed the decision on the validity of the PTEs to the Intellectual Property High Court.</w:t>
      </w:r>
    </w:p>
    <w:p>
      <w:pPr>
        <w:spacing w:after="0" w:line="2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2026, Sawai and Towa received regulatory approval for their proposed 24µg products. The Company, beginning in October 2025, commenced actions asserting that Sawai and Towa’s proposed 24ug generic products would infringe the PTEs of four patents. The PTEs, which were granted in connection with the approval of the 12 µg product, expire in September 2026, April 2027, August 2027, and December 2028. Two of the four patents have been asserted against Sawai in Osaka District Court while the remaining two patents have been asserted against Sawai in Tokyo District Court. All four patents have been asserted against Towa in Tokyo District Court. The Company is seeking a finding of infringement and an order prohibiting Sawai and Towa from commercializing their proposed 24µg products until PTE expiration.</w:t>
      </w:r>
    </w:p>
    <w:p>
      <w:pPr>
        <w:spacing w:after="0" w:line="20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In February 2026, the Osaka District Court denied the Company’s request for a preliminary injunction against Sawai and, in March 2026, denied the Company’s infringement action against Sawai relating to the two asserted patents. The Company has appealed the infringement decision to the Intellectual Property High Court. The infringement cases against Sawai and Towa at the Tokyo District Court are pending.</w:t>
      </w:r>
    </w:p>
    <w:p>
      <w:pPr>
        <w:spacing w:after="0" w:line="21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April 2026, following hearings before the Intellectual Property High Court in the Sawai infringement appeal proceedings, both Sawai and Towa agreed to suspend certain steps required to commercialize their 24 µg products, pending further developments in the legal proceedings. In the event the Company’s infringement position is ultimately unsuccessful, Sawai and Towa maintained their rights to seek to recover damages against the Company.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Ryzumvi</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Trial is scheduled for February 2027. This lawsuit automatically stays FDA approval of the generic company’s ANDA until August 3, 2027, or until an adverse court decision, if any, whichever may occur earlier.</w:t>
      </w:r>
    </w:p>
    <w:p>
      <w:pPr>
        <w:spacing w:after="0" w:line="21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approximately $0.7 million accrued related to its intellectual property matters at September 30, 2026. It is reasonably possible that we may incur additional losses and fees but we cannot estimate a range of such reasonably possible losses or legal fees related to these claims at this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including commercial, contractual, employment, or other similar matters that are considered normal to its business. The Company has approximately $17 million accrued related to these various other legal proceedings at September 30,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Viatris Inc.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subsidiaries for the periods presented. Unless context requires otherwise, the “Company,” “Viatris,” “our” or “we” refer to Viatris Inc. and its subsidiaries.</w:t>
      </w:r>
    </w:p>
    <w:p>
      <w:pPr>
        <w:spacing w:after="0" w:line="21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2025 Form 10-K, the unaudited interim financial statements and related Notes included in Part I — Item 1 of this Form 10-Q and our other SEC filings and public disclosures. The interim results of operations and comprehensive loss for the three and nine months ended September 30, 2026, and cash flows for the nine months ended September 30, 2026 are not necessarily indicative of the results to be expected for the full fiscal year or any other future period.</w:t>
      </w:r>
    </w:p>
    <w:p>
      <w:pPr>
        <w:spacing w:after="0" w:line="17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This Form 10-Q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2" w:lineRule="exact"/>
        <w:rPr>
          <w:sz w:val="20"/>
          <w:szCs w:val="20"/>
          <w:color w:val="auto"/>
        </w:rPr>
      </w:pPr>
    </w:p>
    <w:p>
      <w:pPr>
        <w:ind w:left="660" w:right="280" w:hanging="328"/>
        <w:spacing w:after="0" w:line="24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not realize the intended benefits of, or achieve the intended goals or outlooks with respect to, its strategic initiatives and priorities;</w:t>
      </w:r>
    </w:p>
    <w:p>
      <w:pPr>
        <w:ind w:left="660" w:right="340" w:hanging="328"/>
        <w:spacing w:after="0" w:line="22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the intended or expected benefits of its enterprise-wide strategic review and related cost-saving and restructuring activities within the expected timeframe or at all;</w:t>
      </w:r>
    </w:p>
    <w:p>
      <w:pPr>
        <w:spacing w:after="0" w:line="1" w:lineRule="exact"/>
        <w:rPr>
          <w:rFonts w:ascii="Times New Roman" w:cs="Times New Roman" w:eastAsia="Times New Roman" w:hAnsi="Times New Roman"/>
          <w:sz w:val="18"/>
          <w:szCs w:val="18"/>
          <w:color w:val="auto"/>
        </w:rPr>
      </w:pPr>
    </w:p>
    <w:p>
      <w:pPr>
        <w:ind w:left="660" w:right="300" w:hanging="328"/>
        <w:spacing w:after="0" w:line="22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intended or expected benefits in connection with divestitures, acquisitions, strategic alliances, collaborations, or other transactions, or restructuring programs, within the expected timeframes or at all;</w:t>
      </w:r>
    </w:p>
    <w:p>
      <w:pPr>
        <w:spacing w:after="0" w:line="1" w:lineRule="exact"/>
        <w:rPr>
          <w:rFonts w:ascii="Times New Roman" w:cs="Times New Roman" w:eastAsia="Times New Roman" w:hAnsi="Times New Roman"/>
          <w:sz w:val="18"/>
          <w:szCs w:val="18"/>
          <w:color w:val="auto"/>
        </w:rPr>
      </w:pPr>
    </w:p>
    <w:p>
      <w:pPr>
        <w:ind w:left="660" w:right="680" w:hanging="328"/>
        <w:spacing w:after="0"/>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not complete the proposed acquisition of Pacira within the timeframe it anticipates or at all and, if completed, the possibility that the Company may not realize the anticipated benefits, synergies and operating efficiencies of the proposed acquisition;</w:t>
      </w:r>
    </w:p>
    <w:p>
      <w:pPr>
        <w:ind w:left="660" w:hanging="328"/>
        <w:spacing w:after="0" w:line="21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or impairment charges or other losses;</w:t>
      </w:r>
    </w:p>
    <w:p>
      <w:pPr>
        <w:ind w:left="660" w:right="680" w:hanging="328"/>
        <w:spacing w:after="0" w:line="22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spacing w:after="0" w:line="1" w:lineRule="exact"/>
        <w:rPr>
          <w:rFonts w:ascii="Times New Roman" w:cs="Times New Roman" w:eastAsia="Times New Roman" w:hAnsi="Times New Roman"/>
          <w:sz w:val="18"/>
          <w:szCs w:val="18"/>
          <w:color w:val="auto"/>
        </w:rPr>
      </w:pPr>
    </w:p>
    <w:p>
      <w:pPr>
        <w:ind w:left="660" w:right="180" w:hanging="328"/>
        <w:spacing w:after="0" w:line="21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short- or long-term shutdowns, inspections, remediation and restructuring activities, supply chain continuity, inventory management, or the ability to meet anticipated demand;</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right="300" w:hanging="328"/>
        <w:spacing w:after="0" w:line="22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natural or man-made disasters, public health outbreaks, fires, accidents, weather, unrest or other emergencies in regions where we or our partners or suppliers operate;</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right="20" w:hanging="328"/>
        <w:spacing w:after="0" w:line="23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regulations and policies and/or the application or implementation thereof, including but not limited to tax, healthcare and pharmaceutical laws, regulations and policies globally;</w:t>
      </w:r>
    </w:p>
    <w:p>
      <w:pPr>
        <w:spacing w:after="0" w:line="1"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motivate and retain key personnel;</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hanging="328"/>
        <w:spacing w:after="0" w:line="21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 development that receive regulatory approval may not achieve expected levels of market acceptance, efficacy or safety;</w:t>
      </w:r>
    </w:p>
    <w:p>
      <w:pPr>
        <w:ind w:left="660" w:hanging="328"/>
        <w:spacing w:after="0" w:line="23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review, response and approval times as a result of evolving regulatory priorities and reductions in personnel at health agencies;</w:t>
      </w:r>
    </w:p>
    <w:p>
      <w:pPr>
        <w:ind w:left="660" w:right="300" w:hanging="328"/>
        <w:spacing w:after="0" w:line="21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IT systems;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ind w:left="660" w:right="560" w:hanging="328"/>
        <w:spacing w:after="0" w:line="232"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changes in the Company’s or its partners’ customer and supplier relationships and customer purchasing patterns, including customer loss and business disruption being greater than expected following an adverse regulatory action, acquisition or divestiture;</w:t>
      </w:r>
    </w:p>
    <w:p>
      <w:pPr>
        <w:ind w:left="660" w:hanging="328"/>
        <w:spacing w:after="0" w:line="23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80" w:hanging="328"/>
        <w:spacing w:after="0" w:line="226"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wars or other conflicts, potential for adverse impacts from future tariffs and trade restrictions, inflation rates and global exchange rates;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3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2025 Form 10-K, Part II, Item 1A of this Form 10-Q,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30,000 employees. The Company has 27 manufacturing, packaging, and distribution sites worldwide, approximately 1,300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spacing w:after="0" w:line="187"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27"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process of obtaining regulatory approval to manufacture and market new branded and generic pharmaceutical products is rigorous, time consuming, costly, and inherently unpredictable. Complex generic products are often more difficult, costly and time-consuming to receive regulatory approval and bring to market compared with commodity generic pharmaceutical products.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spacing w:after="0" w:line="210" w:lineRule="exact"/>
        <w:rPr>
          <w:sz w:val="20"/>
          <w:szCs w:val="20"/>
          <w:color w:val="auto"/>
        </w:rPr>
      </w:pPr>
    </w:p>
    <w:p>
      <w:pPr>
        <w:ind w:right="260" w:firstLine="648"/>
        <w:spacing w:after="0" w:line="273" w:lineRule="auto"/>
        <w:rPr>
          <w:sz w:val="20"/>
          <w:szCs w:val="20"/>
          <w:color w:val="auto"/>
        </w:rPr>
      </w:pPr>
      <w:r>
        <w:rPr>
          <w:rFonts w:ascii="Times New Roman" w:cs="Times New Roman" w:eastAsia="Times New Roman" w:hAnsi="Times New Roman"/>
          <w:sz w:val="17"/>
          <w:szCs w:val="17"/>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spacing w:after="0" w:line="17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for Amitiza® 24 μg may occur in Japan in June 2027 depending on the outcome of patent litigation.</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lower pricing in order to win the tender. Sales continue to be negatively affected by the impact of tender systems in certain countries.</w:t>
      </w:r>
    </w:p>
    <w:p>
      <w:pPr>
        <w:spacing w:after="0" w:line="183" w:lineRule="exact"/>
        <w:rPr>
          <w:sz w:val="20"/>
          <w:szCs w:val="20"/>
          <w:color w:val="auto"/>
        </w:rPr>
      </w:pPr>
    </w:p>
    <w:p>
      <w:pPr>
        <w:ind w:right="280" w:firstLine="648"/>
        <w:spacing w:after="0" w:line="274" w:lineRule="auto"/>
        <w:rPr>
          <w:sz w:val="20"/>
          <w:szCs w:val="20"/>
          <w:color w:val="auto"/>
        </w:rPr>
      </w:pPr>
      <w:r>
        <w:rPr>
          <w:rFonts w:ascii="Times New Roman" w:cs="Times New Roman" w:eastAsia="Times New Roman" w:hAnsi="Times New Roman"/>
          <w:sz w:val="17"/>
          <w:szCs w:val="17"/>
          <w:color w:val="auto"/>
        </w:rPr>
        <w:t>In addition to the impact of competition, government pricing actions and other measures designed to reduce healthcare costs, our results of operations, cash flows and financial condition could also be affected by other risks of doing business throughout the world,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Pacira Acquisition</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October 8, 2026, the Company entered into the Pacira Merger Agreement with Pacira under which Viatris has agreed to acquire all of the outstanding Pacira Shares for $36.50 per share in cash, representing an aggregate equity value of $1.65 billion. Pacira brings two established, high-margin, patent-protected, in-market U.S. products – EXPAREL® (bupivacaine liposome injectable suspension) and ZILRETTA® (triamcinolone acetonide extended-release injectable suspension). Viatris plans to leverage its intellectual property expertise and proven ability to extend product lifecycles and sustain meaningful sales after the entry of competition to maximize the long-term value of the Pacira portfolio and expects to expand the products' reach across select markets within its global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October 30, 2026, the Company commenced the Pacira Offer to purchase all of the issued and outstanding Pacira Shares for $36.50 per share in cash, net of applicable withholding taxes and without interest, upon the terms and subject to the conditions set forth in the related Pacira Merger Agreement. The Pacira Offer and withdrawal rights will expire at one minute after 11:59 p.m., Eastern Time, on November 16, 2026, unless the Pacira Offer is extended or earlier terminated in accordance with the Pacira Merger Agreement. Following completion of the Pacira Offer, Viatris will acquire all remaining Pacira Shares not tendered in the Pacira Offer through the Pacira Merger for the same consideration. The Company expects to fund the transaction primarily from excess cash with the remainder from short-term borrowings.</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 which was unanimously approved by the boards of directors of both companies, is subject to customary closing conditions, including the tender of a majority of the outstanding Pacira Shares and expiration of the applicable regulatory waiting period. The transaction is expected to close by the end of November 2026.</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2026 Restructuring Program</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three years ending 2028.</w:t>
      </w:r>
    </w:p>
    <w:p>
      <w:pPr>
        <w:spacing w:after="0" w:line="2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 During the three and nine months ended September 30, 2026, the Company recognized total charges of $52.1 million and $157.3 million, respectively, in the condensed consolidated statements of operations related to this restructuring program.</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CCPS in Biocon Biologics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equity shares of Biocon were subject to a six-month lock up period. The Company completed the sale of its equity position in Biocon on July 14, 2026 for pre-tax total consideration of approximately $380 million. The pre-tax sale proceeds include the impacts of an approximate 2.7% block sale discount to market, transaction fees, and the strengthening of the U.S. dollar since the Company obtained the equity in January 2026.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the U.S. market. During the three and nine months ended September 30, 2026, the Company recognized a pre-tax loss of approximately $27.4 million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 million, respectively, as a result of changes in the fair value and subsequent sale of the Biocon equity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Manufacturing Facilities</w:t>
      </w:r>
    </w:p>
    <w:p>
      <w:pPr>
        <w:spacing w:after="0" w:line="21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an inspection by the FDA at our oral finished dose manufacturing facility in Indore, India in 2024, the FDA issued a warning letter and an import alert related to this facility. The import alert affects 11 products that will no longer be accepted into the U.S. until the warning letter is lifted.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Following the substance of FDA’s original inspection observations, the Company immediately implemented a comprehensive remediation plan at the site. During 2025, we made substantial progress on our remediation activities at the facility, including but not limited to related personnel actions. Additionally, we have engaged independent third-party subject matter experts to support the remediation plan.</w:t>
      </w:r>
    </w:p>
    <w:p>
      <w:pPr>
        <w:spacing w:after="0" w:line="19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While product continues to be shipped from the Indore facility to markets outside the U.S., as expected, we have also experienced a negative impact in other markets, including the ARV business in Emerging Markets and select generic products in Europe.</w:t>
      </w:r>
    </w:p>
    <w:p>
      <w:pPr>
        <w:spacing w:after="0" w:line="18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been in regular communication with the FDA during this process and will continue working to satisfy the FDA that the steps we have taken have resolved all the points raised. Our responses were submitted within the required time periods. The facility will be subject to a reinspection by the FDA. The timing of the reinspection will be determined by the FDA; however, we anticipate that the facility will be ready for reinspection in 2026.</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in February 2026, a fire occurred in a service area at the Company’s oral solid dose manufacturing facility in Nashik, India. Manufacturing at the facility was temporarily suspended.</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May 2026, the FDA inspected the facility and issued Form 483 observations. The Company responded to the Form 483 observations and promptly initiated a comprehensive remediation plan. The Company has also engaged independent third-party subject matter experts to support its remediation plan. While production at the facility had resumed, the temporary suspension of manufacturing and activities under the remediation plan led to disruptions at the facility. The estimated negative impact of product supply in the third quarter of 2026 to total revenues was approximately $100 million.</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September 2026, the Company received notice from the FDA that the inspection classification of the facility was OAI, which could lead to enforcement actions, including a warning letter or import alert. In October 2026, out of an abundance of caution, the Company voluntarily suspended manufacturing at the facility to focus on remediation activities. The Company expects to resume production at the facility during the first quarter of 2027. The foregoing manufacturing suspension is expected to result in incremental costs associated with the Company’s remediation activities, operational inefficiencies, reduced production volumes and delays in production during the affected period. The Company currently anticipates the negative impact of these supply disruptions to be approximately $100 million to total revenues in the fourth quarter of 2026. Also, due to timing of the expected ramp up needed to get the facility back to full production in 2027, the Company currently does not expect to recover the lower revenues from 2026 in 2027.</w:t>
      </w:r>
    </w:p>
    <w:p>
      <w:pPr>
        <w:spacing w:after="0" w:line="21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2026, the Company recognized total charges of $11.8 million and $98.6 million, respectively, within </w:t>
      </w: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xml:space="preserve"> in the condensed consolidated statements of operations primarily related to the write off of inventory and fixed assets damaged in the fire and incremental manufacturing variances. The Company believes it has certain insurance coverages for these losses, including for assets and business interruption. In the event the plant cannot be returned to sustained normal operations or the Company’s insurance coverage is unavailable or inadequate, this event could have a negative impact on our financial position, results of operations and cash flows.</w:t>
      </w:r>
    </w:p>
    <w:p>
      <w:pPr>
        <w:spacing w:after="0" w:line="21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been impacted by and continues to face potential risks associated with the manufacture and supply of its products (including at its Indore and Nashik manufacturing facilities as discussed above), including temporary facility shutdowns, regulatory inspections, the issuance of observations by government authorities, enforcement actions, including warning letters and import alerts, quality control or compliance issues, and operational disruptions affecting the Company or its third-party contract manufacturers and suppliers. These events have resulted in and may in the future result in delays in production, product launches, interruptions in product supply, increased operating costs, or reduced product availability, one or more of which could have a material adverse effect on the Company’s business, financial condition, results of operations, cash flows, ability to pay dividends or repurchase shares and/or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take oversight of our manufacturing network very seriously. Patient safety is our primary and unwavering focus. We will continue to work closely with our customers to mitigate the effects of potential supply disruptions to meet the needs of the patients we serve.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approximately 8.9 million shares of common stock at a cost of approximately $150.0 million, and 18.3 million shares of common stock at a cost of approximately $300.0 million, respectively, under the program. During the three and nine months ended September 30, 2025, the Company repurchased approximately 6.8 million shares of common stock at a cost of approximately $67.9 million, and 45.6 million shares of common stock at a cost of approximately $418.3 million, respectively, under the program. As of September 30, 2026, the Company had repurchased a total of approximately 112.5 million shares of common stock at a cost of approximately $1.30 billion under the program.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Company’s financial results for the three and nine months ended September 30, 2026 compared to the prior year period: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449"/>
        </w:trPr>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these results can be viewed without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impact of foreign currency exchange rates, thereby facilitating a period-to-period comparison of our operational activities, and believe that this presentation also provides useful information to investors for the same reason.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Use of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2026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2026 Constant</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Impact </w:t>
            </w:r>
            <w:r>
              <w:rPr>
                <w:rFonts w:ascii="Times New Roman" w:cs="Times New Roman" w:eastAsia="Times New Roman" w:hAnsi="Times New Roman"/>
                <w:sz w:val="18"/>
                <w:szCs w:val="18"/>
                <w:b w:val="1"/>
                <w:bCs w:val="1"/>
                <w:color w:val="auto"/>
                <w:w w:val="99"/>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197"/>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8"/>
        </w:trPr>
        <w:tc>
          <w:tcPr>
            <w:tcW w:w="33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September 30, 2026, other revenues in Developed Markets, JANZ, and Emerging Markets were approximately $8.9 million, $3.9 million, and $2.0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is eliminated on a consolidated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September 30, 2026, Viatris reported total revenues of $3.75 billion, compared to $3.76 billion for the comparable prior year period, representing a decrease of $10.4 million, or essentially flat. Total revenues include both net sales and other revenues from third parties. Net sales for the current quarter were $3.73 billion, compared to $3.75 billion for the comparable prior year period, representing a decrease of $12.8 million, or essentially flat. Other revenues for the current quarter were $14.8 million, compared to $12.4 million for the comparable prior year period.</w:t>
      </w:r>
    </w:p>
    <w:p>
      <w:pPr>
        <w:spacing w:after="0" w:line="164"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unfavorable impact of foreign currency translation was approximately $1.9 million. On a constant currency basis, net sales decreased by approximately $10.9 million, or essentially flat, for the three months ended September 30, 2026 compared to the prior year period, as new product sales, primarily in Developed Markets, of approximately $115.2 million, were largely offset by net base business erosion of approximately $126.1 million, driven primarily by continued supply constraints in Europe and Emerging Markets and additional competition on certain products. This was partially offset by the strength of the North American business, including estradiol transdermal products sales, and strong net sales in Greater China. New product sales include new products launched in 2026 and the carryover impact of new products, including business development, launched within the last twelve months.</w:t>
      </w:r>
    </w:p>
    <w:p>
      <w:pPr>
        <w:spacing w:after="0" w:line="20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introductions, seasonality, and the amount, if any, of</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 competition in the market. Our top ten products in terms of net sales, in the aggregate, represented approximately 41% and 38% for the three months ended September 30, 2026 and 2025,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Net sales from Developed Markets decreased by $39.7 million, or 2%, for the three months ended September 30, 2026 when compared to the prior year period. The unfavorable impact of foreign currency translation was approximately $16.3 million, or 1%. Constant currency net sales decreased by approximately $23.4 million, or 1%, when compared to the prior year period, driven primarily by lower net sales of certain existing products, primarily as a result of certain continued supply constraints in Europe and additional competition on certain products. This was partially offset by new product sales, primarily octreotide acetate, and higher sales of estradiol transdermal products of approximately $126.0 million, both in North America. Net sales within North America totaled approximately $923.4 million and net sales within Europe totaled approximately $1.29 billion.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$87.4 million, or 14%, for the three months ended September 30, 2026 when compared to the prior year period. The favorable impact of foreign currency translation was approximately $26.3 million, or 4%. Constant currency net sales increased by approximately $61.1 million, or 10%, when compared to the prior year period, primarily the result of strong growth across multiple channels, including e-commerce, retail, and hospitals, driven primarily by increased marketing and selling efforts.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sales from JANZ decreased by $19.2 million, or 6%, for the three months ended September 30, 2026 when compared to the prior year period. The unfavorable impact of foreign currency translation was approximately $5.0 million, or 2%. Constant currency net sales decreased by approximately $14.2 million, or 5%, when compared to the prior year period, driven primarily by lower net sales of existing products due to additional competition in Australia and government price reductions in Japan, partially offset by new product sales, primarily in Japan.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sales from Emerging Markets decreased by $41.3 million, or 7%, for the three months ended September 30, 2026 when compared to the prior year period. The unfavorable impact of foreign currency translation was approximately $6.9 million, or 1%. Constant currency net sales decreased by $34.4 million, or 6%, when compared to the prior year period, primarily driven by lower ARV volumes related to continued supply constraints. This decrease was partially offset by new product sales and higher net sales of existing products in certain Middle Eastern and Asian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Cost of sales decreased from $2.39 billion for the three months ended September 30, 2025 to $2.31 billion for the three months ended September 30, 2026, a decrease of $76.9 million. Gross profit for the three months ended September 30, 2026 was $1.44 billion and gross margins were 38%. For the three months ended September 30, 2025, gross profit was $1.37 billion and gross margins were 36%.</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changes in cost of sales, gross profit and gross margins were primarily driven by reduced sales of lower margin products in Europe and Emerging Markets as a result of continued supply disruptions, and increased sales of higher margin products in Greater China and North America. Adjusted gross margins were approximately 58% for the three months ended September 30, 2026, compared to approximately 56% for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three months ended September 30, 2026 compared to the three months ended September 30, 2025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2,388.4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 including restructuring related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1,655.5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2,176.0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2,104.4</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three months ended September 30, 2026 was $231.7 million, compared to $250.4 million for the comparable prior year period, a decrease of $18.7 million. This decrease was primarily the result of the timing of clinical spending.</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Acquired IPR&amp;D</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Acquired IPR&amp;D expense for the three months ended September 30, 2026 was $5.0 million, which was related to an upfront payment for a licensing deal. There was no Acquired IPR&amp;D in the comparable prior year period.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SG&amp;A expense for the current quarter was $950.8 million, compared to $886.6 million for the comparable prior year period, an increase of $64.2 million. The increase was primarily driven by higher restructuring costs of approximately $42.6 million primarily related to the EWSR.</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(gains)/losses recognized in litigation settlements and other contingencies, net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for more information with respect to the contingent consideration adjustment and litigation settlements, net,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2026 totaled $112.4 million, compared to $119.6 million for the three months ended September 30, 2025, a decrease of $7.2 million. The decrease is primarily due to the impact of the repayment of the 3.950% Senior Notes due 2026 at maturity in June 2026, partially offset by interest on the 2033 Euro Senior Notes issued in June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includes gains and losses from divestitures of businesses, changes in the fair value of equity securities, foreign exchange, expense (income) related to post-employment benefit plans, TSA income, and interest and dividend income. Other expense, net for the three months ended September 30, 2026 totaled $21.2 million, compared to $67.1 million for the three months ended September 30, 2025, a decrease of $45.9 million.</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decrease was primarily driven by a loss in the prior year period of $100.0 million as a result of changes in the fair value of the CCPS in Biocon Biologics. This was partially offset by a loss of $27.4 million in the current year period as a result of changes in the fair value and subsequent sale of equity shares of Biocon.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included in Part I, Item 1 of this Form 10-Q for more information with respect to the Biocon equity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the Company recognized an income tax provision of $453.2 million, compared to an income tax provision of $120.3 million for the comparable prior year period, a change of $332.9 million. The current quarter was negatively impacted by losses in jurisdictions for which minimal benefit can be realized. The provision in the prior year period was primarily driven by reduced tax benefits related to certain remediation costs as well as certain discrete tax items. The current quarter and prior quarter provisions were impacted by the levels of income and the changing mix at which it is earned in jurisdictions with differing tax rates.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Nine Months Ended </w:t>
      </w:r>
      <w:r>
        <w:rPr>
          <w:rFonts w:ascii="Times New Roman" w:cs="Times New Roman" w:eastAsia="Times New Roman" w:hAnsi="Times New Roman"/>
          <w:sz w:val="17"/>
          <w:szCs w:val="17"/>
          <w:b w:val="1"/>
          <w:bCs w:val="1"/>
          <w:i w:val="1"/>
          <w:iCs w:val="1"/>
          <w:color w:val="auto"/>
        </w:rPr>
        <w:t>September 30, 2026 Compared to</w:t>
      </w:r>
      <w:r>
        <w:rPr>
          <w:rFonts w:ascii="Times New Roman" w:cs="Times New Roman" w:eastAsia="Times New Roman" w:hAnsi="Times New Roman"/>
          <w:sz w:val="16"/>
          <w:szCs w:val="16"/>
          <w:b w:val="1"/>
          <w:bCs w:val="1"/>
          <w:i w:val="1"/>
          <w:iCs w:val="1"/>
          <w:color w:val="auto"/>
        </w:rPr>
        <w:t xml:space="preserve"> Nine Months Ended </w:t>
      </w:r>
      <w:r>
        <w:rPr>
          <w:rFonts w:ascii="Times New Roman" w:cs="Times New Roman" w:eastAsia="Times New Roman" w:hAnsi="Times New Roman"/>
          <w:sz w:val="17"/>
          <w:szCs w:val="17"/>
          <w:b w:val="1"/>
          <w:bCs w:val="1"/>
          <w:i w:val="1"/>
          <w:iCs w:val="1"/>
          <w:color w:val="auto"/>
        </w:rPr>
        <w:t>September 30,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2026 Currency</w:t>
            </w:r>
          </w:p>
        </w:tc>
        <w:tc>
          <w:tcPr>
            <w:tcW w:w="120" w:type="dxa"/>
            <w:vAlign w:val="bottom"/>
          </w:tcPr>
          <w:p>
            <w:pPr>
              <w:spacing w:after="0"/>
              <w:rPr>
                <w:sz w:val="11"/>
                <w:szCs w:val="11"/>
                <w:color w:val="auto"/>
              </w:rPr>
            </w:pPr>
          </w:p>
        </w:tc>
        <w:tc>
          <w:tcPr>
            <w:tcW w:w="106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2026 Constant</w:t>
            </w:r>
          </w:p>
        </w:tc>
        <w:tc>
          <w:tcPr>
            <w:tcW w:w="100" w:type="dxa"/>
            <w:vAlign w:val="bottom"/>
          </w:tcPr>
          <w:p>
            <w:pPr>
              <w:spacing w:after="0"/>
              <w:rPr>
                <w:sz w:val="11"/>
                <w:szCs w:val="11"/>
                <w:color w:val="auto"/>
              </w:rPr>
            </w:pPr>
          </w:p>
        </w:tc>
        <w:tc>
          <w:tcPr>
            <w:tcW w:w="13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46"/>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28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Impact </w:t>
            </w:r>
            <w:r>
              <w:rPr>
                <w:rFonts w:ascii="Times New Roman" w:cs="Times New Roman" w:eastAsia="Times New Roman" w:hAnsi="Times New Roman"/>
                <w:sz w:val="18"/>
                <w:szCs w:val="18"/>
                <w:b w:val="1"/>
                <w:bCs w:val="1"/>
                <w:color w:val="auto"/>
                <w:w w:val="96"/>
                <w:vertAlign w:val="superscript"/>
              </w:rPr>
              <w:t>(1)</w:t>
            </w:r>
          </w:p>
        </w:tc>
        <w:tc>
          <w:tcPr>
            <w:tcW w:w="120" w:type="dxa"/>
            <w:vAlign w:val="bottom"/>
          </w:tcPr>
          <w:p>
            <w:pPr>
              <w:spacing w:after="0"/>
              <w:rPr>
                <w:sz w:val="17"/>
                <w:szCs w:val="17"/>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1320" w:type="dxa"/>
            <w:vAlign w:val="bottom"/>
          </w:tcPr>
          <w:p>
            <w:pPr>
              <w:jc w:val="right"/>
              <w:ind w:right="18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line="229" w:lineRule="auto"/>
        <w:tabs>
          <w:tab w:leader="none" w:pos="64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nine months ended September 30, 2026, other revenues in Developed Markets, JANZ, and Emerging Markets were approximately $23.4 million, $4.1 million, and $5.5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is eliminated on a consolidated basis.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2026, Viatris reported total revenues of $11.02 billion, compared to $10.60 billion for the comparable prior year period, representing an increase of $427.0 million, or 4%. Total revenues include both net sales and other revenues from third parties. Net sales for the nine months ended September 30, 2026 were $10.99 billion, compared to $10.56 billion for the comparable prior year period, representing an increase of $430.6 million, or 4%. Other revenues for the nine months ended September 30, 2026 were $33.0 million, compared to $36.6 million for the comparable prior year period.</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favorable impact of foreign currency translation was approximately $209.1 million, or 2%, primarily reflecting changes in the U.S. Dollar as compared to the currencies of subsidiaries in Europe and China. On a constant currency basis, net sales increased by approximately $221.5 million, or 2%, for the nine months ended September 30, 2026 compared to the prior year period. The increase was the result of new product sales, primarily in Developed Markets, of approximately $286.9 million, partially offset by net base business erosion of approximately $65.4 million, driven by continued supply constraints in Europe and Emerging Markets and additional competition on certain products. This was partially offset by the strength of the North American business, including estradiol transdermal products sales, and strong net sales in Greater China. New product sales include new products launched in 2026 and the carryover impact of new products, including business development, launched within the last twelve months.</w:t>
      </w:r>
    </w:p>
    <w:p>
      <w:pPr>
        <w:spacing w:after="0" w:line="189"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40% and 37% for the nine months ended September 30, 2026 and 2025,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sales from Developed Markets increased by $163.8 million, or 3%, for the nine months ended September 30, 2026 when compared to the prior year period. The favorable impact of foreign currency translation was approximately $132.3 million, or 2%. Constant currency net sales increased by approximately $31.5 million, or 1%, when compared to the prior year period, driven by new product sales, primarily octreotide acetate, and higher sales of estradiol transdermal products of approximately $234.1 million, both in North America. This was partially offset by lower net sales of certain existing products, primarily as a result of continued supply constraints in Europe and additional competition on certain products. Net sales within North America totaled approximately $2.63 billion and net sales within Europe totaled approximately $3.80 billion.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$336.9 million, or 19%, for the nine months ended September 30, 2026 when compared to the prior year period. The favorable impact of foreign currency translation was approximately $80.5 million, or 5%. Constant currency net sales increased by approximately $256.4 million, or 15%, when compared to the prior year period, primarily the result of strong growth across multiple channels, including e-commerce, retail, and hospitals, driven primarily by increased marketing and selling efforts.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sales from JANZ decreased by $31.5 million, or 4%, for the nine months ended September 30, 2026 when compared to the prior year period. The unfavorable impact of foreign currency translation was approximately $9.3 million, or 1%. Constant currency net sales decreased by approximately $22.2 million, or 2%, when compared to the prior year period, driven primarily by lower net sales of existing products due to additional competition in Australia and government price reductions in Japan, partially offset by new product sales, primarily in Japan.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sales from Emerging Markets decreased by $38.6 million, or 2%, for the nine months ended September 30, 2026 when compared to the prior year period. The favorable impact of foreign currency translation was approximately $5.6 million, or less than 1%. Constant currency net sales decreased by approximately $44.2 million, or 3%, when compared to the prior year period, primarily driven by lower ARV volumes related to continued supply constraints. This decrease was partially offset by higher pricing and volumes of existing products in certain Middle Eastern and Asian countries.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Cost of sales increased from $6.73 billion for the nine months ended September 30, 2025 to $6.97 billion for the nine months ended September 30, 2026, an increase of $240.9 million. The increase in cost of sales was largely driven by the increase in net sales, higher restructuring costs primarily related to the EWSR, and higher costs associated with other special items, which include certain costs for plants slated for sale or closure or undergoing remediation activities, including $98.6 million related to the write off of inventory and fixed assets damaged in the fire at the Nashik manufacturing facility and incremental manufacturing variances</w:t>
      </w:r>
      <w:r>
        <w:rPr>
          <w:rFonts w:ascii="Times New Roman" w:cs="Times New Roman" w:eastAsia="Times New Roman" w:hAnsi="Times New Roman"/>
          <w:sz w:val="18"/>
          <w:szCs w:val="18"/>
          <w:i w:val="1"/>
          <w:iCs w:val="1"/>
          <w:color w:val="auto"/>
        </w:rPr>
        <w:t>.</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nine months ended September 30, 2026 was $4.05 billion and gross margins were 37%. For the nine months ended September 30, 2025, gross profit was $3.87 billion and gross margins were 36%. The changes in gross profit and gross margins are primarily related to the increase in net sales and cost of sales discussed above. Adjusted gross margins were approximately 57% for the nine months ended September 30, 2026, compared to approximately 56% for the nine months ended September 30, 2025.</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nine months ended September 30, 2026 compared to the nine months ended September 30, 2025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6,971.6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6,730.7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(1,791.6)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(1,787.1)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and divestiture-related costs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 including restructuring related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4,718.1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4,643.9</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6,305.2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5,952.4</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R&amp;D expense for the nine months ended September 30, 2026 was $728.6 million, compared to $691.2 million for the comparable prior year period, an increase of $37.4 million. This increase was primarily the result of higher spending on the selatogrel and cenerimod development programs.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Acquired IPR&amp;D</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Acquired IPR&amp;D expense for the nine months ended September 30, 2026 was $5.2 million, compared to $10.0 million for the comparable prior year period, a decrease of $4.8 million. The current period expense was related to an upfront payment for a licensing deal, and the prior period expense was related to an upfront licensing payment for rights to cenerimod in Japan, South Korea and certain countries in the Asia-Pacific region.</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SG&amp;A expense for the nine months ended September 30, 2026 was $3.01 billion, compared to $2.76 billion for the comparable prior year period, an increase of $250.7 million. The increase was primarily driven by a charge of $177.0 million related to the sale of the product rights for Tyrvaya® (refer to Note 5 </w:t>
      </w:r>
      <w:r>
        <w:rPr>
          <w:rFonts w:ascii="Times New Roman" w:cs="Times New Roman" w:eastAsia="Times New Roman" w:hAnsi="Times New Roman"/>
          <w:sz w:val="18"/>
          <w:szCs w:val="18"/>
          <w:i w:val="1"/>
          <w:iCs w:val="1"/>
          <w:color w:val="auto"/>
        </w:rPr>
        <w:t>Divestitures</w:t>
      </w:r>
      <w:r>
        <w:rPr>
          <w:rFonts w:ascii="Times New Roman" w:cs="Times New Roman" w:eastAsia="Times New Roman" w:hAnsi="Times New Roman"/>
          <w:sz w:val="18"/>
          <w:szCs w:val="18"/>
          <w:color w:val="auto"/>
        </w:rPr>
        <w:t xml:space="preserve"> in Part I, Item 1 of this Form 10-Q for more information), and certain costs related to the EWSR</w:t>
      </w:r>
      <w:r>
        <w:rPr>
          <w:rFonts w:ascii="Times New Roman" w:cs="Times New Roman" w:eastAsia="Times New Roman" w:hAnsi="Times New Roman"/>
          <w:sz w:val="18"/>
          <w:szCs w:val="18"/>
          <w:i w:val="1"/>
          <w:iCs w:val="1"/>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During the prior year period, the Company recorded a goodwill impairment charge of $2.94 billion in conjunction with its interim goodwill impairment test performed as of March 31, 2025.</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losses/(gains) recognized in litigation settlements and other contingencies, net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adjustment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88.2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27.5</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115.7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for more information with respect to the contingent consideration adjustment and litigation settlements, net,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2026 totaled $353.2 million, compared to $351.7 million for the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includes gains and losses from divestitures of businesses, changes in the fair value of equity securities, foreign exchange, expense (income) related to post-employment benefit plans, TSA income, and interest and dividend income. Other expense, net for the nine months ended September 30, 2026 totaled $18.3 million, compared to $499.9 million for the nine months ended September 30, 2025, a decrease of $481.6 million.</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decrease was primarily driven by a loss in the prior year period of $499.8 million as a result of changes in the fair value of the CCPS in Biocon Biologics, and a decrease in the loss on divestitures of $65.2 million. This was partially offset by a decrease in TSA income of $33.2 million, and a loss of $36.0 million recorded in the current year period as a result of changes in the fair value and subsequent sale of equity shares of Biocon. Refer to Note 11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included in Part I, Item 1 of this Form 10-Q for more information with respect to the Biocon equity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2026, the Company recognized an income tax provision of $84.3 million, compared to an income tax benefit of $147.2 million for the comparable prior year period, a change of $231.5 million. The provision in the current year period is primarily driven by certain losses in jurisdictions where minimal benefit can be realized, the tax benefit of certain internal restructurings undertaken, and the release of reserves for uncertain tax positions due to statute of limitations expirations. The benefit in the prior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year and prior year provisions were impacted by the levels of income and the changing mix at which it is earned in jurisdictions with differing tax 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 and Adjusted EPS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EBITDA, adjusted net earnings, and adjusted EPS include:</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Value Adjustments, Including Contingent Consideration</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and Divestiture-Related Costs and Other Special Items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related to restructuring, acquisition and divestiture-related activities and other actions are excluded from adjusted cost of sales,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adjusted net earnings, and adjusted EPS, as applicable. These amounts include items such as:</w:t>
      </w:r>
    </w:p>
    <w:p>
      <w:pPr>
        <w:spacing w:after="0" w:line="99" w:lineRule="exact"/>
        <w:rPr>
          <w:sz w:val="20"/>
          <w:szCs w:val="20"/>
          <w:color w:val="auto"/>
        </w:rPr>
      </w:pPr>
    </w:p>
    <w:p>
      <w:pPr>
        <w:ind w:left="980" w:right="56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100" w:hanging="324"/>
        <w:spacing w:after="0" w:line="258"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and divestiture costs, including costs relating to integration and planning, contractual obligations, including under supply agreements,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right="6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contractual termination costs, certain remediation activities, asset write-downs, including other-than-temporary impairments of investments in equity or debt instruments, or liability adjustments;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divestitures, including impairments of held for sale assets; and</w:t>
      </w:r>
    </w:p>
    <w:p>
      <w:pPr>
        <w:spacing w:after="0" w:line="63"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18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 Item 1 of this Form 10-Q are generally excluded from adjusted EBITDA,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to Adjusted Net Earnings and U.S. GAAP Loss Per Share to Adjusted EPS</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reconciliation between net loss and diluted loss per share as reported under U.S. GAAP, and adjusted net earnings and adjusted EPS for the periods shown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U.S. GAAP net loss and U.S. GAAP diluted loss per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84"/>
        </w:trPr>
        <w:tc>
          <w:tcPr>
            <w:tcW w:w="3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Purchase accounting amortization (primarily</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(primarily amortization of premiums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discounts on long term debt)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(Gain) / loss on divestitures of businesses (included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other expense, net)</w:t>
            </w: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Acquisition and divestiture-related costs (primarily</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included in cost of sales and SG&amp;A)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 </w:t>
            </w:r>
            <w:r>
              <w:rPr>
                <w:rFonts w:ascii="Times New Roman" w:cs="Times New Roman" w:eastAsia="Times New Roman" w:hAnsi="Times New Roman"/>
                <w:sz w:val="23"/>
                <w:szCs w:val="23"/>
                <w:color w:val="auto"/>
                <w:vertAlign w:val="superscript"/>
              </w:rPr>
              <w:t>(d)</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Tax effect of the above items and other income tax</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related items </w:t>
            </w:r>
            <w:r>
              <w:rPr>
                <w:rFonts w:ascii="Times New Roman" w:cs="Times New Roman" w:eastAsia="Times New Roman" w:hAnsi="Times New Roman"/>
                <w:sz w:val="23"/>
                <w:szCs w:val="23"/>
                <w:color w:val="auto"/>
                <w:vertAlign w:val="superscript"/>
              </w:rPr>
              <w:t>(f)</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earnings and adjusted EPS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include the following:</w:t>
      </w:r>
    </w:p>
    <w:p>
      <w:pPr>
        <w:spacing w:after="0" w:line="63" w:lineRule="exact"/>
        <w:rPr>
          <w:sz w:val="20"/>
          <w:szCs w:val="20"/>
          <w:color w:val="auto"/>
        </w:rPr>
      </w:pPr>
    </w:p>
    <w:p>
      <w:pPr>
        <w:ind w:left="660" w:right="20" w:hanging="328"/>
        <w:spacing w:after="0" w:line="229" w:lineRule="auto"/>
        <w:tabs>
          <w:tab w:leader="none" w:pos="65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and divestiture-related costs consist primarily of contractual obligations related to divestitures, transaction costs including legal and consulting fees, and integration activities.</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2026, charges include approximately $19.1 million and $95.8 million, respectively, in cost of sales, approximately $0.8 million and $3.4 million, respectively, in R&amp;D, and approximately $46.3 million and $107.3 million, respectively, in SG&amp;A, primarily relating to the 2026 restructuring program.</w:t>
      </w:r>
    </w:p>
    <w:p>
      <w:pPr>
        <w:spacing w:after="0" w:line="37" w:lineRule="exact"/>
        <w:rPr>
          <w:rFonts w:ascii="Times New Roman" w:cs="Times New Roman" w:eastAsia="Times New Roman" w:hAnsi="Times New Roman"/>
          <w:sz w:val="23"/>
          <w:szCs w:val="23"/>
          <w:color w:val="auto"/>
          <w:vertAlign w:val="superscript"/>
        </w:rPr>
      </w:pPr>
    </w:p>
    <w:p>
      <w:pPr>
        <w:jc w:val="both"/>
        <w:ind w:left="660" w:hanging="328"/>
        <w:spacing w:after="0" w:line="239" w:lineRule="auto"/>
        <w:tabs>
          <w:tab w:leader="none" w:pos="65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2026, includes certain asset impairments, contractual termination costs, and incremental manufacturing variances and certain remediation costs at plants slated for sale or closure or undergoing remediation activities of approximately $52.4 million and $227.3 million, respectively, including charges of $11.8 million and $98.6 million, respectively, primarily related to the write off of inventory and fixed assets damaged in the fire at the Nashik manufacturing facility and incremental manufacturing variances.</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2026, includes a (gain)/loss of $(0.8) million and $177.0 million, respectively, related to the sale of the product rights for Tyrvaya®.</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2026, charges include a pre-tax loss of approximately $27.4 million and $36.0 million, respectively, as a result of changes in the fair value and subsequent sale of the Biocon equity shares.</w:t>
      </w:r>
    </w:p>
    <w:p>
      <w:pPr>
        <w:spacing w:after="0" w:line="6"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Loss to EBITDA and Adjusted EBITDA</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Below is a reconciliation of U.S. GAAP net loss to EBITDA and adjusted EBITDA for the three and nine months ended September 30, 2026 compared to the prior year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 loss on divestitures of businesses</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goodwill</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and divestiture-related and other special items </w:t>
            </w:r>
            <w:r>
              <w:rPr>
                <w:rFonts w:ascii="Times New Roman" w:cs="Times New Roman" w:eastAsia="Times New Roman" w:hAnsi="Times New Roman"/>
                <w:sz w:val="23"/>
                <w:szCs w:val="23"/>
                <w:color w:val="auto"/>
                <w:vertAlign w:val="superscript"/>
              </w:rPr>
              <w:t>(c)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580" w:hanging="248"/>
        <w:spacing w:after="0"/>
        <w:tabs>
          <w:tab w:leader="none" w:pos="58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of premiums and discounts on long-term debt.</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Loss to Adjusted Net Earnings.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$1.67 billion for the nine months ended September 30, 2026.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$169.4 million to $1.67 billion for the nine months ended September 30, 2026, as compared to net cash provided by operating activities of $1.50 billion for the nine months ended September 30, 2025. Net cash provided by operating activities is derived from net loss adjusted for non-cash operating items, including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increase in net cash provided by operating activities was principally due to higher operating earnings.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was $518.1 million for the nine months ended September 30, 2026, as compared to net cash used in investing activities of $216.5 million for the nine months ended September 30, 2025, an increase of $734.6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2026,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proceeds from the CCPS settlement and the sale of the Biocon equity shares of $779.8 million; and</w:t>
      </w:r>
    </w:p>
    <w:p>
      <w:pPr>
        <w:spacing w:after="0" w:line="11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$178.4 million. While there can be no assurance that current expectations will be realized, capital expenditures for the 2026 calendar year are expected to be approximately $325 million to $400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2025,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$182.3 million.</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$1.74 billion for the nine months ended September 30, 2026, as compared to $1.06 billion for the nine months ended September 30, 2025, an increase of $678.7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2026,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3.950% Senior Notes due 2026 at maturity of approximately $1.675 billion;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and repayments under the 2024 Revolving Facility of $550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4.250% Euro Senior Notes due 2033 of approximately $752.8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$300.0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$416.9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2025,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of $415.4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paid of $423.0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of $176.3 million paid on behalf of other partners, which is included in Other items, net.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cash and cash equivalents totaled $1.79 billion at September 30, 2026. The majority of our cash is invested in U.S. government money market funds and in bank deposits. In order to support our global operations, we maintain significant cash and cash equivalents within the global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spacing w:after="0" w:line="21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access to $3.5 billion under the 2024 Revolving Facility which matures in September 2029. Up to $1.65 billion of the 2024 Revolving Facility may be used to support borrowings under our Commercial Paper Program. As of September 30, 2026, the Company did not have any borrowings outstanding under the Commercial Paper Program or the 2024 Revolving Facility.</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Receivables Facility for up to an aggregate amount of $600 million which expires in April 2028. As of September 30, 2026, the Company did not have any borrowings outstanding under the Receivables Facility.</w:t>
      </w:r>
    </w:p>
    <w:p>
      <w:pPr>
        <w:spacing w:after="0" w:line="16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w:t>
      </w:r>
    </w:p>
    <w:p>
      <w:pPr>
        <w:sectPr>
          <w:pgSz w:w="11900" w:h="16838" w:orient="portrait"/>
          <w:cols w:equalWidth="0" w:num="1">
            <w:col w:w="1122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condensed consolidated balance sheets. In addition, the agreement governing the Receivables Facility contains various customary affirmative and negative covenants, and customary default and termination provisions.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$149.9 million and $301.9 million of accounts receivable as of September 30, 2026 and December 31, 2025, respectively, under these factoring arrangements. Additionally, we have a similar arrangement for certain European countries. As of September 30, 2026, we assigned and derecognized approximately $50.7 million of </w:t>
      </w:r>
      <w:r>
        <w:rPr>
          <w:rFonts w:ascii="Times New Roman" w:cs="Times New Roman" w:eastAsia="Times New Roman" w:hAnsi="Times New Roman"/>
          <w:sz w:val="18"/>
          <w:szCs w:val="18"/>
          <w:i w:val="1"/>
          <w:iCs w:val="1"/>
          <w:color w:val="auto"/>
        </w:rPr>
        <w:t>Trade Receivables, Net</w:t>
      </w:r>
      <w:r>
        <w:rPr>
          <w:rFonts w:ascii="Times New Roman" w:cs="Times New Roman" w:eastAsia="Times New Roman" w:hAnsi="Times New Roman"/>
          <w:sz w:val="18"/>
          <w:szCs w:val="18"/>
          <w:color w:val="auto"/>
        </w:rPr>
        <w:t xml:space="preserve">, which were included in </w:t>
      </w:r>
      <w:r>
        <w:rPr>
          <w:rFonts w:ascii="Times New Roman" w:cs="Times New Roman" w:eastAsia="Times New Roman" w:hAnsi="Times New Roman"/>
          <w:sz w:val="18"/>
          <w:szCs w:val="18"/>
          <w:i w:val="1"/>
          <w:iCs w:val="1"/>
          <w:color w:val="auto"/>
        </w:rPr>
        <w:t>Other Receivables</w:t>
      </w:r>
      <w:r>
        <w:rPr>
          <w:rFonts w:ascii="Times New Roman" w:cs="Times New Roman" w:eastAsia="Times New Roman" w:hAnsi="Times New Roman"/>
          <w:sz w:val="18"/>
          <w:szCs w:val="18"/>
          <w:color w:val="auto"/>
        </w:rPr>
        <w:t>. As of December 31, 2025, no amounts were assigned and derecognized.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spacing w:after="0" w:line="18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dividends paid and declared and share repurchase program, refer to Note 9 </w:t>
      </w:r>
      <w:r>
        <w:rPr>
          <w:rFonts w:ascii="Times New Roman" w:cs="Times New Roman" w:eastAsia="Times New Roman" w:hAnsi="Times New Roman"/>
          <w:sz w:val="18"/>
          <w:szCs w:val="18"/>
          <w:i w:val="1"/>
          <w:iCs w:val="1"/>
          <w:color w:val="auto"/>
        </w:rPr>
        <w:t>Loss per Share</w:t>
      </w:r>
      <w:r>
        <w:rPr>
          <w:rFonts w:ascii="Times New Roman" w:cs="Times New Roman" w:eastAsia="Times New Roman" w:hAnsi="Times New Roman"/>
          <w:sz w:val="18"/>
          <w:szCs w:val="18"/>
          <w:color w:val="auto"/>
        </w:rPr>
        <w:t xml:space="preserve"> included in Part I, Item 1 of this Form 10-Q.</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our debt agreements and mandatory minimum repayments remaining on the outstanding notional amount of long-term debt at September 30, 2026, refer to Note 12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I, Item 1 of this Form 10-Q.</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in compliance with its covenants at September 30, 2026 and expects to remain in compliance for the next twelve months.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Viatris Inc. is the issuer of the Registered Upjohn Notes and the 2033 Euro Senior Notes, which are fully and unconditionally guaranteed on a senior unsecured basis by Mylan Inc., Mylan II B.V. and Utah Acquisition Sub Inc.</w:t>
      </w:r>
    </w:p>
    <w:p>
      <w:pPr>
        <w:spacing w:after="0" w:line="1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Mylan Inc. is the issuer of the Mylan Inc. U.S. Dollar Notes, which are fully and unconditionally guaranteed on a senior unsecured basis by Mylan II B.V., Viatris Inc. and Utah Acquisition Sub Inc.</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applicable series of Registered Notes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subordinated to such guarantor’s guarantee of the applicable series of Registered Notes, rank senior in right of payment to any future obligations of such guarantor that are expressly subordinated to such guarantor’s guarantee of the applicable series of Registered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Registered Notes.</w:t>
      </w:r>
    </w:p>
    <w:p>
      <w:pPr>
        <w:spacing w:after="0" w:line="18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guarantees by Mylan Inc., Mylan II B.V. and Utah Acquisition Sub Inc. under the applicable series of Registered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Registered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and the 2033 Euro Senior Notes, (a) upon the applicable guarantor no longer being an issuer or guarantor in respect of (i) Mylan Notes (as defined in the applicable indenture)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applicable indenture.</w:t>
      </w:r>
    </w:p>
    <w:p>
      <w:pPr>
        <w:spacing w:after="0" w:line="19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Registered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unaudited summarized financial information of Viatris Inc., Mylan Inc., Utah Acquisition Sub Inc., and Mylan II B.V. on a combined basis as of and for the nine months ended September 30, 2026 and as of and for the year ended December 31, 2025. All intercompany balances have been eliminated in consolidation. This unaudited combined summarized financial information is presented utilizing the equity method of accounting.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 and</w:t>
            </w: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Mylan II B.V.</w:t>
            </w:r>
          </w:p>
        </w:tc>
        <w:tc>
          <w:tcPr>
            <w:tcW w:w="0" w:type="dxa"/>
            <w:vAlign w:val="bottom"/>
          </w:tcPr>
          <w:p>
            <w:pPr>
              <w:spacing w:after="0"/>
              <w:rPr>
                <w:sz w:val="1"/>
                <w:szCs w:val="1"/>
                <w:color w:val="auto"/>
              </w:rPr>
            </w:pPr>
          </w:p>
        </w:tc>
      </w:tr>
      <w:tr>
        <w:trPr>
          <w:trHeight w:val="23"/>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59,413.4</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35,024.2</w:t>
            </w:r>
          </w:p>
        </w:tc>
        <w:tc>
          <w:tcPr>
            <w:tcW w:w="0" w:type="dxa"/>
            <w:vAlign w:val="bottom"/>
          </w:tcPr>
          <w:p>
            <w:pPr>
              <w:spacing w:after="0"/>
              <w:rPr>
                <w:sz w:val="1"/>
                <w:szCs w:val="1"/>
                <w:color w:val="auto"/>
              </w:rPr>
            </w:pP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11,135.0</w:t>
            </w:r>
          </w:p>
        </w:tc>
        <w:tc>
          <w:tcPr>
            <w:tcW w:w="0" w:type="dxa"/>
            <w:vAlign w:val="bottom"/>
          </w:tcPr>
          <w:p>
            <w:pPr>
              <w:spacing w:after="0"/>
              <w:rPr>
                <w:sz w:val="1"/>
                <w:szCs w:val="1"/>
                <w:color w:val="auto"/>
              </w:rPr>
            </w:pPr>
          </w:p>
        </w:tc>
      </w:tr>
      <w:tr>
        <w:trPr>
          <w:trHeight w:val="900"/>
        </w:trPr>
        <w:tc>
          <w:tcPr>
            <w:tcW w:w="3920" w:type="dxa"/>
            <w:vAlign w:val="bottom"/>
          </w:tcPr>
          <w:p>
            <w:pPr>
              <w:spacing w:after="0"/>
              <w:rPr>
                <w:sz w:val="24"/>
                <w:szCs w:val="24"/>
                <w:color w:val="auto"/>
              </w:rPr>
            </w:pPr>
          </w:p>
        </w:tc>
        <w:tc>
          <w:tcPr>
            <w:tcW w:w="3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Combined Summarized Income Statement Information</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4"/>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of Viatris Inc., Mylan Inc., Utah Acquisition Sub Inc.</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1"/>
                <w:szCs w:val="11"/>
                <w:color w:val="auto"/>
              </w:rPr>
            </w:pPr>
          </w:p>
        </w:tc>
        <w:tc>
          <w:tcPr>
            <w:tcW w:w="17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7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4"/>
        </w:trPr>
        <w:tc>
          <w:tcPr>
            <w:tcW w:w="7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00" w:type="dxa"/>
            <w:vAlign w:val="bottom"/>
          </w:tcPr>
          <w:p>
            <w:pPr>
              <w:spacing w:after="0"/>
              <w:rPr>
                <w:sz w:val="16"/>
                <w:szCs w:val="16"/>
                <w:color w:val="auto"/>
              </w:rPr>
            </w:pPr>
          </w:p>
        </w:tc>
        <w:tc>
          <w:tcPr>
            <w:tcW w:w="11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$459 million accrued for legal contingencies at September 30, 2026.</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divestitures, Viatris and the respective buyers currently have manufacturing and supply agreements pursuant to which the Company is providing services to the respective purchasers, substantially the same as we previously provided to the related businesses, generally for periods between one to 10 years depending on the geographic market and the products subject to such agreement, subject to potential extensions in certain circumstances. In connection with the API business divestiture, we currently have a manufacturing and supply agreement pursuant to which we are purchasing a significant amount of API from the purchaser in that transaction. Some of these agreements include various ongoing financial obligations.</w:t>
      </w:r>
    </w:p>
    <w:p>
      <w:pPr>
        <w:spacing w:after="0" w:line="21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Viatris periodically enters into acquisition, divestiture, collaboration, employment, legal settlement and other agreements which include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w:t>
      </w:r>
    </w:p>
    <w:p>
      <w:pPr>
        <w:spacing w:after="0" w:line="210"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matters—including certain specified competition law matters—to the extent they arise from conduct during the pre-Distribution period and has agreed to indemnify the Company for liabilities arising out of such matters. If Pfizer were to successfully dispute its retention of these matters, or if there is an adverse outcome in the matters that Pfizer has agreed to retain, this could have an adverse impact on Viatris. In addition, Viatris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In June 2026, the Company received a letter from Pfizer inquiring about the Company’s plan for payment to Pfizer under the foregoing agreement. The Company disagrees that the payment Pfizer requests is owed. Any loss to the Company as a result of the foregoing disagreement could have an adverse impact on Viatris.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market risk, see “Item 7A. Quantitative and Qualitative Disclosures about Market Risk” in Viatris’ 2025 Form 10-K.</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2026. Based upon that evaluation, the Principal Executive Officer and the Principal Financial Officer concluded that the Company’s disclosure controls and procedures were effective.</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Except as noted below, management has not identified any changes in the Company’s internal control over financial reporting (“ICFR”) that occurred during the third quarter of 2026 that have materially affected, or are reasonably likely to materially affect, the Company’s ICFR.</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of 2026, the Company implemented a new ERP system for entities outside of the U.S. The Company has modified and will continue to modify its internal controls relating to its business and financial processes throughout the entire ERP system implementation, which is expected through the end of calendar year 2026. While the Company believes that this new system and the related changes to internal controls will ultimately strengthen its ICFR, there are inherent risks in implementing any new ERP system and the Company will continue to evaluate and test control changes in order to provide certification as of its fiscal year ending December 31, 2026 on the effectiveness of its ICFR.</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18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in the accompanying Notes to interim financial statements in this Form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00" w:lineRule="exact"/>
        <w:rPr>
          <w:sz w:val="20"/>
          <w:szCs w:val="20"/>
          <w:color w:val="auto"/>
        </w:rPr>
      </w:pPr>
    </w:p>
    <w:p>
      <w:pPr>
        <w:spacing w:after="0" w:line="24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in the Company’s risk factors from those disclosed in Viatris’ 2025 Form 10-K.</w:t>
      </w:r>
    </w:p>
    <w:p>
      <w:pPr>
        <w:spacing w:after="0" w:line="24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complete the proposed acquisition of Pacira within the timeframe we anticipate or at all and, if completed, we may not realize the anticipated benefits, synergies and operating efficiencies of the proposed acquisition.</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completion of the acquisition of Pacira is subject to a number of conditions, including (i) that there have been validly tendered (and not validly withdrawn) prior to the expiration of the Pacira Offer a number of Pacira Shares that, together with the number of Pacira Shares then owned by us, if any, would represent at least one Pacira Share more than 50% of the total number of Pacira Shares then issued and outstanding, (ii) the accuracy of the representations and warranties of Pacira contained in the Pacira Merger Agreement, subject to customary materiality thresholds and qualifications, (iii) Pacira’s compliance with, or performance of, in all material respects, its covenants and agreements required to be complied with or performed by it under the Pacira Merger Agreement at or prior to the time of acceptance for payment of Pacira Shares validly tendered and not validly withdrawn, (iv) the expiration or termination of the waiting period (or any extension thereof) applicable to the Pacira Offer under the Hart-Scott-Rodino Antitrust Improvements Act of 1976, as amended, (v) the absence of any legal restraint that prohibits or makes illegal the consummation of the Pacira Offer or the Pacira Merger and (vi) other customary conditions set forth in the Pacira Merger Agreement. No assurance can be given that a sufficient number of Pacira Shares will be tendered or that the other required conditions to closing will be satisfied, or when such conditions may be satisfied. The failure to satisfy all of the required conditions could delay the completion of the acquisition for a significant period of time or prevent it from occurring at all. In addition, the Pacira workforce is expected to provide U.S. innovative commercial, market access, medical affairs and global R&amp;D capabilities that are highly complementary to our existing infrastructure and portfolio. Any delay in</w:t>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completing the acquisition or, following its completion, any underperformance of the acquired business relative to our expectations, our inability to successfully integrate the acquired business or our inability to retain the talent necessary to provide expected capabilities could cause us not to realize some or all of the anticipated benefits, synergies and operating efficiencies of the acquisition or cause us to realize them on a different timeline than expected. The occurrence of any one or more of the above risks could have a material adverse effect on our business, financial condition, results of operations, cash flows, ability to pay dividends or repurchase shares, and/or stock price.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u w:val="single" w:color="auto"/>
          <w:color w:val="auto"/>
        </w:rPr>
        <w:t>Viatris Inc.</w:t>
      </w:r>
    </w:p>
    <w:p>
      <w:pPr>
        <w:spacing w:after="0" w:line="27"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25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2440" w:type="dxa"/>
            <w:vAlign w:val="bottom"/>
            <w:vMerge w:val="restart"/>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0" w:type="dxa"/>
            <w:vAlign w:val="bottom"/>
          </w:tcPr>
          <w:p>
            <w:pPr>
              <w:jc w:val="center"/>
              <w:ind w:left="74"/>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135"/>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4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2000" w:type="dxa"/>
            <w:vAlign w:val="bottom"/>
          </w:tcPr>
          <w:p>
            <w:pPr>
              <w:jc w:val="center"/>
              <w:ind w:left="54"/>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2440" w:type="dxa"/>
            <w:vAlign w:val="bottom"/>
          </w:tcPr>
          <w:p>
            <w:pPr>
              <w:jc w:val="center"/>
              <w:ind w:left="628"/>
              <w:spacing w:after="0" w:line="162" w:lineRule="exact"/>
              <w:rPr>
                <w:sz w:val="20"/>
                <w:szCs w:val="20"/>
                <w:color w:val="auto"/>
              </w:rPr>
            </w:pPr>
            <w:r>
              <w:rPr>
                <w:rFonts w:ascii="Times New Roman" w:cs="Times New Roman" w:eastAsia="Times New Roman" w:hAnsi="Times New Roman"/>
                <w:sz w:val="14"/>
                <w:szCs w:val="14"/>
                <w:b w:val="1"/>
                <w:bCs w:val="1"/>
                <w:color w:val="auto"/>
                <w:w w:val="91"/>
              </w:rPr>
              <w:t xml:space="preserve">Purchased </w:t>
            </w:r>
            <w:r>
              <w:rPr>
                <w:rFonts w:ascii="Times New Roman" w:cs="Times New Roman" w:eastAsia="Times New Roman" w:hAnsi="Times New Roman"/>
                <w:sz w:val="18"/>
                <w:szCs w:val="18"/>
                <w:b w:val="1"/>
                <w:bCs w:val="1"/>
                <w:color w:val="auto"/>
                <w:w w:val="91"/>
                <w:vertAlign w:val="superscript"/>
              </w:rPr>
              <w:t>(a) (b)</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6"/>
              </w:rPr>
              <w:t xml:space="preserve">Share </w:t>
            </w:r>
            <w:r>
              <w:rPr>
                <w:rFonts w:ascii="Times New Roman" w:cs="Times New Roman" w:eastAsia="Times New Roman" w:hAnsi="Times New Roman"/>
                <w:sz w:val="18"/>
                <w:szCs w:val="18"/>
                <w:b w:val="1"/>
                <w:bCs w:val="1"/>
                <w:color w:val="auto"/>
                <w:w w:val="96"/>
                <w:vertAlign w:val="superscript"/>
              </w:rPr>
              <w:t>(c)</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9"/>
                <w:szCs w:val="9"/>
                <w:b w:val="1"/>
                <w:bCs w:val="1"/>
                <w:color w:val="auto"/>
              </w:rPr>
              <w:t>(a)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jc w:val="center"/>
        <w:ind w:right="6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Shares that May Yet Be Purchased Under the Plans or Programs </w:t>
      </w:r>
      <w:r>
        <w:rPr>
          <w:rFonts w:ascii="Times New Roman" w:cs="Times New Roman" w:eastAsia="Times New Roman" w:hAnsi="Times New Roman"/>
          <w:sz w:val="9"/>
          <w:szCs w:val="9"/>
          <w:b w:val="1"/>
          <w:bCs w:val="1"/>
          <w:color w:val="auto"/>
        </w:rPr>
        <w:t>(a)</w:t>
      </w:r>
    </w:p>
    <w:p>
      <w:pPr>
        <w:spacing w:after="0" w:line="24" w:lineRule="exact"/>
        <w:rPr>
          <w:sz w:val="20"/>
          <w:szCs w:val="20"/>
          <w:color w:val="auto"/>
        </w:rPr>
      </w:pPr>
    </w:p>
    <w:p>
      <w:pPr>
        <w:sectPr>
          <w:pgSz w:w="11900" w:h="16838" w:orient="portrait"/>
          <w:cols w:equalWidth="0" w:num="2">
            <w:col w:w="8860" w:space="200"/>
            <w:col w:w="218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6,084,948</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6,084,948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746,819,124</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2,829,063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699,532,414</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699,532,414</w:t>
            </w:r>
          </w:p>
        </w:tc>
      </w:tr>
      <w:tr>
        <w:trPr>
          <w:trHeight w:val="223"/>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8,914,011</w:t>
            </w: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8,914,011</w:t>
            </w:r>
          </w:p>
        </w:tc>
        <w:tc>
          <w:tcPr>
            <w:tcW w:w="7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699,532,414</w:t>
            </w:r>
          </w:p>
        </w:tc>
      </w:tr>
      <w:tr>
        <w:trPr>
          <w:trHeight w:val="21"/>
        </w:trPr>
        <w:tc>
          <w:tcPr>
            <w:tcW w:w="35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8" w:lineRule="exact"/>
        <w:rPr>
          <w:sz w:val="20"/>
          <w:szCs w:val="20"/>
          <w:color w:val="auto"/>
        </w:rPr>
      </w:pPr>
    </w:p>
    <w:p>
      <w:pPr>
        <w:ind w:left="660" w:right="100" w:hanging="328"/>
        <w:spacing w:after="0" w:line="236" w:lineRule="auto"/>
        <w:tabs>
          <w:tab w:leader="none" w:pos="655"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Loss per Share</w:t>
      </w:r>
      <w:r>
        <w:rPr>
          <w:rFonts w:ascii="Times New Roman" w:cs="Times New Roman" w:eastAsia="Times New Roman" w:hAnsi="Times New Roman"/>
          <w:sz w:val="18"/>
          <w:szCs w:val="18"/>
          <w:color w:val="auto"/>
        </w:rPr>
        <w:t xml:space="preserve"> included in Part I, Item 1 of this Form 10-Q for additional information regarding the Company’s authorized share repurchase program. During the three months ended September 30, 2026, the Company repurchased approximately 8.9 million shares of common stock at a cost of approximately $150.0 million under this program.</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purchased is based on the purchase date and not the settlement date.</w:t>
      </w:r>
    </w:p>
    <w:p>
      <w:pPr>
        <w:spacing w:after="0" w:line="55"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per share includes commissions.</w:t>
      </w:r>
    </w:p>
    <w:p>
      <w:pPr>
        <w:spacing w:after="0" w:line="1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0" w:type="dxa"/>
            <w:vAlign w:val="bottom"/>
            <w:gridSpan w:val="2"/>
          </w:tcPr>
          <w:p>
            <w:pPr>
              <w:jc w:val="right"/>
              <w:ind w:right="400"/>
              <w:spacing w:after="0"/>
              <w:rPr>
                <w:rFonts w:ascii="Times New Roman" w:cs="Times New Roman" w:eastAsia="Times New Roman" w:hAnsi="Times New Roman"/>
                <w:sz w:val="18"/>
                <w:szCs w:val="18"/>
                <w:color w:val="0000FF"/>
                <w:w w:val="95"/>
              </w:rPr>
            </w:pPr>
            <w:hyperlink r:id="rId11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Amended and Restated Term Loan Credit Agreement, dated as of July 1, 2026, among Viatris, the guarantors from time to time party</w:t>
            </w:r>
          </w:p>
        </w:tc>
      </w:tr>
      <w:tr>
        <w:trPr>
          <w:trHeight w:val="171"/>
        </w:trPr>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2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w w:val="99"/>
              </w:rPr>
              <w:t>thereto, the lenders from time to time party thereto and Mizuho Bank, Ltd., as administrative agent, filed as Exhibit 10.1 to the Report on</w:t>
            </w:r>
          </w:p>
        </w:tc>
      </w:tr>
    </w:tbl>
    <w:p>
      <w:pPr>
        <w:ind w:left="1120"/>
        <w:spacing w:after="0"/>
        <w:rPr>
          <w:sz w:val="20"/>
          <w:szCs w:val="20"/>
          <w:color w:val="auto"/>
        </w:rPr>
      </w:pPr>
      <w:r>
        <w:rPr>
          <w:rFonts w:ascii="Times New Roman" w:cs="Times New Roman" w:eastAsia="Times New Roman" w:hAnsi="Times New Roman"/>
          <w:sz w:val="18"/>
          <w:szCs w:val="18"/>
          <w:color w:val="auto"/>
        </w:rPr>
        <w:t>Form 8-K filed by Viatris Inc. with the SEC on July 1, 2026, and incorporated herein by reference.^</w:t>
      </w:r>
    </w:p>
    <w:p>
      <w:pPr>
        <w:spacing w:after="0" w:line="273" w:lineRule="exact"/>
        <w:rPr>
          <w:sz w:val="20"/>
          <w:szCs w:val="20"/>
          <w:color w:val="auto"/>
        </w:rPr>
      </w:pPr>
    </w:p>
    <w:p>
      <w:pPr>
        <w:ind w:left="1120" w:hanging="1094"/>
        <w:spacing w:after="0" w:line="237" w:lineRule="auto"/>
        <w:tabs>
          <w:tab w:leader="none" w:pos="1120"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subsidiary guarantors and issuers of guaranteed securities, filed by Viatris Inc. as Exhibit 22 to Form 10-Q for the quarter ended June 30, 2026, and incorporated herein by reference.</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425"/>
        </w:trPr>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spacing w:after="0" w:line="238" w:lineRule="exact"/>
        <w:rPr>
          <w:sz w:val="20"/>
          <w:szCs w:val="20"/>
          <w:color w:val="auto"/>
        </w:rPr>
      </w:pPr>
    </w:p>
    <w:p>
      <w:pPr>
        <w:ind w:left="1120" w:hanging="1094"/>
        <w:spacing w:after="0"/>
        <w:tabs>
          <w:tab w:leader="none" w:pos="1120" w:val="left"/>
        </w:tabs>
        <w:numPr>
          <w:ilvl w:val="0"/>
          <w:numId w:val="5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4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bl>
    <w:p>
      <w:pPr>
        <w:spacing w:after="0" w:line="265" w:lineRule="exact"/>
        <w:rPr>
          <w:sz w:val="20"/>
          <w:szCs w:val="20"/>
          <w:color w:val="auto"/>
        </w:rPr>
      </w:pPr>
    </w:p>
    <w:p>
      <w:pPr>
        <w:ind w:left="1120" w:hanging="1094"/>
        <w:spacing w:after="0" w:line="237"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26" w:lineRule="exact"/>
        <w:rPr>
          <w:sz w:val="20"/>
          <w:szCs w:val="20"/>
          <w:color w:val="auto"/>
        </w:rPr>
      </w:pPr>
    </w:p>
    <w:p>
      <w:pPr>
        <w:ind w:left="1120" w:right="1080" w:hanging="1094"/>
        <w:spacing w:after="0" w:line="237"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Scott A. Smith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658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Campbell</w:t>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 Chief Accounting Officer &amp;</w:t>
      </w:r>
    </w:p>
    <w:p>
      <w:pPr>
        <w:ind w:left="608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1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20"/>
          </w:cols>
          <w:pgMar w:left="320" w:top="114" w:right="8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Smith, certify that:</w:t>
      </w:r>
    </w:p>
    <w:p>
      <w:pPr>
        <w:spacing w:after="0" w:line="131" w:lineRule="exact"/>
        <w:rPr>
          <w:sz w:val="20"/>
          <w:szCs w:val="20"/>
          <w:color w:val="auto"/>
        </w:rPr>
      </w:pPr>
    </w:p>
    <w:p>
      <w:pPr>
        <w:ind w:left="640" w:hanging="187"/>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34290</wp:posOffset>
            </wp:positionV>
            <wp:extent cx="25031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Campbell, certify that:</w:t>
      </w:r>
    </w:p>
    <w:p>
      <w:pPr>
        <w:spacing w:after="0" w:line="131" w:lineRule="exact"/>
        <w:rPr>
          <w:sz w:val="20"/>
          <w:szCs w:val="20"/>
          <w:color w:val="auto"/>
        </w:rPr>
      </w:pPr>
    </w:p>
    <w:p>
      <w:pPr>
        <w:ind w:left="640" w:hanging="187"/>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Viatris Inc.;</w:t>
      </w:r>
    </w:p>
    <w:p>
      <w:pPr>
        <w:spacing w:after="0" w:line="130" w:lineRule="exact"/>
        <w:rPr>
          <w:rFonts w:ascii="Times New Roman" w:cs="Times New Roman" w:eastAsia="Times New Roman" w:hAnsi="Times New Roman"/>
          <w:sz w:val="18"/>
          <w:szCs w:val="18"/>
          <w:color w:val="auto"/>
        </w:rPr>
      </w:pPr>
    </w:p>
    <w:p>
      <w:pPr>
        <w:ind w:right="140" w:firstLine="453"/>
        <w:spacing w:after="0" w:line="329"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100" w:firstLine="453"/>
        <w:spacing w:after="0" w:line="313"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40" w:hanging="187"/>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500" w:right="440" w:firstLine="480"/>
        <w:spacing w:after="0" w:line="305" w:lineRule="auto"/>
        <w:tabs>
          <w:tab w:leader="none" w:pos="12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jc w:val="both"/>
        <w:ind w:left="500" w:right="200" w:firstLine="480"/>
        <w:spacing w:after="0" w:line="305" w:lineRule="auto"/>
        <w:tabs>
          <w:tab w:leader="none" w:pos="12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Times New Roman" w:cs="Times New Roman" w:eastAsia="Times New Roman" w:hAnsi="Times New Roman"/>
          <w:sz w:val="18"/>
          <w:szCs w:val="18"/>
          <w:color w:val="auto"/>
        </w:rPr>
      </w:pPr>
    </w:p>
    <w:p>
      <w:pPr>
        <w:ind w:left="500" w:right="320" w:firstLine="480"/>
        <w:spacing w:after="0" w:line="329" w:lineRule="auto"/>
        <w:tabs>
          <w:tab w:leader="none" w:pos="12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500" w:right="280" w:firstLine="480"/>
        <w:spacing w:after="0" w:line="305" w:lineRule="auto"/>
        <w:tabs>
          <w:tab w:leader="none" w:pos="12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Times New Roman" w:cs="Times New Roman" w:eastAsia="Times New Roman" w:hAnsi="Times New Roman"/>
          <w:sz w:val="18"/>
          <w:szCs w:val="18"/>
          <w:color w:val="auto"/>
        </w:rPr>
      </w:pPr>
    </w:p>
    <w:p>
      <w:pPr>
        <w:ind w:right="100" w:firstLine="453"/>
        <w:spacing w:after="0" w:line="329" w:lineRule="auto"/>
        <w:tabs>
          <w:tab w:leader="none" w:pos="6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500" w:right="540" w:firstLine="480"/>
        <w:spacing w:after="0" w:line="313" w:lineRule="auto"/>
        <w:tabs>
          <w:tab w:leader="none" w:pos="122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00" w:right="220" w:firstLine="480"/>
        <w:spacing w:after="0" w:line="313" w:lineRule="auto"/>
        <w:tabs>
          <w:tab w:leader="none" w:pos="123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Paul Campbell</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Interim Chief Financial Officer, Chief Accounting</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Officer &amp; Corporate Controller</w:t>
      </w:r>
    </w:p>
    <w:p>
      <w:pPr>
        <w:spacing w:after="0" w:line="4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Viatris Inc. (the “Company”) for the period ended September 30, 2026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8" w:lineRule="exact"/>
        <w:rPr>
          <w:sz w:val="20"/>
          <w:szCs w:val="20"/>
          <w:color w:val="auto"/>
        </w:rPr>
      </w:pPr>
    </w:p>
    <w:p>
      <w:pPr>
        <w:ind w:left="1080" w:hanging="181"/>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SCOTT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Scott A. Smith</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34290</wp:posOffset>
            </wp:positionV>
            <wp:extent cx="2511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Paul Campbell</w:t>
      </w:r>
    </w:p>
    <w:p>
      <w:pPr>
        <w:spacing w:after="0" w:line="6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Interim Chief Financial Officer, Chief Accounting</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Officer &amp; Corporate Controller</w:t>
      </w:r>
    </w:p>
    <w:p>
      <w:pPr>
        <w:spacing w:after="0" w:line="4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198" w:lineRule="exact"/>
        <w:rPr>
          <w:sz w:val="20"/>
          <w:szCs w:val="20"/>
          <w:color w:val="auto"/>
        </w:rPr>
      </w:pPr>
    </w:p>
    <w:p>
      <w:pPr>
        <w:ind w:right="420" w:firstLine="445"/>
        <w:spacing w:after="0" w:line="32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94" w:lineRule="exact"/>
        <w:rPr>
          <w:sz w:val="20"/>
          <w:szCs w:val="20"/>
          <w:color w:val="auto"/>
        </w:rPr>
      </w:pPr>
    </w:p>
    <w:p>
      <w:pPr>
        <w:ind w:right="520" w:firstLine="445"/>
        <w:spacing w:after="0" w:line="329"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decimal"/>
      <w:start w:val="3"/>
    </w:lvl>
  </w:abstractNum>
  <w:abstractNum w:abstractNumId="8">
    <w:nsid w:val="22221A70"/>
    <w:multiLevelType w:val="hybridMultilevel"/>
    <w:lvl w:ilvl="0">
      <w:lvlJc w:val="left"/>
      <w:lvlText w:val="%1."/>
      <w:numFmt w:val="decimal"/>
      <w:start w:val="4"/>
    </w:lvl>
  </w:abstractNum>
  <w:abstractNum w:abstractNumId="9">
    <w:nsid w:val="4516DDE9"/>
    <w:multiLevelType w:val="hybridMultilevel"/>
    <w:lvl w:ilvl="0">
      <w:lvlJc w:val="left"/>
      <w:lvlText w:val="%1."/>
      <w:numFmt w:val="decimal"/>
      <w:start w:val="5"/>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decimal"/>
      <w:start w:val="7"/>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9"/>
    </w:lvl>
  </w:abstractNum>
  <w:abstractNum w:abstractNumId="14">
    <w:nsid w:val="440BADFC"/>
    <w:multiLevelType w:val="hybridMultilevel"/>
    <w:lvl w:ilvl="0">
      <w:lvlJc w:val="left"/>
      <w:lvlText w:val="%1."/>
      <w:numFmt w:val="decimal"/>
      <w:start w:val="10"/>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lvl w:ilvl="1">
      <w:lvlJc w:val="left"/>
      <w:lvlText w:val="(%2)"/>
      <w:numFmt w:val="decimal"/>
      <w:start w:val="1"/>
    </w:lvl>
  </w:abstractNum>
  <w:abstractNum w:abstractNumId="18">
    <w:nsid w:val="7724C67E"/>
    <w:multiLevelType w:val="hybridMultilevel"/>
    <w:lvl w:ilvl="0">
      <w:lvlJc w:val="left"/>
      <w:lvlText w:val="%1."/>
      <w:numFmt w:val="decimal"/>
      <w:start w:val="11"/>
    </w:lvl>
    <w:lvl w:ilvl="1">
      <w:lvlJc w:val="left"/>
      <w:lvlText w:val="%2"/>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Roman"/>
      <w:start w:val="3"/>
    </w:lvl>
    <w:lvl w:ilvl="1">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22"/>
    </w:lvl>
  </w:abstractNum>
  <w:abstractNum w:abstractNumId="50">
    <w:nsid w:val="520EEDD1"/>
    <w:multiLevelType w:val="hybridMultilevel"/>
    <w:lvl w:ilvl="0">
      <w:lvlJc w:val="left"/>
      <w:lvlText w:val="%1"/>
      <w:numFmt w:val="decimal"/>
      <w:start w:val="32"/>
    </w:lvl>
  </w:abstractNum>
  <w:abstractNum w:abstractNumId="51">
    <w:nsid w:val="374A3FE6"/>
    <w:multiLevelType w:val="hybridMultilevel"/>
    <w:lvl w:ilvl="0">
      <w:lvlJc w:val="left"/>
      <w:lvlText w:val="%1"/>
      <w:numFmt w:val="decimal"/>
      <w:start w:val="104"/>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14" Type="http://schemas.openxmlformats.org/officeDocument/2006/relationships/hyperlink" Target="https://www.sec.gov/Archives/edgar/data/1792044/000114036126027216/ef2007715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2026-11-05T08:27:18Z</dcterms:created>
  <dcterms:modified xsi:type="dcterms:W3CDTF">2026-11-05T08:27:18Z</dcterms:modified>
</cp:coreProperties>
</file>