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25" w:lineRule="exact"/>
        <w:rPr>
          <w:rFonts w:ascii="MS PGothic" w:cs="MS PGothic" w:eastAsia="MS PGothic" w:hAnsi="MS PGothic"/>
          <w:sz w:val="18"/>
          <w:szCs w:val="18"/>
          <w:color w:val="auto"/>
        </w:rPr>
      </w:pPr>
    </w:p>
    <w:p>
      <w:pPr>
        <w:ind w:right="2340" w:firstLine="332"/>
        <w:spacing w:after="0" w:line="498" w:lineRule="auto"/>
        <w:tabs>
          <w:tab w:leader="none" w:pos="8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1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7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1"/>
                <w:szCs w:val="21"/>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Pr>
          <w:p>
            <w:pPr>
              <w:spacing w:after="0"/>
              <w:rPr>
                <w:sz w:val="20"/>
                <w:szCs w:val="20"/>
                <w:color w:val="auto"/>
              </w:rPr>
            </w:pPr>
          </w:p>
        </w:tc>
        <w:tc>
          <w:tcPr>
            <w:tcW w:w="36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VTRS</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60" w:firstLine="644"/>
        <w:spacing w:after="0" w:line="258" w:lineRule="auto"/>
        <w:rPr>
          <w:sz w:val="20"/>
          <w:szCs w:val="20"/>
          <w:color w:val="auto"/>
        </w:rPr>
      </w:pPr>
      <w:r>
        <w:rPr>
          <w:rFonts w:ascii="Times New Roman" w:cs="Times New Roman" w:eastAsia="Times New Roman" w:hAnsi="Times New Roman"/>
          <w:sz w:val="18"/>
          <w:szCs w:val="18"/>
          <w:color w:val="auto"/>
        </w:rPr>
        <w:t>On February 3, 2026, Viatris Inc. (the “Company”) announced that Brian Roman, Chief Legal Officer of the Company, would transition from his role with the Company and cease to serve as Chief Legal Officer effective as of February 9, 2026. Mr. Roman will remain an employee of the Company until April 1, 2026 for transitional purposes. In connection with his departure from the Company, Mr. Roman will be eligible to receive separation payments equal to the sum of his base salary plus target bonus and a pro rata bonus for 2026, consistent with severance benefits paid to similarly situated executives. Mr. Roman would also execute a customary release of claims.</w:t>
      </w:r>
    </w:p>
    <w:p>
      <w:pPr>
        <w:spacing w:after="0" w:line="183" w:lineRule="exact"/>
        <w:rPr>
          <w:sz w:val="20"/>
          <w:szCs w:val="20"/>
          <w:color w:val="auto"/>
        </w:rPr>
      </w:pPr>
    </w:p>
    <w:p>
      <w:pPr>
        <w:jc w:val="both"/>
        <w:ind w:right="240" w:firstLine="644"/>
        <w:spacing w:after="0" w:line="266" w:lineRule="auto"/>
        <w:rPr>
          <w:sz w:val="20"/>
          <w:szCs w:val="20"/>
          <w:color w:val="auto"/>
        </w:rPr>
      </w:pPr>
      <w:r>
        <w:rPr>
          <w:rFonts w:ascii="Times New Roman" w:cs="Times New Roman" w:eastAsia="Times New Roman" w:hAnsi="Times New Roman"/>
          <w:sz w:val="18"/>
          <w:szCs w:val="18"/>
          <w:color w:val="auto"/>
        </w:rPr>
        <w:t>On February 3, 2026, the Company also announced that Matthew Maletta will join the Company as Chief Legal Officer on February 9, 2026. Mr. Maletta is a seasoned legal professional in the pharmaceutical industry, having served from 2015 to 2025 as Executive Vice President, Chief Legal Officer and Secretary of Endo,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40" w:top="117"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6"/>
          <w:szCs w:val="16"/>
          <w:color w:val="auto"/>
        </w:rPr>
        <w:t>Date: February 3, 2026</w:t>
      </w:r>
      <w:r>
        <w:rPr>
          <w:sz w:val="20"/>
          <w:szCs w:val="20"/>
          <w:color w:val="auto"/>
        </w:rPr>
        <w:tab/>
      </w: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2026-02-03T15:36:56Z</dcterms:created>
  <dcterms:modified xsi:type="dcterms:W3CDTF">2026-02-03T15:36:56Z</dcterms:modified>
</cp:coreProperties>
</file>