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Viatris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Utah Acquisition Sub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Mylan II B.V.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Mylan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1000 Mylan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Canonsburg, Pennsylvania 15317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(724) 514-1800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24,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File No. 333-259463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4"/>
          <w:szCs w:val="24"/>
          <w:color w:val="auto"/>
        </w:rPr>
      </w:pPr>
    </w:p>
    <w:p>
      <w:pPr>
        <w:ind w:right="120" w:firstLine="991"/>
        <w:spacing w:after="0" w:line="257" w:lineRule="auto"/>
        <w:rPr>
          <w:sz w:val="20"/>
          <w:szCs w:val="20"/>
          <w:color w:val="auto"/>
        </w:rPr>
      </w:pPr>
      <w:r>
        <w:rPr>
          <w:rFonts w:ascii="Arial" w:cs="Arial" w:eastAsia="Arial" w:hAnsi="Arial"/>
          <w:sz w:val="18"/>
          <w:szCs w:val="18"/>
          <w:color w:val="auto"/>
        </w:rPr>
        <w:t>In accordance with Rule 461 of the General Rules and Regulations under the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Act”), Viatris Inc. (the “</w:t>
      </w:r>
      <w:r>
        <w:rPr>
          <w:rFonts w:ascii="Arial" w:cs="Arial" w:eastAsia="Arial" w:hAnsi="Arial"/>
          <w:sz w:val="18"/>
          <w:szCs w:val="18"/>
          <w:u w:val="single" w:color="auto"/>
          <w:color w:val="auto"/>
        </w:rPr>
        <w:t>Company</w:t>
      </w:r>
      <w:r>
        <w:rPr>
          <w:rFonts w:ascii="Arial" w:cs="Arial" w:eastAsia="Arial" w:hAnsi="Arial"/>
          <w:sz w:val="18"/>
          <w:szCs w:val="18"/>
          <w:color w:val="auto"/>
        </w:rPr>
        <w:t>”), Utah Acquisition Sub Inc., Mylan II B.V. and Mylan Inc. (together with Utah Acquisition Sub Inc. and Mylan II B.V., the “</w:t>
      </w:r>
      <w:r>
        <w:rPr>
          <w:rFonts w:ascii="Arial" w:cs="Arial" w:eastAsia="Arial" w:hAnsi="Arial"/>
          <w:sz w:val="18"/>
          <w:szCs w:val="18"/>
          <w:u w:val="single" w:color="auto"/>
          <w:color w:val="auto"/>
        </w:rPr>
        <w:t>Guarantors</w:t>
      </w:r>
      <w:r>
        <w:rPr>
          <w:rFonts w:ascii="Arial" w:cs="Arial" w:eastAsia="Arial" w:hAnsi="Arial"/>
          <w:sz w:val="18"/>
          <w:szCs w:val="18"/>
          <w:color w:val="auto"/>
        </w:rPr>
        <w:t>” and the Guarantors, together with the Company, the “</w:t>
      </w:r>
      <w:r>
        <w:rPr>
          <w:rFonts w:ascii="Arial" w:cs="Arial" w:eastAsia="Arial" w:hAnsi="Arial"/>
          <w:sz w:val="18"/>
          <w:szCs w:val="18"/>
          <w:u w:val="single" w:color="auto"/>
          <w:color w:val="auto"/>
        </w:rPr>
        <w:t>Registrants</w:t>
      </w:r>
      <w:r>
        <w:rPr>
          <w:rFonts w:ascii="Arial" w:cs="Arial" w:eastAsia="Arial" w:hAnsi="Arial"/>
          <w:sz w:val="18"/>
          <w:szCs w:val="18"/>
          <w:color w:val="auto"/>
        </w:rPr>
        <w:t>”) hereby respectfully request that the above referenced Registration Statement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be declared effective under the Securities Act at 9:00 a.m., New York City time, on September 28, 2021, or as soon thereafter as practicable.</w:t>
      </w:r>
    </w:p>
    <w:p>
      <w:pPr>
        <w:spacing w:after="0" w:line="188" w:lineRule="exact"/>
        <w:rPr>
          <w:sz w:val="24"/>
          <w:szCs w:val="24"/>
          <w:color w:val="auto"/>
        </w:rPr>
      </w:pPr>
    </w:p>
    <w:p>
      <w:pPr>
        <w:ind w:right="220" w:firstLine="991"/>
        <w:spacing w:after="0" w:line="277" w:lineRule="auto"/>
        <w:rPr>
          <w:sz w:val="20"/>
          <w:szCs w:val="20"/>
          <w:color w:val="auto"/>
        </w:rPr>
      </w:pPr>
      <w:r>
        <w:rPr>
          <w:rFonts w:ascii="Arial" w:cs="Arial" w:eastAsia="Arial" w:hAnsi="Arial"/>
          <w:sz w:val="18"/>
          <w:szCs w:val="18"/>
          <w:color w:val="auto"/>
        </w:rPr>
        <w:t>The Registrants hereby affirm that they are aware of their obligations under the Securities Act. In connection with the foregoing request, the Registrants further acknowledge that:</w:t>
      </w:r>
    </w:p>
    <w:p>
      <w:pPr>
        <w:spacing w:after="0" w:line="76" w:lineRule="exact"/>
        <w:rPr>
          <w:sz w:val="24"/>
          <w:szCs w:val="24"/>
          <w:color w:val="auto"/>
        </w:rPr>
      </w:pPr>
    </w:p>
    <w:p>
      <w:pPr>
        <w:ind w:left="960" w:right="400" w:hanging="424"/>
        <w:spacing w:after="0" w:line="342"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or the staff of the Commission (the “</w:t>
      </w:r>
      <w:r>
        <w:rPr>
          <w:rFonts w:ascii="Arial" w:cs="Arial" w:eastAsia="Arial" w:hAnsi="Arial"/>
          <w:sz w:val="16"/>
          <w:szCs w:val="16"/>
          <w:u w:val="single" w:color="auto"/>
          <w:color w:val="auto"/>
        </w:rPr>
        <w:t>Staff</w:t>
      </w:r>
      <w:r>
        <w:rPr>
          <w:rFonts w:ascii="Arial" w:cs="Arial" w:eastAsia="Arial" w:hAnsi="Arial"/>
          <w:sz w:val="16"/>
          <w:szCs w:val="16"/>
          <w:color w:val="auto"/>
        </w:rPr>
        <w:t>”), acting pursuant to delegated authority, declare the filing effective, it does not foreclose the Commission from taking any action with respect to the filing;</w:t>
      </w:r>
    </w:p>
    <w:p>
      <w:pPr>
        <w:spacing w:after="0" w:line="29" w:lineRule="exact"/>
        <w:rPr>
          <w:rFonts w:ascii="Arial" w:cs="Arial" w:eastAsia="Arial" w:hAnsi="Arial"/>
          <w:sz w:val="16"/>
          <w:szCs w:val="16"/>
          <w:color w:val="auto"/>
        </w:rPr>
      </w:pPr>
    </w:p>
    <w:p>
      <w:pPr>
        <w:ind w:left="960" w:right="48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Registrants from their full responsibility for the adequacy and accuracy of the disclosure in the filing; and</w:t>
      </w:r>
    </w:p>
    <w:p>
      <w:pPr>
        <w:sectPr>
          <w:pgSz w:w="11900" w:h="16838" w:orient="portrait"/>
          <w:cols w:equalWidth="0" w:num="1">
            <w:col w:w="11020"/>
          </w:cols>
          <w:pgMar w:left="440" w:top="233" w:right="439" w:bottom="1440" w:gutter="0" w:footer="0" w:header="0"/>
        </w:sectPr>
      </w:pPr>
    </w:p>
    <w:bookmarkStart w:id="1" w:name="page2"/>
    <w:bookmarkEnd w:id="1"/>
    <w:p>
      <w:pPr>
        <w:ind w:left="424"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Registrants may not assert Staff comments and the declaration of effectiveness as a defense in any proceeding initiated by the Commission or any person under the federal securities laws of the United States.</w:t>
      </w:r>
    </w:p>
    <w:p>
      <w:pPr>
        <w:spacing w:after="0" w:line="170" w:lineRule="exact"/>
        <w:rPr>
          <w:rFonts w:ascii="Arial" w:cs="Arial" w:eastAsia="Arial" w:hAnsi="Arial"/>
          <w:sz w:val="18"/>
          <w:szCs w:val="18"/>
          <w:color w:val="auto"/>
        </w:rPr>
      </w:pPr>
    </w:p>
    <w:p>
      <w:pPr>
        <w:ind w:left="4784"/>
        <w:spacing w:after="0"/>
        <w:rPr>
          <w:rFonts w:ascii="Arial" w:cs="Arial" w:eastAsia="Arial" w:hAnsi="Arial"/>
          <w:sz w:val="18"/>
          <w:szCs w:val="18"/>
          <w:color w:val="auto"/>
        </w:rPr>
      </w:pPr>
      <w:r>
        <w:rPr>
          <w:rFonts w:ascii="Arial" w:cs="Arial" w:eastAsia="Arial" w:hAnsi="Arial"/>
          <w:sz w:val="18"/>
          <w:szCs w:val="18"/>
          <w:color w:val="auto"/>
        </w:rPr>
        <w:t>* * *</w:t>
      </w:r>
    </w:p>
    <w:p>
      <w:pPr>
        <w:sectPr>
          <w:pgSz w:w="11900" w:h="16838" w:orient="portrait"/>
          <w:cols w:equalWidth="0" w:num="1">
            <w:col w:w="9724"/>
          </w:cols>
          <w:pgMar w:left="976" w:top="274" w:right="1199" w:bottom="1440" w:gutter="0" w:footer="0" w:header="0"/>
        </w:sectPr>
      </w:pPr>
    </w:p>
    <w:bookmarkStart w:id="2" w:name="page3"/>
    <w:bookmarkEnd w:id="2"/>
    <w:p>
      <w:pPr>
        <w:ind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would be appreciated if, as soon as the Registration Statement is declared effective, you would so inform the Registrants’ counsel, Matthew G. Jones at (212) 474-1298, and then send written confirmation to the addressees listed on the cover of the Registration Statement.</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14605</wp:posOffset>
            </wp:positionV>
            <wp:extent cx="234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UTAH ACQUISITION SUB INC.</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14605</wp:posOffset>
            </wp:positionV>
            <wp:extent cx="2348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MYLAN II B.V.</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14605</wp:posOffset>
            </wp:positionV>
            <wp:extent cx="234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John Miraglia</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MYLAN INC.</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14605</wp:posOffset>
            </wp:positionV>
            <wp:extent cx="2348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0520"/>
      </w:cols>
      <w:pgMar w:left="440" w:top="274"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2022-03-08T21:52:38Z</dcterms:created>
  <dcterms:modified xsi:type="dcterms:W3CDTF">2022-03-08T21:52:38Z</dcterms:modified>
</cp:coreProperties>
</file>