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August 8, 2022</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4"/>
          <w:szCs w:val="24"/>
          <w:color w:val="auto"/>
        </w:rPr>
      </w:pPr>
    </w:p>
    <w:p>
      <w:pPr>
        <w:ind w:left="34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August 8, 2022, Viatris Inc. (“Viatris” or the “Company”) issued a press release reporting the Company's financial results for the period ended June 30, 2022.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41"/>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second quarter of 2022, dated August 8, 2022.</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Viatris Reports Strong Second Quarter 2022 Results</w:t>
      </w:r>
    </w:p>
    <w:p>
      <w:pPr>
        <w:spacing w:after="0" w:line="225" w:lineRule="exact"/>
        <w:rPr>
          <w:sz w:val="20"/>
          <w:szCs w:val="20"/>
          <w:color w:val="auto"/>
        </w:rPr>
      </w:pPr>
    </w:p>
    <w:p>
      <w:pPr>
        <w:ind w:left="340" w:right="40" w:hanging="332"/>
        <w:spacing w:after="0" w:line="296" w:lineRule="auto"/>
        <w:tabs>
          <w:tab w:leader="none" w:pos="33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Reports Total Revenues of $4.12 Billion; U.S. GAAP Net Earnings of $314 Million; Adjusted EBITDA of $1.48 Billion; U.S. GAAP Net Cash Provided by Operating Activities of $803 Million; and Free Cash Flow of $719 Million</w:t>
      </w:r>
    </w:p>
    <w:p>
      <w:pPr>
        <w:spacing w:after="0" w:line="137" w:lineRule="exact"/>
        <w:rPr>
          <w:rFonts w:ascii="Arial" w:cs="Arial" w:eastAsia="Arial" w:hAnsi="Arial"/>
          <w:sz w:val="18"/>
          <w:szCs w:val="18"/>
          <w:b w:val="1"/>
          <w:bCs w:val="1"/>
          <w:i w:val="1"/>
          <w:iCs w:val="1"/>
          <w:color w:val="auto"/>
        </w:rPr>
      </w:pPr>
    </w:p>
    <w:p>
      <w:pPr>
        <w:ind w:left="340" w:right="440" w:hanging="332"/>
        <w:spacing w:after="0" w:line="296"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Strong First Half 2022 Cash Flow; Approximately $1.9 Billion of U.S. GAAP Net Cash Provided by Operating Activities and Approximately $1.8 Billion in Free Cash Flow</w:t>
      </w:r>
    </w:p>
    <w:p>
      <w:pPr>
        <w:spacing w:after="0" w:line="137" w:lineRule="exact"/>
        <w:rPr>
          <w:rFonts w:ascii="Arial" w:cs="Arial" w:eastAsia="Arial" w:hAnsi="Arial"/>
          <w:sz w:val="18"/>
          <w:szCs w:val="18"/>
          <w:b w:val="1"/>
          <w:bCs w:val="1"/>
          <w:color w:val="auto"/>
        </w:rPr>
      </w:pPr>
    </w:p>
    <w:p>
      <w:pPr>
        <w:ind w:left="340" w:right="360" w:hanging="332"/>
        <w:spacing w:after="0" w:line="296"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Reaffirms Adjusted EBITDA and Free Cash Flow Guidance Ranges[1] Despite Foreign Exchange Headwinds; Revises Total Revenues Guidance Range Solely to Reflect the Incremental Impact of Foreign Exchange</w:t>
      </w:r>
    </w:p>
    <w:p>
      <w:pPr>
        <w:spacing w:after="0" w:line="137"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 Declares Quarterly Dividend of $0.12 Per Share</w:t>
      </w:r>
    </w:p>
    <w:p>
      <w:pPr>
        <w:spacing w:after="0" w:line="225" w:lineRule="exact"/>
        <w:rPr>
          <w:rFonts w:ascii="Arial" w:cs="Arial" w:eastAsia="Arial" w:hAnsi="Arial"/>
          <w:sz w:val="18"/>
          <w:szCs w:val="18"/>
          <w:b w:val="1"/>
          <w:bCs w:val="1"/>
          <w:color w:val="auto"/>
        </w:rPr>
      </w:pPr>
    </w:p>
    <w:p>
      <w:pPr>
        <w:ind w:left="340" w:hanging="332"/>
        <w:spacing w:after="0" w:line="296"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Pays Down Approximately $1.5 Billion of Debt in the First Half of 2022; on Track with Full Year 2022 Target of Approximately $2 Billion</w:t>
      </w:r>
    </w:p>
    <w:p>
      <w:pPr>
        <w:spacing w:after="0" w:line="137"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Biocon Biologics Transaction on Track for Close in Second Half of 2022</w:t>
      </w:r>
    </w:p>
    <w:p>
      <w:pPr>
        <w:spacing w:after="0" w:line="214" w:lineRule="exact"/>
        <w:rPr>
          <w:sz w:val="20"/>
          <w:szCs w:val="20"/>
          <w:color w:val="auto"/>
        </w:rPr>
      </w:pPr>
    </w:p>
    <w:p>
      <w:pPr>
        <w:jc w:val="both"/>
        <w:ind w:right="300" w:firstLine="8"/>
        <w:spacing w:after="0" w:line="252" w:lineRule="auto"/>
        <w:tabs>
          <w:tab w:leader="none" w:pos="25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Viatris is not providing forward-looking guidance for U.S. GAAP net earnings (loss) or a quantitative reconciliation of its 2022 adjusted EBITDA guidance. U.S. GAAP net cash provided by operating activities for 2022 is estimated to be between $3.1 billion and $3.3 billion. Please see "2022 Financial Guidance" and "Non-GAAP Financial Measures" for additional information.</w:t>
      </w:r>
    </w:p>
    <w:p>
      <w:pPr>
        <w:spacing w:after="0" w:line="165"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b w:val="1"/>
          <w:bCs w:val="1"/>
          <w:color w:val="auto"/>
        </w:rPr>
        <w:t xml:space="preserve">PITTSBURGH </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Aug. 8, 2022 </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Viatris Inc. (NASDAQ: VTRS) today reported strong results for the second quarter of 2022 and provided an</w:t>
      </w:r>
      <w:r>
        <w:rPr>
          <w:rFonts w:ascii="Arial" w:cs="Arial" w:eastAsia="Arial" w:hAnsi="Arial"/>
          <w:sz w:val="18"/>
          <w:szCs w:val="18"/>
          <w:b w:val="1"/>
          <w:bCs w:val="1"/>
          <w:color w:val="auto"/>
        </w:rPr>
        <w:t xml:space="preserve"> </w:t>
      </w:r>
      <w:r>
        <w:rPr>
          <w:rFonts w:ascii="Arial" w:cs="Arial" w:eastAsia="Arial" w:hAnsi="Arial"/>
          <w:sz w:val="18"/>
          <w:szCs w:val="18"/>
          <w:color w:val="auto"/>
        </w:rPr>
        <w:t>update to its full year 2022 financial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63590" cy="2931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Please see footnote [1] above as well as "2022 Financial Guidance" and "Non-GAAP Financial Measures" for additional information.</w:t>
      </w:r>
    </w:p>
    <w:p>
      <w:pPr>
        <w:sectPr>
          <w:pgSz w:w="11900" w:h="16838" w:orient="portrait"/>
          <w:cols w:equalWidth="0" w:num="1">
            <w:col w:w="11160"/>
          </w:cols>
          <w:pgMar w:left="320" w:top="1440" w:right="41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8"/>
          <w:szCs w:val="18"/>
          <w:color w:val="auto"/>
        </w:rPr>
        <w:t>Viatris also announced that its Board of Directors declared a quarterly dividend of twelve cents ($0.12) for each issued and outstanding share of the company’s common stock. The dividend is payable on Sept. 16, 2022, to shareholders of record at the close of business on Aug. 24, 2022.</w:t>
      </w:r>
    </w:p>
    <w:p>
      <w:pPr>
        <w:spacing w:after="0" w:line="200" w:lineRule="exact"/>
        <w:rPr>
          <w:sz w:val="20"/>
          <w:szCs w:val="20"/>
          <w:color w:val="auto"/>
        </w:rPr>
      </w:pPr>
    </w:p>
    <w:p>
      <w:pPr>
        <w:spacing w:after="0" w:line="21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Viatris CEO Michael Goettler said: “We are hitting on all cylinders operationally, even while foreign exchange rates continue to be challenging, and have now demonstrated six consecutive quarters of strong performance. We continue to deliver on our financial and strategic commitments and are making good progress on all the reshaping initiatives announced in February, including the further ramp up of our inorganic activity in our Global Healthcare Gateway.”</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Viatris President Rajiv Malik said: “We believe our strong and consistent operational execution reflects the resilience of a diversified business that has been built deliberately to ensure we are not dependent on any one market or product and allows us to remain agile and opportunistic to perform consistently across all geographies. Looking ahead, we are very excited to build upon our strong legacy in development and leverage our extensive scientific capabilities to continue moving up the value chain. Through our Global Healthcare Gateway, we expect to further strengthen our deep pipeline to develop more 505(b)(2)s and new chemical entities in the previously disclosed therapeutic areas, while maintaining our therapeutically agnostic portfolio.”</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Viatris CFO Sanjeev Narula said: “We are proud of our solid operational results which exceeded our expectations and included generating approximately $1.8 billion in free cash flow in the first half of 2022. We also retired $ 1.5 billion in debt during the same period, which puts us well on track to meet our 2022 debt paydown commitment. As we look ahead to the rest of 2022, we remain confident in the operational strength of the business. Therefore, we are reaffirming our adjusted EBITDA and free cash flow guidance ranges despite foreign exchange headwinds. We believe that our capital allocation framework, including the commitment to the dividend and maintaining the investment grade rating, will continue to be a force in creating long term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Financial Summary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60" w:type="dxa"/>
            <w:vAlign w:val="bottom"/>
          </w:tcPr>
          <w:p>
            <w:pPr>
              <w:spacing w:after="0"/>
              <w:rPr>
                <w:sz w:val="13"/>
                <w:szCs w:val="13"/>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4,105.4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2,640.4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(25)%</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(19)%</w:t>
            </w:r>
          </w:p>
        </w:tc>
        <w:tc>
          <w:tcPr>
            <w:tcW w:w="0" w:type="dxa"/>
            <w:vAlign w:val="bottom"/>
          </w:tcPr>
          <w:p>
            <w:pPr>
              <w:spacing w:after="0"/>
              <w:rPr>
                <w:sz w:val="1"/>
                <w:szCs w:val="1"/>
                <w:color w:val="auto"/>
              </w:rPr>
            </w:pP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JANZ</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427.1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Brands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2,483.1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2,701.7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(8)%</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 and Biosimilars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7%</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1,267.5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1,527.2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(17)%</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1,703.3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1,327.7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w w:val="99"/>
              </w:rPr>
              <w:t>28%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2,411.7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2,677.2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1,065.3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1,180.6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1,257.6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1,281.8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(12)%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43%</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6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8,283.6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4,955.2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5,212.0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(17)%</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JANZ</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850.9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(13)%</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(2)%</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Brands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5,037.2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5,426.3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(7)%</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 and Biosimilars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13%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2,873.8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w w:val="98"/>
              </w:rPr>
              <w:t>(13)%</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3,474.5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2,455.0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4,905.1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5,317.1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2,190.6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2,297.0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2,667.2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2,449.9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38%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1,792.6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1,269.4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41%</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72" w:lineRule="auto"/>
        <w:tabs>
          <w:tab w:leader="none" w:pos="593"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in this release for more information.</w:t>
      </w:r>
    </w:p>
    <w:p>
      <w:pPr>
        <w:ind w:left="540" w:hanging="208"/>
        <w:spacing w:after="0" w:line="193" w:lineRule="auto"/>
        <w:tabs>
          <w:tab w:leader="none" w:pos="5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C16AE"/>
        </w:rPr>
        <w:t>Second Quarter Highlights</w:t>
      </w:r>
    </w:p>
    <w:p>
      <w:pPr>
        <w:spacing w:after="0" w:line="225" w:lineRule="exact"/>
        <w:rPr>
          <w:sz w:val="20"/>
          <w:szCs w:val="20"/>
          <w:color w:val="auto"/>
        </w:rPr>
      </w:pPr>
    </w:p>
    <w:p>
      <w:pPr>
        <w:ind w:left="340" w:right="8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quarter 2022 net sales totaled $4.1 billion, down 3% on an operational basis compared to Q2 2021 results and performed better than expectations, driven by solid performance across our segments—Developed Markets, Emerging Markets, JANZ (Japan, Australia and New Zealand) and Greater China.</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Brands performed better than expectations, driven by products such as EpiPen®, Norvasc® and Lipitor®.</w:t>
      </w:r>
    </w:p>
    <w:p>
      <w:pPr>
        <w:spacing w:after="0" w:line="225"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generics and biosimilars performed largely in line with expectations and grew by 11% on an operational basis compared to Q2 2021 results, mainly driven by our interchangeable Semglee® launch in the U.S. Revenues from the biosimilars portfolio to be contributed to Biocon Biologics totaled approximately $167 million in the quarter.</w:t>
      </w:r>
    </w:p>
    <w:p>
      <w:pPr>
        <w:spacing w:after="0" w:line="170"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better than expectations driven by higher North America demand.</w:t>
      </w:r>
    </w:p>
    <w:p>
      <w:pPr>
        <w:spacing w:after="0" w:line="152" w:lineRule="exact"/>
        <w:rPr>
          <w:rFonts w:ascii="Arial" w:cs="Arial" w:eastAsia="Arial" w:hAnsi="Arial"/>
          <w:sz w:val="18"/>
          <w:szCs w:val="18"/>
          <w:color w:val="auto"/>
        </w:rPr>
      </w:pPr>
    </w:p>
    <w:p>
      <w:pPr>
        <w:ind w:left="340" w:right="4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generated approximately $84 million in new product revenues (as defined in “Certain Key Terms” below) in the second quarter (approximately $205 million for the first half of the year) primarily driven by interchangeable Semglee® in the U.S. and is on track to achieve approximately $600 million in new product revenues in 2022.</w:t>
      </w:r>
    </w:p>
    <w:p>
      <w:pPr>
        <w:spacing w:after="0" w:line="170" w:lineRule="exact"/>
        <w:rPr>
          <w:rFonts w:ascii="Arial" w:cs="Arial" w:eastAsia="Arial" w:hAnsi="Arial"/>
          <w:sz w:val="18"/>
          <w:szCs w:val="18"/>
          <w:color w:val="auto"/>
        </w:rPr>
      </w:pPr>
    </w:p>
    <w:p>
      <w:pPr>
        <w:jc w:val="both"/>
        <w:ind w:left="340" w:right="14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generated $719 million of free cash flow in the second quarter ($1.79 billion for the first half of the year), primarily driven by solid U.S. GAAP net cash provided by operating activities of $803 million in the quarter ($1.94 billion for the first half of the year) and the timing of planned capital expenditures.</w:t>
      </w:r>
    </w:p>
    <w:p>
      <w:pPr>
        <w:spacing w:after="0" w:line="170" w:lineRule="exact"/>
        <w:rPr>
          <w:rFonts w:ascii="Arial" w:cs="Arial" w:eastAsia="Arial" w:hAnsi="Arial"/>
          <w:sz w:val="18"/>
          <w:szCs w:val="18"/>
          <w:color w:val="auto"/>
        </w:rPr>
      </w:pPr>
    </w:p>
    <w:p>
      <w:pPr>
        <w:ind w:left="340" w:right="100" w:hanging="332"/>
        <w:spacing w:after="0" w:line="25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Viatris paid quarterly cash dividends of twelve cents ($0.12) per share on the Company’s issued and outstanding common stock on March 16, 2022, and June 16, 2022. On Aug. 4, 2022, the Company’s Board of Directors declared a quarterly dividend of twelve cents ($0.12) per share on the Company’s issued and outstanding common stock, which will be payable on Sept. 16, 2022, to shareholders of record as of the close of business on Aug. 24, 2022. The Company paid down approximately $627 million in debt in the second quarter (approximately $1.5 billion for the first half of the year) and continues to target approximately $2 billion in debt repayment in 2022. The Company remains committed to maintaining its investment grade credit rating.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2022 Financial Guidance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U.S. dollar has continued to strengthen across major currencies that impact the Company’s condensed consolidated financial statements. To reflect the Company’s currently expected negative impact of foreign exchange rates of approximately $800 million, the Company is revising its 2022 guidance range for total revenues as set forth above. The Company is reaffirming its 2022 guidance ranges for adjusted EBITDA and free cash flow as it currently believes that it can absorb the foreign exchange rate impacts within those ranges. The Company is not providing forward-looking guidance for U.S. GAAP net earnings or a quantitative reconciliation of its 2022 adjusted EBITDA guidance to the most directly comparable U.S. GAAP measure, U.S. GAAP net earnings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0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2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Viatris Inc. will host a conference call and live webcast, today at 8:30 a.m. ET, to review the Company’s financial results for the second quarter ended June 30, 2022. Investors and the general public are invited to listen to a live webcast of the call at investor.viatris.com or by calling 866.342.8591 or 203.518.9713 for international callers (ID#: VTRSQ222). The “Viatris Q2 Earnings Presentation”, which will be referenced during the call, can be found at investor.viatris.com. A replay of the webcast also will be available on the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Certain Key Terms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2022 and the carryover impact of new products, including business development, launched within the last twelve months.</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amounts for the current period at prior year comparative period exchange rates, and in doing so shows the percentage change from 2022 constant currency net sales, revenues and adjusted EBITDA to the corresponding amount in the prior year.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1" w:lineRule="exact"/>
        <w:rPr>
          <w:sz w:val="20"/>
          <w:szCs w:val="20"/>
          <w:color w:val="auto"/>
        </w:rPr>
      </w:pPr>
    </w:p>
    <w:p>
      <w:pPr>
        <w:ind w:firstLine="8"/>
        <w:spacing w:after="0" w:line="251"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expense (income), net, adjusted effective tax rate, constant currency total revenues, constant currency net sales and constant currency adjusted EBITDA are presented in order to supplement investors’ and other readers’ understanding and assessment of the financial performance of Viatris Inc. (“Viatris” or the “Company”). Free cash flow refers to U.S. GAAP net cash provided by operating activities, less capital expenditures. Adjusted EBITDA margin refers to adjusted EBITDA divided by total revenues.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quarters and six months ended June 30, 2022 and 2021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106" w:right="379" w:bottom="1440" w:gutter="0" w:footer="0" w:header="0"/>
        </w:sectPr>
      </w:pPr>
    </w:p>
    <w:bookmarkStart w:id="10" w:name="page11"/>
    <w:bookmarkEnd w:id="10"/>
    <w:p>
      <w:pPr>
        <w:ind w:right="60"/>
        <w:spacing w:after="0" w:line="262" w:lineRule="auto"/>
        <w:rPr>
          <w:sz w:val="20"/>
          <w:szCs w:val="20"/>
          <w:color w:val="auto"/>
        </w:rPr>
      </w:pPr>
      <w:r>
        <w:rPr>
          <w:rFonts w:ascii="Arial" w:cs="Arial" w:eastAsia="Arial" w:hAnsi="Arial"/>
          <w:sz w:val="18"/>
          <w:szCs w:val="18"/>
          <w:color w:val="auto"/>
        </w:rPr>
        <w:t>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June 30,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About Viatris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Viatris Inc. (NASDAQ: VTRS) is a global pharmaceutical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MEDIA</w:t>
      </w:r>
      <w:r>
        <w:rPr>
          <w:sz w:val="20"/>
          <w:szCs w:val="20"/>
          <w:color w:val="auto"/>
        </w:rPr>
        <w:tab/>
      </w: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+1.724.514.1968</w:t>
      </w:r>
      <w:r>
        <w:rPr>
          <w:sz w:val="20"/>
          <w:szCs w:val="20"/>
          <w:color w:val="auto"/>
        </w:rPr>
        <w:tab/>
      </w:r>
      <w:r>
        <w:rPr>
          <w:rFonts w:ascii="Arial" w:cs="Arial" w:eastAsia="Arial" w:hAnsi="Arial"/>
          <w:sz w:val="18"/>
          <w:szCs w:val="18"/>
          <w:color w:val="auto"/>
        </w:rPr>
        <w:t>Bill Szablewski</w:t>
      </w:r>
    </w:p>
    <w:p>
      <w:pPr>
        <w:spacing w:after="0" w:line="9"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Communications@viatris.com</w:t>
      </w:r>
      <w:r>
        <w:rPr>
          <w:sz w:val="20"/>
          <w:szCs w:val="20"/>
          <w:color w:val="auto"/>
        </w:rPr>
        <w:tab/>
      </w:r>
      <w:r>
        <w:rPr>
          <w:rFonts w:ascii="Arial" w:cs="Arial" w:eastAsia="Arial" w:hAnsi="Arial"/>
          <w:sz w:val="18"/>
          <w:szCs w:val="18"/>
          <w:color w:val="auto"/>
        </w:rPr>
        <w:t>+1.724.514.1813</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InvestorRelations@viatris.com</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Jennifer Mauer</w:t>
      </w:r>
      <w:r>
        <w:rPr>
          <w:sz w:val="20"/>
          <w:szCs w:val="20"/>
          <w:color w:val="auto"/>
        </w:rPr>
        <w:tab/>
      </w:r>
      <w:r>
        <w:rPr>
          <w:rFonts w:ascii="Arial" w:cs="Arial" w:eastAsia="Arial" w:hAnsi="Arial"/>
          <w:sz w:val="18"/>
          <w:szCs w:val="18"/>
          <w:color w:val="auto"/>
        </w:rPr>
        <w:t>William.Szablewski@viatris.com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Matt Klein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Matthew.Klein@viatris.com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statements about Viatris’ 2022 financial guidance; that Viatris reaffirms adjusted EBITDA and free cash flow guidance ranges despite foreign exchange headwinds; revises total revenues guidance range solely to reflect the incremental impact of foreign exchange; Biocon Biologics Transaction on track for close in second half of 2022; strong H1 2022 operational performance in line with expectations, and full year operationally in line with previous guidance; absorbing Fx headwind on adjusted EBITDA and free cash flow; solid execution, improved COGS, and favorable mix positively impacting gross margins; driving synergies and operational efficiencies continue to impact SG&amp;A favorably; enhancing cash conversion through working capital improvements and lower capital expenditures; Viatris’ Board of Directors declared a quarterly dividend of twelve cents ($0.12) for each issued and outstanding share of the company’s common stock; the dividend is payable on Sept. 16, 2022, to shareholders of record at the close of business on Aug. 24, 2022; we are hitting on all cylinders operationally, even while foreign exchange rates continue to be challenging, and have now demonstrated six consecutive quarters of strong performance; we continue to deliver on our financial and strategic commitments and are making good progress on all the reshaping initiatives announced in February, including the further ramp up of our inorganic activity in our Global Healthcare Gateway; we believe our strong and consistent operational execution reflects the resilience of a diversified business that has been built deliberately to ensure we are not dependent on any one market or product and allows us to remain agile and opportunistic to perform consistently across all geographies; looking ahead, we are very excited to build upon our strong legacy in development and leverage our extensive scientific capabilities to continue moving up the value chain; through our Global Healthcare Gateway, we expect to further strengthen our deep pipeline to develop more 505(b)(2)s and new chemical entities in the previously disclosed therapeutic areas, while maintaining our therapeutically agnostic portfolio; we are proud of our solid operational results which exceeded our expectations and included generating approximately $1.8 billion in free cash flow in the first half of</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90" w:right="359" w:bottom="1440" w:gutter="0" w:footer="0" w:header="0"/>
        </w:sectPr>
      </w:pPr>
    </w:p>
    <w:bookmarkStart w:id="11" w:name="page12"/>
    <w:bookmarkEnd w:id="11"/>
    <w:p>
      <w:pPr>
        <w:spacing w:after="0" w:line="251" w:lineRule="auto"/>
        <w:rPr>
          <w:sz w:val="20"/>
          <w:szCs w:val="20"/>
          <w:color w:val="auto"/>
        </w:rPr>
      </w:pPr>
      <w:r>
        <w:rPr>
          <w:rFonts w:ascii="Arial" w:cs="Arial" w:eastAsia="Arial" w:hAnsi="Arial"/>
          <w:sz w:val="18"/>
          <w:szCs w:val="18"/>
          <w:color w:val="auto"/>
        </w:rPr>
        <w:t>2022; we also retired $1.5 billion in debt during the same period, which puts us well on track to meet our 2022 debt paydown commitment; as we look ahead to the rest of 2022, we remain confident in the operational strength of the business; we are reaffirming our adjusted EBITDA and free cash flow guidance ranges despite foreign exchange headwinds; we believe that our capital allocation framework, including the commitment to the dividend and maintaining the investment grade rating, will continue to be a force in creating long term value; the company is on track to achieve approximately $600 million in new product revenues in 2022; the Company paid down approximately $627 million in debt in the second quarter (approximately $1.5 billion for the first half of the year) and continues to target approximately $2 billion in debt repayment in 2022; the Company remains committed to maintaining its investment grade credit rating; statements about the pending transaction between Viatris and Biocon Biologics Limited (“Biocon Biologics”) pursuant to which Viatris will contribute its biosimilars portfolio to Biocon Biologics (the “Biocon Biologics Transaction”),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 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8"/>
          <w:szCs w:val="18"/>
          <w:color w:val="auto"/>
        </w:rPr>
        <w:t>this release or our other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890" w:right="47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in millions,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2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4"/>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4,105.4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4,561.7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8,283.6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8,961.8</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4,577.8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8,308.5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9,008.1</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4,834.0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6,553.1</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2,455.0</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2,391.3</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2,769.0</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auto"/>
              </w:rPr>
              <w:t>Earnings (loss) from operations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w:t>
            </w:r>
          </w:p>
        </w:tc>
        <w:tc>
          <w:tcPr>
            <w:tcW w:w="0" w:type="dxa"/>
            <w:vAlign w:val="bottom"/>
          </w:tcPr>
          <w:p>
            <w:pPr>
              <w:spacing w:after="0"/>
              <w:rPr>
                <w:sz w:val="1"/>
                <w:szCs w:val="1"/>
                <w:color w:val="auto"/>
              </w:rPr>
            </w:pPr>
          </w:p>
        </w:tc>
      </w:tr>
      <w:tr>
        <w:trPr>
          <w:trHeight w:val="235"/>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(loss)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Earnings (loss) per share attributable to Viatris Inc. shareholders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580" w:top="890" w:right="5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ectPr>
          <w:pgSz w:w="11900" w:h="16838" w:orient="portrait"/>
          <w:cols w:equalWidth="0" w:num="1">
            <w:col w:w="11200"/>
          </w:cols>
          <w:pgMar w:left="34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0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3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3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701.2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4,266.4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3,977.7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1,697.7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1,957.6</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11,176.5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10,902.9</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24,101.1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26,134.2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10,523.0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12,113.7</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5,324.5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5,692.0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51,125.1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54,842.8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-1798955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-1524635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768.2</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1,877.5</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6,627.9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8,006.9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34,350.1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20,492.7</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890" w:right="3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7"/>
                <w:szCs w:val="17"/>
                <w:color w:val="auto"/>
              </w:rPr>
            </w:pPr>
          </w:p>
        </w:tc>
        <w:tc>
          <w:tcPr>
            <w:tcW w:w="2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r>
      <w:tr>
        <w:trPr>
          <w:trHeight w:val="198"/>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862.9</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410.8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437.5</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Viagra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274.4</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85.9</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Effexor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116.2</w:t>
            </w:r>
          </w:p>
        </w:tc>
      </w:tr>
      <w:tr>
        <w:trPr>
          <w:trHeight w:val="217"/>
        </w:trPr>
        <w:tc>
          <w:tcPr>
            <w:tcW w:w="6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Yupelri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Amitiza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Xanax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93.9</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45"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and six months ended June 30,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74" w:right="339" w:bottom="1440" w:gutter="0" w:footer="0" w:header="0"/>
        </w:sectPr>
      </w:pPr>
    </w:p>
    <w:bookmarkStart w:id="16" w:name="page17"/>
    <w:bookmarkEnd w:id="16"/>
    <w:p>
      <w:pPr>
        <w:jc w:val="center"/>
        <w:ind w:right="-23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 in millions)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Below is a reconciliation of U.S. GAAP net earnings (loss) to adjusted net earnings for the three and six months ended June 30, 2022 compared to the prior year period: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20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(1,316.8)</w:t>
            </w:r>
          </w:p>
        </w:tc>
        <w:tc>
          <w:tcPr>
            <w:tcW w:w="0" w:type="dxa"/>
            <w:vAlign w:val="bottom"/>
          </w:tcPr>
          <w:p>
            <w:pPr>
              <w:spacing w:after="0"/>
              <w:rPr>
                <w:sz w:val="1"/>
                <w:szCs w:val="1"/>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Purchase accounting related amortization (primarily included in cost of sales)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2,424.8</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energy investments pre-tax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related costs (primarily included in SG&amp;A)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0" w:type="dxa"/>
            <w:vAlign w:val="bottom"/>
          </w:tcPr>
          <w:p>
            <w:pPr>
              <w:spacing w:after="0"/>
              <w:rPr>
                <w:sz w:val="1"/>
                <w:szCs w:val="1"/>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(c)</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694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(d)</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49" w:lineRule="exact"/>
        <w:rPr>
          <w:rFonts w:ascii="Arial" w:cs="Arial" w:eastAsia="Arial" w:hAnsi="Arial"/>
          <w:sz w:val="23"/>
          <w:szCs w:val="23"/>
          <w:color w:val="auto"/>
          <w:vertAlign w:val="superscript"/>
        </w:rPr>
      </w:pPr>
    </w:p>
    <w:p>
      <w:pPr>
        <w:ind w:left="660" w:right="120" w:hanging="328"/>
        <w:spacing w:after="0" w:line="222" w:lineRule="auto"/>
        <w:tabs>
          <w:tab w:leader="none" w:pos="679"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2022, charges include approximately $6.7 million and $19.8 million, respectively, in cost of sales and approximately $3.5 million and $7.2 million, respectively, in SG&amp;A.</w:t>
      </w:r>
    </w:p>
    <w:p>
      <w:pPr>
        <w:spacing w:after="0" w:line="31" w:lineRule="exact"/>
        <w:rPr>
          <w:rFonts w:ascii="Arial" w:cs="Arial" w:eastAsia="Arial" w:hAnsi="Arial"/>
          <w:sz w:val="23"/>
          <w:szCs w:val="23"/>
          <w:color w:val="auto"/>
          <w:vertAlign w:val="superscript"/>
        </w:rPr>
      </w:pPr>
    </w:p>
    <w:p>
      <w:pPr>
        <w:ind w:left="660" w:right="280" w:hanging="328"/>
        <w:spacing w:after="0" w:line="231" w:lineRule="auto"/>
        <w:tabs>
          <w:tab w:leader="none" w:pos="672"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2022, charges include incremental manufacturing variances at plants in the 2020 restructuring program of approximately $16.5 million and $47.8 million, respectively.</w:t>
      </w:r>
    </w:p>
    <w:p>
      <w:pPr>
        <w:spacing w:after="0" w:line="6"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320" w:top="890" w:right="5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0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Below is a reconciliation of U.S. GAAP net earnings (loss) to EBITDA and adjusted EBITDA for the three and six months ended June 30, 2022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(1,316.8)</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656.4</w:t>
            </w:r>
          </w:p>
        </w:tc>
      </w:tr>
      <w:tr>
        <w:trPr>
          <w:trHeight w:val="217"/>
        </w:trPr>
        <w:tc>
          <w:tcPr>
            <w:tcW w:w="60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2,739.6</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2,449.9</w:t>
            </w:r>
          </w:p>
        </w:tc>
      </w:tr>
      <w:tr>
        <w:trPr>
          <w:trHeight w:val="215"/>
        </w:trPr>
        <w:tc>
          <w:tcPr>
            <w:tcW w:w="6060" w:type="dxa"/>
            <w:vAlign w:val="bottom"/>
          </w:tcPr>
          <w:p>
            <w:pPr>
              <w:ind w:left="14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7"/>
        </w:trPr>
        <w:tc>
          <w:tcPr>
            <w:tcW w:w="60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Restructuring, acquisition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3,068.4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99" w:lineRule="exact"/>
        <w:rPr>
          <w:sz w:val="20"/>
          <w:szCs w:val="20"/>
          <w:color w:val="auto"/>
        </w:rPr>
      </w:pPr>
    </w:p>
    <w:p>
      <w:pPr>
        <w:ind w:left="680" w:hanging="348"/>
        <w:spacing w:after="0"/>
        <w:tabs>
          <w:tab w:leader="none" w:pos="68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49" w:lineRule="exact"/>
        <w:rPr>
          <w:rFonts w:ascii="Arial" w:cs="Arial" w:eastAsia="Arial" w:hAnsi="Arial"/>
          <w:sz w:val="23"/>
          <w:szCs w:val="23"/>
          <w:color w:val="auto"/>
          <w:vertAlign w:val="superscript"/>
        </w:rPr>
      </w:pPr>
    </w:p>
    <w:p>
      <w:pPr>
        <w:ind w:left="600" w:hanging="268"/>
        <w:spacing w:after="0" w:line="200" w:lineRule="auto"/>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49" w:lineRule="exact"/>
        <w:rPr>
          <w:rFonts w:ascii="Arial" w:cs="Arial" w:eastAsia="Arial" w:hAnsi="Arial"/>
          <w:sz w:val="23"/>
          <w:szCs w:val="23"/>
          <w:color w:val="auto"/>
          <w:vertAlign w:val="superscript"/>
        </w:rPr>
      </w:pPr>
    </w:p>
    <w:p>
      <w:pPr>
        <w:ind w:left="600" w:hanging="268"/>
        <w:spacing w:after="0" w:line="200" w:lineRule="auto"/>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96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2022 Currency</w:t>
            </w: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2022 Constant</w:t>
            </w: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7"/>
                <w:szCs w:val="17"/>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550.3</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553.7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705.0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net sales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4,411.1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3420" w:type="dxa"/>
            <w:vAlign w:val="bottom"/>
          </w:tcPr>
          <w:p>
            <w:pPr>
              <w:ind w:left="2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color w:val="auto"/>
                <w:vertAlign w:val="superscript"/>
              </w:rPr>
              <w:t>(4)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4,423.3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96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2022 Currency</w:t>
            </w: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2022 Constant</w:t>
            </w: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7"/>
                <w:szCs w:val="17"/>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4,955.2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5,212.0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5,225.8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1,118.7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982.9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953.5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1,461.6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420" w:type="dxa"/>
            <w:vAlign w:val="bottom"/>
          </w:tcPr>
          <w:p>
            <w:pPr>
              <w:ind w:left="480"/>
              <w:spacing w:after="0"/>
              <w:rPr>
                <w:sz w:val="20"/>
                <w:szCs w:val="20"/>
                <w:color w:val="auto"/>
              </w:rPr>
            </w:pPr>
            <w:r>
              <w:rPr>
                <w:rFonts w:ascii="Arial" w:cs="Arial" w:eastAsia="Arial" w:hAnsi="Arial"/>
                <w:sz w:val="16"/>
                <w:szCs w:val="16"/>
                <w:color w:val="auto"/>
              </w:rPr>
              <w:t>Total 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8,283.6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8,961.8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476.0</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8,759.6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shd w:val="clear" w:color="auto" w:fill="CCEEFF"/>
          </w:tcPr>
          <w:p>
            <w:pPr>
              <w:ind w:left="2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9,008.1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8,785.8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27" w:lineRule="auto"/>
        <w:tabs>
          <w:tab w:leader="none" w:pos="636"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2"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June 30, 2022, other revenues in Developed Markets and Emerging Markets were approximately $4.8 million and $6.6 million, respectively. For the six months ended June 30, 2022, other revenues in Developed Markets, JANZ, and Emerging Markets were approximately $11.1 million, $0.9 million, and $12.9 million, respectively.</w:t>
      </w:r>
    </w:p>
    <w:p>
      <w:pPr>
        <w:spacing w:after="0" w:line="3"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4,834.0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6,553.1</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(2,424.8)</w:t>
            </w: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(246.5)</w:t>
            </w: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(186.1)</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1,705.1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1,900.6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3,403.4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3,691.0</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2,411.7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2,677.2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4,905.1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5,317.1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r>
      <w:tr>
        <w:trPr>
          <w:trHeight w:val="21"/>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331.8</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(16.6)</w:t>
            </w: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203"/>
        </w:trPr>
        <w:tc>
          <w:tcPr>
            <w:tcW w:w="5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4"/>
                <w:szCs w:val="14"/>
                <w:color w:val="auto"/>
              </w:rPr>
              <w:t xml:space="preserve">Other special items </w:t>
            </w:r>
            <w:r>
              <w:rPr>
                <w:rFonts w:ascii="Arial" w:cs="Arial" w:eastAsia="Arial" w:hAnsi="Arial"/>
                <w:sz w:val="18"/>
                <w:szCs w:val="18"/>
                <w:color w:val="auto"/>
                <w:vertAlign w:val="superscript"/>
              </w:rPr>
              <w:t>(b)</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w:t>
            </w: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158.7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297.3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304.6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 as % of 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1,896.4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2,391.3</w:t>
            </w:r>
          </w:p>
        </w:tc>
      </w:tr>
      <w:tr>
        <w:trPr>
          <w:trHeight w:val="198"/>
        </w:trPr>
        <w:tc>
          <w:tcPr>
            <w:tcW w:w="580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(104.4)</w:t>
            </w:r>
          </w:p>
        </w:tc>
      </w:tr>
      <w:tr>
        <w:trPr>
          <w:trHeight w:val="198"/>
        </w:trPr>
        <w:tc>
          <w:tcPr>
            <w:tcW w:w="580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(307.0)</w:t>
            </w: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580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(60.5)</w:t>
            </w:r>
          </w:p>
        </w:tc>
      </w:tr>
      <w:tr>
        <w:trPr>
          <w:trHeight w:val="203"/>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r>
      <w:tr>
        <w:trPr>
          <w:trHeight w:val="200"/>
        </w:trPr>
        <w:tc>
          <w:tcPr>
            <w:tcW w:w="580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828.4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952.1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1,632.2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1,889.9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2,769.0</w:t>
            </w: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03"/>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(501.4)</w:t>
            </w:r>
          </w:p>
        </w:tc>
      </w:tr>
      <w:tr>
        <w:trPr>
          <w:trHeight w:val="200"/>
        </w:trPr>
        <w:tc>
          <w:tcPr>
            <w:tcW w:w="610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1,929.5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2,194.5</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2,975.6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3,122.6</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0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6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145.9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w:t>
            </w: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198"/>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2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interest expense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159.1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1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6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net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18"/>
                <w:szCs w:val="18"/>
                <w:color w:val="auto"/>
                <w:vertAlign w:val="superscript"/>
              </w:rPr>
              <w:t>(d)</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Other items</w:t>
            </w:r>
          </w:p>
        </w:tc>
        <w:tc>
          <w:tcPr>
            <w:tcW w:w="82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expense (income), net</w:t>
            </w: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916.8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(660.4)</w:t>
            </w:r>
          </w:p>
        </w:tc>
        <w:tc>
          <w:tcPr>
            <w:tcW w:w="0" w:type="dxa"/>
            <w:vAlign w:val="bottom"/>
          </w:tcPr>
          <w:p>
            <w:pPr>
              <w:spacing w:after="0"/>
              <w:rPr>
                <w:sz w:val="1"/>
                <w:szCs w:val="1"/>
                <w:color w:val="auto"/>
              </w:rPr>
            </w:pPr>
          </w:p>
        </w:tc>
      </w:tr>
      <w:tr>
        <w:trPr>
          <w:trHeight w:val="19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1,690.8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3,444.5</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1,251.8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2,607.6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2,784.1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656.4</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 (benefit)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186.5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417.0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40" w:right="339" w:bottom="1440" w:gutter="0" w:footer="0" w:header="0"/>
        </w:sectPr>
      </w:pPr>
    </w:p>
    <w:bookmarkStart w:id="21" w:name="page22"/>
    <w:bookmarkEnd w:id="21"/>
    <w:p>
      <w:pPr>
        <w:jc w:val="both"/>
        <w:ind w:left="660" w:hanging="328"/>
        <w:spacing w:after="0"/>
        <w:tabs>
          <w:tab w:leader="none" w:pos="65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80" w:lineRule="exact"/>
        <w:rPr>
          <w:rFonts w:ascii="Arial" w:cs="Arial" w:eastAsia="Arial" w:hAnsi="Arial"/>
          <w:sz w:val="19"/>
          <w:szCs w:val="19"/>
          <w:color w:val="auto"/>
          <w:vertAlign w:val="superscript"/>
        </w:rPr>
      </w:pPr>
    </w:p>
    <w:p>
      <w:pPr>
        <w:jc w:val="both"/>
        <w:ind w:left="660" w:right="20" w:hanging="328"/>
        <w:spacing w:after="0" w:line="272" w:lineRule="auto"/>
        <w:tabs>
          <w:tab w:leader="none" w:pos="658" w:val="left"/>
        </w:tabs>
        <w:numPr>
          <w:ilvl w:val="0"/>
          <w:numId w:val="11"/>
        </w:numPr>
        <w:rPr>
          <w:rFonts w:ascii="Calibri" w:cs="Calibri" w:eastAsia="Calibri" w:hAnsi="Calibri"/>
          <w:sz w:val="9"/>
          <w:szCs w:val="9"/>
          <w:color w:val="auto"/>
        </w:rPr>
      </w:pPr>
      <w:r>
        <w:rPr>
          <w:rFonts w:ascii="Arial" w:cs="Arial" w:eastAsia="Arial" w:hAnsi="Arial"/>
          <w:sz w:val="14"/>
          <w:szCs w:val="14"/>
          <w:color w:val="auto"/>
        </w:rPr>
        <w:t>Beginning in 2022, upfront and milestone-related R&amp;D expenses related to collaboration and licensing arrangements are no longer excluded from adjusted net earnings and adjusted EBITDA. This change had no impact on the three and six months ended June 30, 2022. For all prior periods presented, these expenses and payments were excluded from adjusted net earnings and adjusted EBITDA. Prior period adjusted net earnings and adjusted EBITDA have not been recast to reflect this change in policy because the excluded amount was income of approximately $6.3 million and $5.8 million for the three and six months ended June 30, 2021, respectively, and is considered immaterial.</w:t>
      </w:r>
    </w:p>
    <w:p>
      <w:pPr>
        <w:spacing w:after="0" w:line="73" w:lineRule="exact"/>
        <w:rPr>
          <w:rFonts w:ascii="Calibri" w:cs="Calibri" w:eastAsia="Calibri" w:hAnsi="Calibri"/>
          <w:sz w:val="9"/>
          <w:szCs w:val="9"/>
          <w:color w:val="auto"/>
        </w:rPr>
      </w:pPr>
    </w:p>
    <w:p>
      <w:pPr>
        <w:ind w:left="660" w:right="20" w:hanging="328"/>
        <w:spacing w:after="0" w:line="231" w:lineRule="auto"/>
        <w:tabs>
          <w:tab w:leader="none" w:pos="64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80" w:lineRule="exact"/>
        <w:rPr>
          <w:rFonts w:ascii="Arial" w:cs="Arial" w:eastAsia="Arial" w:hAnsi="Arial"/>
          <w:sz w:val="19"/>
          <w:szCs w:val="19"/>
          <w:color w:val="auto"/>
          <w:vertAlign w:val="superscript"/>
        </w:rPr>
      </w:pPr>
    </w:p>
    <w:p>
      <w:pPr>
        <w:ind w:left="660" w:hanging="328"/>
        <w:spacing w:after="0" w:line="305" w:lineRule="auto"/>
        <w:tabs>
          <w:tab w:leader="none" w:pos="653" w:val="left"/>
        </w:tabs>
        <w:numPr>
          <w:ilvl w:val="0"/>
          <w:numId w:val="11"/>
        </w:numPr>
        <w:rPr>
          <w:rFonts w:ascii="Arial" w:cs="Arial" w:eastAsia="Arial" w:hAnsi="Arial"/>
          <w:sz w:val="9"/>
          <w:szCs w:val="9"/>
          <w:color w:val="auto"/>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2022 U.S. GAAP Net Cash Provided by Operating Activities to Free Cash Flow</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(Unaudited; in millions)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2022 U. S. GAAP Net Cash provided by Operating Activities to Free Cash Flow is presented below:</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2600" w:type="dxa"/>
            <w:vAlign w:val="bottom"/>
            <w:gridSpan w:val="3"/>
          </w:tcPr>
          <w:p>
            <w:pPr>
              <w:ind w:left="520"/>
              <w:spacing w:after="0"/>
              <w:rPr>
                <w:sz w:val="20"/>
                <w:szCs w:val="20"/>
                <w:color w:val="auto"/>
              </w:rPr>
            </w:pPr>
            <w:r>
              <w:rPr>
                <w:rFonts w:ascii="Arial" w:cs="Arial" w:eastAsia="Arial" w:hAnsi="Arial"/>
                <w:sz w:val="16"/>
                <w:szCs w:val="16"/>
                <w:b w:val="1"/>
                <w:bCs w:val="1"/>
                <w:color w:val="auto"/>
              </w:rPr>
              <w:t>Previous Guidance</w:t>
            </w:r>
          </w:p>
        </w:tc>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Current Guidance</w:t>
            </w: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U. S. GAAP Net Cash provided by Operating Activities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$3,400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$3,300</w:t>
            </w:r>
          </w:p>
        </w:tc>
      </w:tr>
      <w:tr>
        <w:trPr>
          <w:trHeight w:val="216"/>
        </w:trPr>
        <w:tc>
          <w:tcPr>
            <w:tcW w:w="6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$(675)</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$(575)</w:t>
            </w:r>
          </w:p>
        </w:tc>
      </w:tr>
      <w:tr>
        <w:trPr>
          <w:trHeight w:val="197"/>
        </w:trPr>
        <w:tc>
          <w:tcPr>
            <w:tcW w:w="6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$2,900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$2,900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2022-08-08T07:05:05Z</dcterms:created>
  <dcterms:modified xsi:type="dcterms:W3CDTF">2022-08-08T07:05:05Z</dcterms:modified>
</cp:coreProperties>
</file>