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Cuneo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MYLAN BOULEVARD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Viatris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sold pursuant to a written plan intended to satisfy the affirmative defense conditions of Rule 10b5-1(c) of the Securities Exchange Act of 1934, as amended, that was adopted by the reporting person on June 15, 2023.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President, JANZ (Japan, Australia and New Zealand) and Emerging Markets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186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2023-12-15T17:04:49Z</dcterms:created>
  <dcterms:modified xsi:type="dcterms:W3CDTF">2023-12-15T17:04:49Z</dcterms:modified>
</cp:coreProperties>
</file>