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November 8, 2021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32"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382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001-39695</w:t>
            </w:r>
          </w:p>
        </w:tc>
        <w:tc>
          <w:tcPr>
            <w:tcW w:w="3380" w:type="dxa"/>
            <w:vAlign w:val="bottom"/>
          </w:tcPr>
          <w:p>
            <w:pPr>
              <w:jc w:val="right"/>
              <w:ind w:right="790"/>
              <w:spacing w:after="0"/>
              <w:rPr>
                <w:sz w:val="20"/>
                <w:szCs w:val="20"/>
                <w:color w:val="auto"/>
              </w:rPr>
            </w:pPr>
            <w:r>
              <w:rPr>
                <w:rFonts w:ascii="Arial" w:cs="Arial" w:eastAsia="Arial" w:hAnsi="Arial"/>
                <w:sz w:val="18"/>
                <w:szCs w:val="18"/>
                <w:b w:val="1"/>
                <w:bCs w:val="1"/>
                <w:color w:val="auto"/>
              </w:rPr>
              <w:t>83-4364296</w:t>
            </w:r>
          </w:p>
        </w:tc>
        <w:tc>
          <w:tcPr>
            <w:tcW w:w="0" w:type="dxa"/>
            <w:vAlign w:val="bottom"/>
          </w:tcPr>
          <w:p>
            <w:pPr>
              <w:spacing w:after="0"/>
              <w:rPr>
                <w:sz w:val="1"/>
                <w:szCs w:val="1"/>
                <w:color w:val="auto"/>
              </w:rPr>
            </w:pPr>
          </w:p>
        </w:tc>
      </w:tr>
      <w:tr>
        <w:trPr>
          <w:trHeight w:val="176"/>
        </w:trPr>
        <w:tc>
          <w:tcPr>
            <w:tcW w:w="3820" w:type="dxa"/>
            <w:vAlign w:val="bottom"/>
            <w:vMerge w:val="restart"/>
          </w:tcPr>
          <w:p>
            <w:pPr>
              <w:jc w:val="center"/>
              <w:ind w:right="510"/>
              <w:spacing w:after="0"/>
              <w:rPr>
                <w:sz w:val="20"/>
                <w:szCs w:val="20"/>
                <w:color w:val="auto"/>
              </w:rPr>
            </w:pPr>
            <w:r>
              <w:rPr>
                <w:rFonts w:ascii="Arial" w:cs="Arial" w:eastAsia="Arial" w:hAnsi="Arial"/>
                <w:sz w:val="18"/>
                <w:szCs w:val="18"/>
                <w:color w:val="auto"/>
                <w:w w:val="91"/>
              </w:rPr>
              <w:t>(State or Other Jurisdiction of Incorporation)</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(Commission</w:t>
            </w:r>
          </w:p>
        </w:tc>
        <w:tc>
          <w:tcPr>
            <w:tcW w:w="3380" w:type="dxa"/>
            <w:vAlign w:val="bottom"/>
            <w:vMerge w:val="restart"/>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820" w:type="dxa"/>
            <w:vAlign w:val="bottom"/>
            <w:vMerge w:val="continue"/>
          </w:tcPr>
          <w:p>
            <w:pPr>
              <w:spacing w:after="0"/>
              <w:rPr>
                <w:sz w:val="20"/>
                <w:szCs w:val="20"/>
                <w:color w:val="auto"/>
              </w:rPr>
            </w:pPr>
          </w:p>
        </w:tc>
        <w:tc>
          <w:tcPr>
            <w:tcW w:w="23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 (</w:t>
      </w:r>
      <w:r>
        <w:rPr>
          <w:rFonts w:ascii="Arial" w:cs="Arial" w:eastAsia="Arial" w:hAnsi="Arial"/>
          <w:sz w:val="22"/>
          <w:szCs w:val="22"/>
          <w:b w:val="1"/>
          <w:bCs w:val="1"/>
          <w:color w:val="auto"/>
        </w:rPr>
        <w:t>724) 514-1800</w:t>
      </w:r>
    </w:p>
    <w:p>
      <w:pPr>
        <w:spacing w:after="0" w:line="327"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4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5"/>
              </w:rPr>
              <w:t>Title of each class</w:t>
            </w:r>
          </w:p>
        </w:tc>
        <w:tc>
          <w:tcPr>
            <w:tcW w:w="23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Trading Symbol(s)</w:t>
            </w:r>
          </w:p>
        </w:tc>
        <w:tc>
          <w:tcPr>
            <w:tcW w:w="436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28"/>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39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left="3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November 8, 2021, Viatris Inc. (“Viatris” or the “Company”) issued a press release reporting the Company's financial results for the period ended September 30, 2021. A copy of the press release is attached hereto as Exhibit 99.1 and is incorporated herein by reference.</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previously announced, Viatris will host a conference call and live webcast today at 10:00 a.m. ET to review the Company's financial results for the period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(d)</w:t>
            </w:r>
          </w:p>
        </w:tc>
        <w:tc>
          <w:tcPr>
            <w:tcW w:w="10020" w:type="dxa"/>
            <w:vAlign w:val="bottom"/>
          </w:tcPr>
          <w:p>
            <w:pPr>
              <w:ind w:left="320"/>
              <w:spacing w:after="0"/>
              <w:rPr>
                <w:sz w:val="20"/>
                <w:szCs w:val="20"/>
                <w:color w:val="auto"/>
              </w:rPr>
            </w:pPr>
            <w:r>
              <w:rPr>
                <w:rFonts w:ascii="Arial" w:cs="Arial" w:eastAsia="Arial" w:hAnsi="Arial"/>
                <w:sz w:val="18"/>
                <w:szCs w:val="18"/>
                <w:color w:val="auto"/>
              </w:rPr>
              <w:t>Exhibits.</w:t>
            </w:r>
          </w:p>
        </w:tc>
      </w:tr>
      <w:tr>
        <w:trPr>
          <w:trHeight w:val="445"/>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20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20" w:type="dxa"/>
            <w:vAlign w:val="bottom"/>
          </w:tcPr>
          <w:p>
            <w:pPr>
              <w:ind w:left="320"/>
              <w:spacing w:after="0" w:line="190" w:lineRule="exact"/>
              <w:rPr>
                <w:sz w:val="20"/>
                <w:szCs w:val="20"/>
                <w:color w:val="auto"/>
              </w:rPr>
            </w:pPr>
            <w:r>
              <w:rPr>
                <w:rFonts w:ascii="Arial" w:cs="Arial" w:eastAsia="Arial" w:hAnsi="Arial"/>
                <w:sz w:val="18"/>
                <w:szCs w:val="18"/>
                <w:color w:val="auto"/>
              </w:rPr>
              <w:t>Press release announcing the Company's financial results for the third quarter of 2021, dated November 8, 2021.</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880" w:type="dxa"/>
            <w:vAlign w:val="bottom"/>
          </w:tcPr>
          <w:p>
            <w:pPr>
              <w:spacing w:after="0"/>
              <w:rPr>
                <w:sz w:val="21"/>
                <w:szCs w:val="21"/>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6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Arial" w:cs="Arial" w:eastAsia="Arial" w:hAnsi="Arial"/>
          <w:sz w:val="18"/>
          <w:szCs w:val="18"/>
          <w:color w:val="auto"/>
        </w:rPr>
        <w:t>Date:</w:t>
        <w:tab/>
        <w:t>November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Sanjeev Narula</w:t>
      </w:r>
    </w:p>
    <w:p>
      <w:pPr>
        <w:ind w:left="7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320" w:top="1215" w:right="8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Viatris Reports Strong Third Quarter Results, Raises 2021 Financial Guidance and</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Announces Virtual Investor Event on January 7, 2022</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Board of Directors Declares Quarterly Dividend of Eleven Cents ($0.11) per Share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PITTSBURGH – November 8, 2021</w:t>
      </w:r>
    </w:p>
    <w:p>
      <w:pPr>
        <w:spacing w:after="0" w:line="225" w:lineRule="exact"/>
        <w:rPr>
          <w:sz w:val="20"/>
          <w:szCs w:val="20"/>
          <w:color w:val="auto"/>
        </w:rPr>
      </w:pPr>
    </w:p>
    <w:p>
      <w:pPr>
        <w:ind w:left="660" w:right="120" w:hanging="328"/>
        <w:spacing w:after="0" w:line="291" w:lineRule="auto"/>
        <w:tabs>
          <w:tab w:leader="none" w:pos="655" w:val="left"/>
        </w:tabs>
        <w:numPr>
          <w:ilvl w:val="1"/>
          <w:numId w:val="2"/>
        </w:numPr>
        <w:rPr>
          <w:rFonts w:ascii="Arial" w:cs="Arial" w:eastAsia="Arial" w:hAnsi="Arial"/>
          <w:sz w:val="17"/>
          <w:szCs w:val="17"/>
          <w:color w:val="auto"/>
        </w:rPr>
      </w:pPr>
      <w:r>
        <w:rPr>
          <w:rFonts w:ascii="Arial" w:cs="Arial" w:eastAsia="Arial" w:hAnsi="Arial"/>
          <w:sz w:val="17"/>
          <w:szCs w:val="17"/>
          <w:color w:val="auto"/>
        </w:rPr>
        <w:t>Reports Third Quarter 2021 Financial Results: Total Revenues of $4.54 billion; U.S. GAAP Net Earnings of $312 million; Adjusted EBITDA of $1.70 billion; U.S. GAAP Net Cash Provided by Operating Activities of $1.09 billion; and Free Cash Flow of $965 million</w:t>
      </w:r>
    </w:p>
    <w:p>
      <w:pPr>
        <w:spacing w:after="0" w:line="163" w:lineRule="exact"/>
        <w:rPr>
          <w:rFonts w:ascii="Arial" w:cs="Arial" w:eastAsia="Arial" w:hAnsi="Arial"/>
          <w:sz w:val="17"/>
          <w:szCs w:val="17"/>
          <w:color w:val="auto"/>
        </w:rPr>
      </w:pPr>
    </w:p>
    <w:p>
      <w:pPr>
        <w:ind w:left="660" w:right="20" w:hanging="328"/>
        <w:spacing w:after="0" w:line="233"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Raises 2021 Financial Guidance </w:t>
      </w:r>
      <w:r>
        <w:rPr>
          <w:rFonts w:ascii="Arial" w:cs="Arial" w:eastAsia="Arial" w:hAnsi="Arial"/>
          <w:sz w:val="23"/>
          <w:szCs w:val="23"/>
          <w:color w:val="auto"/>
          <w:vertAlign w:val="superscript"/>
        </w:rPr>
        <w:t>(1)</w:t>
      </w:r>
      <w:r>
        <w:rPr>
          <w:rFonts w:ascii="Arial" w:cs="Arial" w:eastAsia="Arial" w:hAnsi="Arial"/>
          <w:sz w:val="18"/>
          <w:szCs w:val="18"/>
          <w:color w:val="auto"/>
        </w:rPr>
        <w:t>: Total Revenues Guidance Range to $17.70 billion to $17.90 billion, from $17.50 billion to $17.90 billion; Adjusted EBITDA Guidance Range to $6.30 billion to $6.50 billion, from $6.15 billion to $6.45 billion; and Free Cash Flow Guidance Range to $2.40 billion to $2.60 billion, from $2.20 billion to $2.40 billion</w:t>
      </w:r>
    </w:p>
    <w:p>
      <w:pPr>
        <w:spacing w:after="0" w:line="205" w:lineRule="exact"/>
        <w:rPr>
          <w:rFonts w:ascii="Arial" w:cs="Arial" w:eastAsia="Arial" w:hAnsi="Arial"/>
          <w:sz w:val="18"/>
          <w:szCs w:val="18"/>
          <w:color w:val="auto"/>
        </w:rPr>
      </w:pPr>
    </w:p>
    <w:p>
      <w:pPr>
        <w:ind w:left="660" w:right="360" w:hanging="328"/>
        <w:spacing w:after="0" w:line="225"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Returned $266 million to shareholders year to date via dividend payments; Announces Board of Directors Declares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Quarterly Dividend of Eleven Cents ($0.11) per Share</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Paid Down $1.9 billion of Debt in First Three Quarters of 2021</w:t>
      </w:r>
    </w:p>
    <w:p>
      <w:pPr>
        <w:spacing w:after="0" w:line="225" w:lineRule="exact"/>
        <w:rPr>
          <w:rFonts w:ascii="Arial" w:cs="Arial" w:eastAsia="Arial" w:hAnsi="Arial"/>
          <w:sz w:val="18"/>
          <w:szCs w:val="18"/>
          <w:color w:val="auto"/>
        </w:rPr>
      </w:pPr>
    </w:p>
    <w:p>
      <w:pPr>
        <w:ind w:left="660" w:right="500" w:hanging="328"/>
        <w:spacing w:after="0" w:line="261"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Announces Virtual Investor Event to Take Place January 7, 2022 to Discuss More Details of Company's Two-Phased Strategic Roadmap</w:t>
      </w:r>
    </w:p>
    <w:p>
      <w:pPr>
        <w:spacing w:after="0" w:line="184"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Viatris is not providing forward-looking guidance for U.S. GAAP net earnings (loss) or a quantitative reconciliation of its 2021 adjusted EBITDA guidance. U.S. GAAP net cash provided by operating activities for 2021 is estimated to be between $2.90 billion and $3.10 billion. Please see "Updated 2021 Financial Guidance" and "Non-GAAP Financial Measures"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Viatris Inc. (NASDAQ: VTRS) today reported strong results for the third quarter of 2021, highlighted by robust cash flow generation.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Viatris also announced that its Board of Directors declared a quarterly dividend of eleven cents ($0.11) for each issued and outstanding share of the company’s common stock. The dividend is payable on December 16, 2021 to shareholders of record at the close of business on November 23,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Viatris Chief Executive Officer Michael Goettler said: “Nearly one year after launching our new company, I could not be prouder of all that we have accomplished together. Our continued strong operational performance for three consecutive quarters has allowed us to continue to deliver on our financial commitments and, based on the strength of our results, we are again raising our full-year financial guidance for 2021.</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Goettler continued, “We are near completion of a rigorous bottoms-up strategic planning effort and look forward to sharing these plans with the investment community at a virtual Investor Event now scheduled for the morning of January 7, 2022. On that day we will provide additional detail on our two-phased strategic roadmap, including:</w:t>
      </w:r>
    </w:p>
    <w:p>
      <w:pPr>
        <w:spacing w:after="0" w:line="229" w:lineRule="exact"/>
        <w:rPr>
          <w:sz w:val="20"/>
          <w:szCs w:val="20"/>
          <w:color w:val="auto"/>
        </w:rPr>
      </w:pPr>
    </w:p>
    <w:p>
      <w:pPr>
        <w:ind w:left="660" w:right="10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rest of phase one, that’s 2022 and 2023, we will be providing specific financial guidance, targets and metrics to complete this phase. We will also be discussing the substantial cash flows that will be generated over this period in order to satisfy our phase one capital allocation priorities of returning capital to shareholders and of repaying $6.5 billion of debt.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345" w:right="399" w:bottom="1440" w:gutter="0" w:footer="0" w:header="0"/>
        </w:sectPr>
      </w:pPr>
    </w:p>
    <w:bookmarkStart w:id="4" w:name="page5"/>
    <w:bookmarkEnd w:id="4"/>
    <w:p>
      <w:pPr>
        <w:jc w:val="both"/>
        <w:ind w:left="660" w:right="12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phase two, 2024 and beyond, we will be providing an overview of the catalysts that we expect will drive future growth including laying out our capital allocation priorities for this phase in order to maximize and further unlock shareholder value during this period. We will also be giving specific details of our own organic opportunities by discussing our own pipeline at length and will be providing the inorganic business development priorities that we will be focusing on through our Global Healthcare Gateway®.”</w:t>
      </w:r>
    </w:p>
    <w:p>
      <w:pPr>
        <w:spacing w:after="0" w:line="21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Viatris President Rajiv Malik said, “We are excited to host our upcoming Investor Event and provide a comprehensive review of the significant value and depth of our own pipeline and clinical programs, including biosimilars, complex generics and novel medicines that we have been building strategically over many years. Once laid out, we believe it will be recognized as one of Viatris’ most underappreciated assets, which we expect will enable us to continue to deliver value, especially after synergies roll off at the end of 2023, while continuing to bring access and address patient needs.”</w:t>
      </w:r>
    </w:p>
    <w:p>
      <w:pPr>
        <w:spacing w:after="0" w:line="23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Viatris Chief Financial Officer Sanjeev Narula said, “We are pleased with our ongoing strong execution and operational momentum, which allow us to raise our total revenues, adjusted EBITDA and free cash flow guidance ranges for the year. We continue to deliver on our financial commitments, including our ability to generate substantial cash flows. During the quarter, we generated $965 million of free cash flow, driven by strong underlying business performance and cash flow optimization initiatives, which we believe will not only benefit us in 2022 and beyond, but also create an even stronger balance sheet providing more financial flexibility as we move forward.”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C16AE"/>
        </w:rPr>
        <w:t>Financial Summary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left="708"/>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(2)(3)</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4,520.5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2,948.1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53%</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2,655.9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2,163.2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23%</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1300" w:type="dxa"/>
            <w:vAlign w:val="bottom"/>
            <w:gridSpan w:val="2"/>
          </w:tcPr>
          <w:p>
            <w:pPr>
              <w:jc w:val="right"/>
              <w:ind w:right="3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471.0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68%</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JANZ</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505.3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282.4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79%</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(18)%</w:t>
            </w:r>
          </w:p>
        </w:tc>
        <w:tc>
          <w:tcPr>
            <w:tcW w:w="1300" w:type="dxa"/>
            <w:vAlign w:val="bottom"/>
            <w:gridSpan w:val="2"/>
          </w:tcPr>
          <w:p>
            <w:pPr>
              <w:jc w:val="right"/>
              <w:ind w:right="4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Brands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2,803.1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1,241.4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(4)%</w:t>
            </w:r>
          </w:p>
        </w:tc>
        <w:tc>
          <w:tcPr>
            <w:tcW w:w="1300" w:type="dxa"/>
            <w:vAlign w:val="bottom"/>
            <w:gridSpan w:val="2"/>
          </w:tcPr>
          <w:p>
            <w:pPr>
              <w:jc w:val="right"/>
              <w:ind w:right="4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352.3</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Generics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1,385.4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1,354.4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8"/>
              </w:rPr>
              <w:t>2%</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(5)%</w:t>
            </w:r>
          </w:p>
        </w:tc>
        <w:tc>
          <w:tcPr>
            <w:tcW w:w="1300" w:type="dxa"/>
            <w:vAlign w:val="bottom"/>
            <w:gridSpan w:val="2"/>
          </w:tcPr>
          <w:p>
            <w:pPr>
              <w:jc w:val="right"/>
              <w:ind w:right="3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1,574.1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1,158.5</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36%</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2,723.3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1,629.1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67%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Earnings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185.7</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1,199.1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679.7</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76%</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1,386.5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794.1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75%</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1,698.3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1,009.7</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68%</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525.0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486.8</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98%</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02"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(2)(3)</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13,482.3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8,232.2</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64%</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7,867.9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6,132.3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28%</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1,224.8</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97%</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JANZ</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1,488.2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805.8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85%</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(22)%</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Brands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8,229.4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3,375.9</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144%</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(5)%</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956.7</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8"/>
              </w:rPr>
              <w:t>4%</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189"/>
        </w:trPr>
        <w:tc>
          <w:tcPr>
            <w:tcW w:w="4620" w:type="dxa"/>
            <w:vAlign w:val="bottom"/>
          </w:tcPr>
          <w:p>
            <w:pPr>
              <w:ind w:left="220"/>
              <w:spacing w:after="0"/>
              <w:rPr>
                <w:sz w:val="20"/>
                <w:szCs w:val="20"/>
                <w:color w:val="auto"/>
              </w:rPr>
            </w:pPr>
            <w:r>
              <w:rPr>
                <w:rFonts w:ascii="Arial" w:cs="Arial" w:eastAsia="Arial" w:hAnsi="Arial"/>
                <w:sz w:val="14"/>
                <w:szCs w:val="14"/>
                <w:color w:val="auto"/>
              </w:rPr>
              <w:t>Generics</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4,259.2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3,899.6</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8"/>
              </w:rPr>
              <w:t>9%</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4,029.1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3,090.3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30%</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8,040.4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4,492.3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79%</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245.9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3,496.1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1,721.2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3,836.4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1,946.1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97%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5,010.3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2,639.0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90%</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w:t>
            </w:r>
          </w:p>
        </w:tc>
        <w:tc>
          <w:tcPr>
            <w:tcW w:w="13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1,195.6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126.1</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2,234.0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1,069.5</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2" w:lineRule="exact"/>
        <w:rPr>
          <w:sz w:val="20"/>
          <w:szCs w:val="20"/>
          <w:color w:val="auto"/>
        </w:rPr>
      </w:pPr>
    </w:p>
    <w:p>
      <w:pPr>
        <w:jc w:val="both"/>
        <w:ind w:left="660" w:hanging="328"/>
        <w:spacing w:after="0" w:line="249" w:lineRule="auto"/>
        <w:tabs>
          <w:tab w:leader="none" w:pos="653" w:val="left"/>
        </w:tabs>
        <w:numPr>
          <w:ilvl w:val="0"/>
          <w:numId w:val="5"/>
        </w:numPr>
        <w:rPr>
          <w:rFonts w:ascii="Arial" w:cs="Arial" w:eastAsia="Arial" w:hAnsi="Arial"/>
          <w:sz w:val="9"/>
          <w:szCs w:val="9"/>
          <w:color w:val="auto"/>
        </w:rPr>
      </w:pPr>
      <w:r>
        <w:rPr>
          <w:rFonts w:ascii="Arial" w:cs="Arial" w:eastAsia="Arial" w:hAnsi="Arial"/>
          <w:sz w:val="14"/>
          <w:szCs w:val="14"/>
          <w:color w:val="auto"/>
        </w:rPr>
        <w:t>Q3 2020 and YTD 2020 represent Mylan standalone results for the respective 2020 periods. Mylan was the accounting acquiror in the combination of Mylan N.V. with Pfizer Inc.'s Upjohn business and therefore the historical financial statements of Mylan for periods prior to the combination are considered to be the historical financial statements of Viatris.</w:t>
      </w:r>
    </w:p>
    <w:p>
      <w:pPr>
        <w:spacing w:after="0" w:line="38" w:lineRule="exact"/>
        <w:rPr>
          <w:rFonts w:ascii="Arial" w:cs="Arial" w:eastAsia="Arial" w:hAnsi="Arial"/>
          <w:sz w:val="9"/>
          <w:szCs w:val="9"/>
          <w:color w:val="auto"/>
        </w:rPr>
      </w:pPr>
    </w:p>
    <w:p>
      <w:pPr>
        <w:ind w:left="640" w:hanging="308"/>
        <w:spacing w:after="0"/>
        <w:tabs>
          <w:tab w:leader="none" w:pos="64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operational change for net sales. See “Certain Key Terms” in this release for more information.</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5"/>
        </w:numPr>
        <w:rPr>
          <w:rFonts w:ascii="Arial" w:cs="Arial" w:eastAsia="Arial" w:hAnsi="Arial"/>
          <w:sz w:val="9"/>
          <w:szCs w:val="9"/>
          <w:color w:val="auto"/>
        </w:rPr>
      </w:pPr>
      <w:r>
        <w:rPr>
          <w:rFonts w:ascii="Arial" w:cs="Arial" w:eastAsia="Arial" w:hAnsi="Arial"/>
          <w:sz w:val="14"/>
          <w:szCs w:val="14"/>
          <w:color w:val="auto"/>
        </w:rPr>
        <w:t>See “Certain Key Terms” for more information about Combined Adjusted Q3 and YTD 2020 results and Combined LOE Adjusted Q3 and YTD 2020 results.</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5"/>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Third Quarter Highlights</w:t>
      </w:r>
    </w:p>
    <w:p>
      <w:pPr>
        <w:spacing w:after="0" w:line="247" w:lineRule="exact"/>
        <w:rPr>
          <w:sz w:val="20"/>
          <w:szCs w:val="20"/>
          <w:color w:val="auto"/>
        </w:rPr>
      </w:pPr>
    </w:p>
    <w:p>
      <w:pPr>
        <w:jc w:val="both"/>
        <w:ind w:left="340" w:hanging="332"/>
        <w:spacing w:after="0" w:line="25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quarter 2021 net sales totaled $4.52 billion, down 4% on an operational basis compared to combined adjusted Q3 2020 results, but down only 1% on an operational basis compared to combined LOE adjusted Q3 2020 results, driven by solid performance across all four of our segments—Developed Markets, Emerging Markets, JANZ, and Greater China.</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Brands performed better than expectations, driven by products such as Lipitor®, Influvac®, Viagra®, and EpiPen®.</w:t>
      </w:r>
    </w:p>
    <w:p>
      <w:pPr>
        <w:spacing w:after="0" w:line="225" w:lineRule="exact"/>
        <w:rPr>
          <w:rFonts w:ascii="Arial" w:cs="Arial" w:eastAsia="Arial" w:hAnsi="Arial"/>
          <w:sz w:val="18"/>
          <w:szCs w:val="18"/>
          <w:color w:val="auto"/>
        </w:rPr>
      </w:pPr>
    </w:p>
    <w:p>
      <w:pPr>
        <w:ind w:left="340" w:right="74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 generics and biosimilars performed in line with expectations, with 14% sales growth in Biosimilars offset by anticipated competition in select complex generics products.</w:t>
      </w:r>
    </w:p>
    <w:p>
      <w:pPr>
        <w:spacing w:after="0" w:line="197"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in line with expectations, driven primarily by favorability from partial COVID-19 recovery and related products, offset by anticipated competition.</w:t>
      </w:r>
    </w:p>
    <w:p>
      <w:pPr>
        <w:spacing w:after="0" w:line="201"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generated $158 million in new product revenues (as defined in "Certain Key Terms" below) in the third quarter ($557 million for the year to date period), and is on track to meet approximately $690 million in new product revenues in 2021.</w:t>
      </w:r>
    </w:p>
    <w:p>
      <w:pPr>
        <w:spacing w:after="0" w:line="197"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generated $965 million of free cash flow in the third quarter ($2.23 billion for the year to date period), primarily driven by solid U.S. GAAP net cash provided by operating activities of $1.09 billion in the quarter ($2.49 billion for the year to date period).</w:t>
      </w:r>
    </w:p>
    <w:p>
      <w:pPr>
        <w:spacing w:after="0" w:line="197" w:lineRule="exact"/>
        <w:rPr>
          <w:rFonts w:ascii="Arial" w:cs="Arial" w:eastAsia="Arial" w:hAnsi="Arial"/>
          <w:sz w:val="18"/>
          <w:szCs w:val="18"/>
          <w:color w:val="auto"/>
        </w:rPr>
      </w:pPr>
    </w:p>
    <w:p>
      <w:pPr>
        <w:ind w:left="340" w:right="58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solid progress in advancing key pipeline programs for biosimilars, complex products and complex injectables, including preparing for the launch of Semglee® as the first interchangeable biosimilar in the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Integration and Restructuring</w:t>
      </w:r>
    </w:p>
    <w:p>
      <w:pPr>
        <w:spacing w:after="0" w:line="24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Workforce actions related to the Company’s previously announced global restructuring program continue.</w:t>
      </w:r>
    </w:p>
    <w:p>
      <w:pPr>
        <w:spacing w:after="0" w:line="225" w:lineRule="exact"/>
        <w:rPr>
          <w:rFonts w:ascii="Arial" w:cs="Arial" w:eastAsia="Arial" w:hAnsi="Arial"/>
          <w:sz w:val="18"/>
          <w:szCs w:val="18"/>
          <w:color w:val="auto"/>
        </w:rPr>
      </w:pPr>
    </w:p>
    <w:p>
      <w:pPr>
        <w:ind w:left="340" w:right="780" w:hanging="332"/>
        <w:spacing w:after="0" w:line="261"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remains on track to achieve approximately $500 million of synergies this year and to achieve at least $1 billion of synergies by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Capital Allocation</w:t>
      </w:r>
    </w:p>
    <w:p>
      <w:pPr>
        <w:spacing w:after="0" w:line="247" w:lineRule="exact"/>
        <w:rPr>
          <w:sz w:val="20"/>
          <w:szCs w:val="20"/>
          <w:color w:val="auto"/>
        </w:rPr>
      </w:pPr>
    </w:p>
    <w:p>
      <w:pPr>
        <w:ind w:left="340" w:hanging="332"/>
        <w:spacing w:after="0" w:line="254"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Viatris paid quarterly cash dividends of eleven cents ($0.11) per share on the Company's issued and outstanding common stock on June 16, 2021 and September 16, 2021. On November 5, 2021, the Company’s Board of Directors declared a quarterly cash dividend of $0.11 per share on the Company’s issued and outstanding common stock, which will be payable on December 16, 2021 to shareholders of record as of the close of business on November 23, 2021.</w:t>
      </w:r>
    </w:p>
    <w:p>
      <w:pPr>
        <w:spacing w:after="0" w:line="203"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nine months ended September 30, 2021, the Company has repaid approximately $1.9 billion of debt, and remains on track to repay $6.5 billion of debt by 2023, and remains fully committed to maintaining its investment grade credit rating.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COVID-19 Response</w:t>
      </w:r>
    </w:p>
    <w:p>
      <w:pPr>
        <w:spacing w:after="0" w:line="24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continues to support the health and safety of colleagues and their families around the world as a top priority.</w:t>
      </w:r>
    </w:p>
    <w:p>
      <w:pPr>
        <w:spacing w:after="0" w:line="225" w:lineRule="exact"/>
        <w:rPr>
          <w:rFonts w:ascii="Arial" w:cs="Arial" w:eastAsia="Arial" w:hAnsi="Arial"/>
          <w:sz w:val="18"/>
          <w:szCs w:val="18"/>
          <w:color w:val="auto"/>
        </w:rPr>
      </w:pPr>
    </w:p>
    <w:p>
      <w:pPr>
        <w:ind w:left="340" w:right="26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Viatris continues to supply antiviral medicines, including remdesivir and ambisome, and continues to work with government authorities related to product usage.</w:t>
      </w:r>
    </w:p>
    <w:p>
      <w:pPr>
        <w:spacing w:after="0" w:line="197" w:lineRule="exact"/>
        <w:rPr>
          <w:rFonts w:ascii="Arial" w:cs="Arial" w:eastAsia="Arial" w:hAnsi="Arial"/>
          <w:sz w:val="18"/>
          <w:szCs w:val="18"/>
          <w:color w:val="auto"/>
        </w:rPr>
      </w:pPr>
    </w:p>
    <w:p>
      <w:pPr>
        <w:ind w:left="340" w:right="320" w:hanging="332"/>
        <w:spacing w:after="0" w:line="256"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Viatris has a broad, diverse and resilient global manufacturing and supply chain footprint. The Company is not dependent on any one country or site. Even in India, the Company's manufacturing footprint is spread over five different states, which mitigates the risk of disruption in any given part of the country.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02" w:right="359" w:bottom="1440" w:gutter="0" w:footer="0" w:header="0"/>
        </w:sectPr>
      </w:pPr>
    </w:p>
    <w:bookmarkStart w:id="8" w:name="page9"/>
    <w:bookmarkEnd w:id="8"/>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Updated 2021 Financial Guidance</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a result of the underlying strength of the business, Viatris is raising its financial guidance for 2021 as set forth below. The Company is not providing forward-looking guidance for U.S. GAAP net earnings (loss) or a quantitative reconciliation of its 2021 adjusted EBITDA guidance to the most directly comparable U.S. GAAP measure, U.S. GAAP net earnings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2021 is estimated to be between $2.90 billion and $3.10 billion, with a midpoint of approximately $3.00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2021 Financial Guidance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40" w:type="dxa"/>
            <w:vAlign w:val="bottom"/>
            <w:gridSpan w:val="4"/>
          </w:tcPr>
          <w:p>
            <w:pPr>
              <w:ind w:left="320"/>
              <w:spacing w:after="0"/>
              <w:rPr>
                <w:sz w:val="20"/>
                <w:szCs w:val="20"/>
                <w:color w:val="auto"/>
              </w:rPr>
            </w:pPr>
            <w:r>
              <w:rPr>
                <w:rFonts w:ascii="Arial" w:cs="Arial" w:eastAsia="Arial" w:hAnsi="Arial"/>
                <w:sz w:val="14"/>
                <w:szCs w:val="14"/>
                <w:b w:val="1"/>
                <w:bCs w:val="1"/>
                <w:color w:val="auto"/>
              </w:rPr>
              <w:t>Updated Guidance</w:t>
            </w:r>
          </w:p>
        </w:tc>
        <w:tc>
          <w:tcPr>
            <w:tcW w:w="780" w:type="dxa"/>
            <w:vAlign w:val="bottom"/>
          </w:tcPr>
          <w:p>
            <w:pPr>
              <w:spacing w:after="0"/>
              <w:rPr>
                <w:sz w:val="17"/>
                <w:szCs w:val="17"/>
                <w:color w:val="auto"/>
              </w:rPr>
            </w:pPr>
          </w:p>
        </w:tc>
        <w:tc>
          <w:tcPr>
            <w:tcW w:w="2600" w:type="dxa"/>
            <w:vAlign w:val="bottom"/>
            <w:gridSpan w:val="3"/>
          </w:tcPr>
          <w:p>
            <w:pPr>
              <w:ind w:left="180"/>
              <w:spacing w:after="0"/>
              <w:rPr>
                <w:sz w:val="20"/>
                <w:szCs w:val="20"/>
                <w:color w:val="auto"/>
              </w:rPr>
            </w:pPr>
            <w:r>
              <w:rPr>
                <w:rFonts w:ascii="Arial" w:cs="Arial" w:eastAsia="Arial" w:hAnsi="Arial"/>
                <w:sz w:val="14"/>
                <w:szCs w:val="14"/>
                <w:b w:val="1"/>
                <w:bCs w:val="1"/>
                <w:color w:val="auto"/>
              </w:rPr>
              <w:t xml:space="preserve">Previous Guidance </w:t>
            </w:r>
            <w:r>
              <w:rPr>
                <w:rFonts w:ascii="Arial" w:cs="Arial" w:eastAsia="Arial" w:hAnsi="Arial"/>
                <w:sz w:val="18"/>
                <w:szCs w:val="18"/>
                <w:b w:val="1"/>
                <w:bCs w:val="1"/>
                <w:color w:val="auto"/>
                <w:vertAlign w:val="superscript"/>
              </w:rPr>
              <w:t>(2)</w:t>
            </w:r>
          </w:p>
        </w:tc>
      </w:tr>
      <w:tr>
        <w:trPr>
          <w:trHeight w:val="189"/>
        </w:trPr>
        <w:tc>
          <w:tcPr>
            <w:tcW w:w="424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(In billions)</w:t>
            </w:r>
          </w:p>
        </w:tc>
        <w:tc>
          <w:tcPr>
            <w:tcW w:w="1780" w:type="dxa"/>
            <w:vAlign w:val="bottom"/>
            <w:gridSpan w:val="3"/>
          </w:tcPr>
          <w:p>
            <w:pPr>
              <w:ind w:left="600"/>
              <w:spacing w:after="0"/>
              <w:rPr>
                <w:sz w:val="20"/>
                <w:szCs w:val="20"/>
                <w:color w:val="auto"/>
              </w:rPr>
            </w:pPr>
            <w:r>
              <w:rPr>
                <w:rFonts w:ascii="Arial" w:cs="Arial" w:eastAsia="Arial" w:hAnsi="Arial"/>
                <w:sz w:val="14"/>
                <w:szCs w:val="14"/>
                <w:b w:val="1"/>
                <w:bCs w:val="1"/>
                <w:color w:val="auto"/>
              </w:rPr>
              <w:t>Range</w:t>
            </w: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Midpoint</w:t>
            </w:r>
          </w:p>
        </w:tc>
        <w:tc>
          <w:tcPr>
            <w:tcW w:w="1740" w:type="dxa"/>
            <w:vAlign w:val="bottom"/>
            <w:gridSpan w:val="3"/>
          </w:tcPr>
          <w:p>
            <w:pPr>
              <w:ind w:left="600"/>
              <w:spacing w:after="0"/>
              <w:rPr>
                <w:sz w:val="20"/>
                <w:szCs w:val="20"/>
                <w:color w:val="auto"/>
              </w:rPr>
            </w:pPr>
            <w:r>
              <w:rPr>
                <w:rFonts w:ascii="Arial" w:cs="Arial" w:eastAsia="Arial" w:hAnsi="Arial"/>
                <w:sz w:val="14"/>
                <w:szCs w:val="14"/>
                <w:b w:val="1"/>
                <w:bCs w:val="1"/>
                <w:color w:val="auto"/>
              </w:rPr>
              <w:t>Range</w:t>
            </w:r>
          </w:p>
        </w:tc>
        <w:tc>
          <w:tcPr>
            <w:tcW w:w="1640" w:type="dxa"/>
            <w:vAlign w:val="bottom"/>
          </w:tcPr>
          <w:p>
            <w:pPr>
              <w:ind w:left="520"/>
              <w:spacing w:after="0"/>
              <w:rPr>
                <w:sz w:val="20"/>
                <w:szCs w:val="20"/>
                <w:color w:val="auto"/>
              </w:rPr>
            </w:pPr>
            <w:r>
              <w:rPr>
                <w:rFonts w:ascii="Arial" w:cs="Arial" w:eastAsia="Arial" w:hAnsi="Arial"/>
                <w:sz w:val="14"/>
                <w:szCs w:val="14"/>
                <w:b w:val="1"/>
                <w:bCs w:val="1"/>
                <w:color w:val="auto"/>
              </w:rPr>
              <w:t>Midpoint</w:t>
            </w:r>
          </w:p>
        </w:tc>
      </w:tr>
      <w:tr>
        <w:trPr>
          <w:trHeight w:val="18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$17.9</w:t>
            </w:r>
          </w:p>
        </w:tc>
        <w:tc>
          <w:tcPr>
            <w:tcW w:w="16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$17.8</w:t>
            </w: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$17.9</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$17.7</w:t>
            </w: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860" w:type="dxa"/>
            <w:vAlign w:val="bottom"/>
          </w:tcPr>
          <w:p>
            <w:pPr>
              <w:ind w:left="20"/>
              <w:spacing w:after="0"/>
              <w:rPr>
                <w:sz w:val="20"/>
                <w:szCs w:val="20"/>
                <w:color w:val="auto"/>
              </w:rPr>
            </w:pPr>
            <w:r>
              <w:rPr>
                <w:rFonts w:ascii="Arial" w:cs="Arial" w:eastAsia="Arial" w:hAnsi="Arial"/>
                <w:sz w:val="14"/>
                <w:szCs w:val="14"/>
                <w:color w:val="auto"/>
              </w:rPr>
              <w:t>- $6.5</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$6.4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w:t>
            </w:r>
          </w:p>
        </w:tc>
        <w:tc>
          <w:tcPr>
            <w:tcW w:w="860" w:type="dxa"/>
            <w:vAlign w:val="bottom"/>
          </w:tcPr>
          <w:p>
            <w:pPr>
              <w:ind w:left="20"/>
              <w:spacing w:after="0"/>
              <w:rPr>
                <w:sz w:val="20"/>
                <w:szCs w:val="20"/>
                <w:color w:val="auto"/>
              </w:rPr>
            </w:pPr>
            <w:r>
              <w:rPr>
                <w:rFonts w:ascii="Arial" w:cs="Arial" w:eastAsia="Arial" w:hAnsi="Arial"/>
                <w:sz w:val="14"/>
                <w:szCs w:val="14"/>
                <w:color w:val="auto"/>
              </w:rPr>
              <w:t>- $6.45</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$6.3</w:t>
            </w:r>
          </w:p>
        </w:tc>
      </w:tr>
      <w:tr>
        <w:trPr>
          <w:trHeight w:val="189"/>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$2.6</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$2.4</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r>
    </w:tbl>
    <w:p>
      <w:pPr>
        <w:spacing w:after="0" w:line="161" w:lineRule="exact"/>
        <w:rPr>
          <w:sz w:val="20"/>
          <w:szCs w:val="20"/>
          <w:color w:val="auto"/>
        </w:rPr>
      </w:pPr>
    </w:p>
    <w:p>
      <w:pPr>
        <w:ind w:left="540" w:hanging="208"/>
        <w:spacing w:after="0"/>
        <w:tabs>
          <w:tab w:leader="none" w:pos="5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159"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Previous guidance provided on August 9,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Viatris Inc. will host a conference call and live webcast, today at 10:00 a.m. ET, to review the Company's financial results for the third quarter ended September 30, 2021. Investors and the general public are invited to listen to a live webcast of the call at investor.viatris.com or by calling 866.342.8591 or 203.518.9713 for international callers (ID#: VTRSQ321). The "Viatris Q3 Earnings Presentation", which will be referenced during the call, can be found at investor.viatris.com. A replay of the webcast also will be available on the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Terms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combined measures described herein are calculated as indicated, are reflected as approximations and/or with rounding, and do not reflect pro forma results in accordance with ASC 805 or Article 11 of Regulation S-X. Such measures also do not reflect the effect of any purchase accounting adjustments, including but not limited to the elimination of intercompany sales and the fair value of assets and liabilities. Viatris believes these combined 2020 measures provide useful information to understanding and assessing our 2021 performance because they include both Mylan and Upjohn business results, adjusted as set forth below, whereas historical financial information of Viatris prior to November 16, 2020 only represents Mylan’s historical results as Mylan is considered the accounting acquiror of the Upjohn business.</w:t>
      </w:r>
    </w:p>
    <w:p>
      <w:pPr>
        <w:spacing w:after="0" w:line="20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u w:val="single" w:color="auto"/>
          <w:color w:val="auto"/>
        </w:rPr>
        <w:t>Combined Adjusted Q3 and YTD 2020 results</w:t>
      </w:r>
      <w:r>
        <w:rPr>
          <w:rFonts w:ascii="Arial" w:cs="Arial" w:eastAsia="Arial" w:hAnsi="Arial"/>
          <w:sz w:val="18"/>
          <w:szCs w:val="18"/>
          <w:color w:val="auto"/>
        </w:rPr>
        <w:t xml:space="preserve"> refer to the sum of Mylan’s standalone results and the standalone carve-out results from the Upjohn Business for the 2020 period presented, adjusted for product divestitures in connection with the Combination and sales to Pfizer for pharmaceutical products provided under its U.S. healthcare plan.</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Combined LOE Adjusted Q3 and YTD 2020 results</w:t>
      </w:r>
      <w:r>
        <w:rPr>
          <w:rFonts w:ascii="Arial" w:cs="Arial" w:eastAsia="Arial" w:hAnsi="Arial"/>
          <w:sz w:val="18"/>
          <w:szCs w:val="18"/>
          <w:color w:val="auto"/>
        </w:rPr>
        <w:t xml:space="preserve"> refer to Combined Adjusted Q3 and YTD 2020 results, adjusted for the impact of loss of exclusivity (“LOE”) of Lyrica and Celebrex in Japan which occurred after Q3 2020.</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2021 and the carryover impact of new products, including business development, launched within the last twelve months (e.g., acquisition of Aspen's thrombosis business in November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net sales or revenues for the current periods presented at prior year comparative period exchange rates, and in doing so shows the percentage change from 2021 constant currency net sales or revenues to the corresponding amount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spacing w:after="0" w:line="1" w:lineRule="exact"/>
        <w:rPr>
          <w:sz w:val="20"/>
          <w:szCs w:val="20"/>
          <w:color w:val="auto"/>
        </w:rPr>
      </w:pPr>
    </w:p>
    <w:p>
      <w:pPr>
        <w:ind w:firstLine="8"/>
        <w:spacing w:after="0" w:line="250"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expense, adjusted effective tax rate, constant currency total revenues and constant currency net sales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and net sales. These measures provide information on the change in total revenues and net sales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three and nine months ended September 30, 2021 and 2020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0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About Viatris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Viatris Inc. (NASDAQ: VTRS) is a new kind of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 -communicable and infectious diseases, including globally recognized brands, complex generic and branded medicines, a growing portfolio of biosimilars and a variety of over-the-counter consumer products. With a global workforce of over 38,000, Viatris is headquartered in the U.S., with global centers in Pittsburgh, Shanghai and Hyderabad, India. Learn more at viatris.com and investor.viatris.com, and connect with us on Twitter at @ViatrisInc, LinkedIn and YouTube.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Communications and Corporate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Melissa Trombetta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Melissa.Trombetta@viatris.com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2021 guidance; quarterly dividend of eleven cents ($0.11) for each issued and outstanding share of the company’s common stock payable on December 16, 2021 to shareholders of record at the close of business on November 23, 2021; our continued strong operational performance for three consecutive quarters has allowed us to continue to deliver on our financial commitments and, based on the strength of our results, we are again raising our full-year financial guidance for 2021; we are near completion of a rigorous bottoms-up strategic planning effort and look forward to sharing these plans with the investment community at a virtual Investor Event now scheduled for the morning of January 7, 2022; that on that day we will provide additional detail on our two-phased strategic roadmap; for the rest of phase one, that’s 2022 and 2023, we will be providing specific financial guidance, targets and metrics to complete this phase; we will also be discussing the substantial cash flows that will be generated over this period in order to satisfy our Phase 1 capital allocation priorities of returning capital to shareholders and of repaying $6.5 billion of debt; for phase two, 2024 and beyond, we will be providing an overview of the catalysts that we expect will drive future growth including laying out our capital allocation priorities for this phase in order to maximize and further unlock shareholder value during this period; we will also be giving specific details of our own organic opportunities by discussing our own pipeline at length and will be providing the inorganic business development priorities that we will be focusing on through our Global Healthcare Gateway®; that we are excited to host our upcoming Investor Event and provide a comprehensive review of the significant value and depth of our own pipeline and clinical programs, including biosimilars, complex generics and novel medicines that we have been building strategically over many years; once laid out, we believe it will be recognized as one of Viatris’ most underappreciated assets, which we expect will enable us to continue to deliver value, especially after synergies roll off at the end of 2023, while continuing to bring access and address patient needs; we continue to deliver on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ind w:right="360"/>
        <w:spacing w:after="0" w:line="232" w:lineRule="auto"/>
        <w:rPr>
          <w:sz w:val="20"/>
          <w:szCs w:val="20"/>
          <w:color w:val="auto"/>
        </w:rPr>
      </w:pPr>
      <w:r>
        <w:rPr>
          <w:rFonts w:ascii="Arial" w:cs="Arial" w:eastAsia="Arial" w:hAnsi="Arial"/>
          <w:sz w:val="17"/>
          <w:szCs w:val="17"/>
          <w:color w:val="auto"/>
        </w:rPr>
        <w:t>financial commitments, including our ability to generate substantial cash flows; during the quarter, we generated $965 million of free cash flow, driven by strong underlying business performance and cash flow optimization initiatives, which we believe will not only benefit us in</w:t>
      </w:r>
    </w:p>
    <w:p>
      <w:pPr>
        <w:spacing w:after="0" w:line="219" w:lineRule="auto"/>
        <w:rPr>
          <w:sz w:val="20"/>
          <w:szCs w:val="20"/>
          <w:color w:val="auto"/>
        </w:rPr>
      </w:pPr>
      <w:r>
        <w:rPr>
          <w:rFonts w:ascii="Arial" w:cs="Arial" w:eastAsia="Arial" w:hAnsi="Arial"/>
          <w:sz w:val="18"/>
          <w:szCs w:val="18"/>
          <w:color w:val="auto"/>
        </w:rPr>
        <w:t>2022 and beyond, but also create an even stronger balance sheet providing more financial flexibility as we move forward; the Company is on track to meet approximately $690 million in new product revenues in 2021; that there was continued solid progress in advancing key pipeline programs for biosimilars, complex products and complex injectables, including preparing for the launch of Semglee® as the first interchangeable biosimilar in the U.S.; workforce actions related to the Company’s previously announced global restructuring program continue; the Company remains on track to achieve approximately $ 500 million of synergies this year and to achieve at least $1 billion of synergies by 2023; for the nine months ended September 30, 2021, the Company has repaid approximately $1.9 billion of debt, and remains on-track to repay $6.5 billion of debt by 2023, and remains fully committed to maintaining its investment grade credit rating; Viatris continues to supply antiviral medicines, including remdesivir and ambisome, and continues to work with government authorities related to product usage; Viatris has a broad, diverse and resilient global manufacturing and supply chain footprint; the Company is not dependent on any one country or site; even in India, the Company's manufacturing footprint is spread over five different states, which mitigates the risk of disruption in any given part of the country; and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possibility that the Company may be unable to achieve expected benefits, synergies and operating efficiencies in connection with the Combination or its global restructuring program within the expected timeframe or at all; the possibility that the Company may be unable to successfully integrate Mylan and the Upjohn Business or implement its global restructuring program; operational or financial difficulties or losses associated with the Company’s reliance on agreements with Pfizer in connection with the Combination, including with respect to transition services; the possibility that the Company may be unable to achieve all intended benefits of its strategic initiatives;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5" w:right="339" w:bottom="1440" w:gutter="0" w:footer="0" w:header="0"/>
        </w:sectPr>
      </w:pPr>
    </w:p>
    <w:bookmarkStart w:id="12" w:name="page13"/>
    <w:bookmarkEnd w:id="12"/>
    <w:p>
      <w:pPr>
        <w:spacing w:after="0" w:line="227" w:lineRule="auto"/>
        <w:rPr>
          <w:sz w:val="20"/>
          <w:szCs w:val="20"/>
          <w:color w:val="auto"/>
        </w:rPr>
      </w:pPr>
      <w:r>
        <w:rPr>
          <w:rFonts w:ascii="Arial" w:cs="Arial" w:eastAsia="Arial" w:hAnsi="Arial"/>
          <w:sz w:val="18"/>
          <w:szCs w:val="18"/>
          <w:color w:val="auto"/>
        </w:rPr>
        <w:t>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895"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4,520.5</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2,948.1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13,482.3</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8,232.2</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revenues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4,536.6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13,544.7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8,322.5</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2,962.5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9,515.6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5,232.2</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1,574.1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4,029.1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3,090.3</w:t>
            </w:r>
          </w:p>
        </w:tc>
        <w:tc>
          <w:tcPr>
            <w:tcW w:w="0" w:type="dxa"/>
            <w:vAlign w:val="bottom"/>
          </w:tcPr>
          <w:p>
            <w:pPr>
              <w:spacing w:after="0"/>
              <w:rPr>
                <w:sz w:val="1"/>
                <w:szCs w:val="1"/>
                <w:color w:val="auto"/>
              </w:rPr>
            </w:pPr>
          </w:p>
        </w:tc>
      </w:tr>
      <w:tr>
        <w:trPr>
          <w:trHeight w:val="16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3,446.3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1,983.2</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1,216.5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3,985.5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2,420.0</w:t>
            </w:r>
          </w:p>
        </w:tc>
        <w:tc>
          <w:tcPr>
            <w:tcW w:w="0" w:type="dxa"/>
            <w:vAlign w:val="bottom"/>
          </w:tcPr>
          <w:p>
            <w:pPr>
              <w:spacing w:after="0"/>
              <w:rPr>
                <w:sz w:val="1"/>
                <w:szCs w:val="1"/>
                <w:color w:val="auto"/>
              </w:rPr>
            </w:pP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Earnings from operations</w:t>
            </w: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670.3</w:t>
            </w:r>
          </w:p>
        </w:tc>
        <w:tc>
          <w:tcPr>
            <w:tcW w:w="0" w:type="dxa"/>
            <w:vAlign w:val="bottom"/>
          </w:tcPr>
          <w:p>
            <w:pPr>
              <w:spacing w:after="0"/>
              <w:rPr>
                <w:sz w:val="1"/>
                <w:szCs w:val="1"/>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before income taxes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provision</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 outstanding:</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1,209.3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1,208.6</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1,212.6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1,208.6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8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54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69"/>
        </w:trPr>
        <w:tc>
          <w:tcPr>
            <w:tcW w:w="4540" w:type="dxa"/>
            <w:vAlign w:val="bottom"/>
            <w:shd w:val="clear" w:color="auto" w:fill="CCEEFF"/>
          </w:tcPr>
          <w:p>
            <w:pPr>
              <w:spacing w:after="0"/>
              <w:rPr>
                <w:sz w:val="14"/>
                <w:szCs w:val="14"/>
                <w:color w:val="auto"/>
              </w:rPr>
            </w:pPr>
          </w:p>
        </w:tc>
        <w:tc>
          <w:tcPr>
            <w:tcW w:w="384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Assets</w:t>
            </w: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assets:</w:t>
            </w:r>
          </w:p>
        </w:tc>
        <w:tc>
          <w:tcPr>
            <w:tcW w:w="3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3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756.6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844.4</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3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4,843.8</w:t>
            </w: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4,081.9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5,471.9</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8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2,124.4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1,707.4</w:t>
            </w:r>
          </w:p>
        </w:tc>
      </w:tr>
      <w:tr>
        <w:trPr>
          <w:trHeight w:val="183"/>
        </w:trPr>
        <w:tc>
          <w:tcPr>
            <w:tcW w:w="454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11,308.4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12,867.5</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3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26,987.0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29,683.2</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Goodwill</w:t>
            </w: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12,169.5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12,347.0</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38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5,605.5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6,655.3</w:t>
            </w:r>
          </w:p>
        </w:tc>
      </w:tr>
      <w:tr>
        <w:trPr>
          <w:trHeight w:val="182"/>
        </w:trPr>
        <w:tc>
          <w:tcPr>
            <w:tcW w:w="45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56,070.4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540" w:type="dxa"/>
            <w:vAlign w:val="bottom"/>
            <w:shd w:val="clear" w:color="auto" w:fill="CCEEFF"/>
          </w:tcPr>
          <w:p>
            <w:pPr>
              <w:spacing w:after="0"/>
              <w:rPr>
                <w:sz w:val="13"/>
                <w:szCs w:val="13"/>
                <w:color w:val="auto"/>
              </w:rPr>
            </w:pPr>
          </w:p>
        </w:tc>
        <w:tc>
          <w:tcPr>
            <w:tcW w:w="384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 and other long-term obligations</w:t>
            </w:r>
          </w:p>
        </w:tc>
        <w:tc>
          <w:tcPr>
            <w:tcW w:w="3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2,308.5</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8,195.8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8,254.4</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3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19,854.3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22,429.2</w:t>
            </w:r>
          </w:p>
        </w:tc>
      </w:tr>
      <w:tr>
        <w:trPr>
          <w:trHeight w:val="189"/>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3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4,970.9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5,606.8</w:t>
            </w: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38,598.9</w:t>
            </w:r>
          </w:p>
        </w:tc>
      </w:t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Shareholders' equity</w:t>
            </w:r>
          </w:p>
        </w:tc>
        <w:tc>
          <w:tcPr>
            <w:tcW w:w="3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21,141.3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22,954.1</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3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56,070.4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886"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2021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5"/>
                <w:szCs w:val="15"/>
                <w:color w:val="auto"/>
              </w:rPr>
            </w:pP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Select Key Global Products</w:t>
            </w:r>
          </w:p>
        </w:tc>
        <w:tc>
          <w:tcPr>
            <w:tcW w:w="1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Lipitor ®</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1,272.9</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Norvasc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635.9</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Lyrica ®</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Viagra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EpiPen® Auto-Injectors</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Celebrex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257.3</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Creon ®</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Effexor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Zoloft ®</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Xalabrands</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Select Key Segment Products</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Influvac ®</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Amitiza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Xanax ®</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4"/>
                <w:szCs w:val="14"/>
                <w:color w:val="auto"/>
              </w:rPr>
              <w:t>Yupelri ®</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Dymista ®</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Company does not disclose net sales for any products considered competitively sensitive.</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Products disclosed may change in future periods, including as a result of seasonality, competition or new product introductions.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70" w:right="339" w:bottom="1440" w:gutter="0" w:footer="0" w:header="0"/>
        </w:sectPr>
      </w:pPr>
    </w:p>
    <w:bookmarkStart w:id="16" w:name="page17"/>
    <w:bookmarkEnd w:id="16"/>
    <w:p>
      <w:pPr>
        <w:ind w:left="4740"/>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Below is a reconciliation of U.S. GAAP net earnings (loss) to adjusted net earnings for the three and nine months ended September 30, 2021 compared to the prior year period: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6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9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8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earnings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r>
      <w:tr>
        <w:trPr>
          <w:trHeight w:val="189"/>
        </w:trPr>
        <w:tc>
          <w:tcPr>
            <w:tcW w:w="6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Purchase accounting related amortization (primarily included in cost of sales) </w:t>
            </w:r>
            <w:r>
              <w:rPr>
                <w:rFonts w:ascii="Arial" w:cs="Arial" w:eastAsia="Arial" w:hAnsi="Arial"/>
                <w:sz w:val="18"/>
                <w:szCs w:val="18"/>
                <w:color w:val="auto"/>
                <w:vertAlign w:val="superscript"/>
              </w:rPr>
              <w:t>(a)</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1,072.5</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Litigation settlements and other contingencies,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color w:val="auto"/>
              </w:rPr>
              <w:t>Interest expense (primarily amortization of premiums and discounts on long 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energy investments pre-tax loss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6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Acquisition related costs (primarily included in SG&amp;A) </w:t>
            </w:r>
            <w:r>
              <w:rPr>
                <w:rFonts w:ascii="Arial" w:cs="Arial" w:eastAsia="Arial" w:hAnsi="Arial"/>
                <w:sz w:val="18"/>
                <w:szCs w:val="18"/>
                <w:color w:val="auto"/>
                <w:vertAlign w:val="superscript"/>
              </w:rPr>
              <w:t>(b)</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218.2</w:t>
            </w:r>
          </w:p>
        </w:tc>
      </w:tr>
      <w:tr>
        <w:trPr>
          <w:trHeight w:val="189"/>
        </w:trPr>
        <w:tc>
          <w:tcPr>
            <w:tcW w:w="6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Restructuring related costs </w:t>
            </w:r>
            <w:r>
              <w:rPr>
                <w:rFonts w:ascii="Arial" w:cs="Arial" w:eastAsia="Arial" w:hAnsi="Arial"/>
                <w:sz w:val="18"/>
                <w:szCs w:val="18"/>
                <w:color w:val="auto"/>
                <w:vertAlign w:val="superscript"/>
              </w:rPr>
              <w:t>(c)</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189"/>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special items included in: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686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299.3</w:t>
            </w:r>
          </w:p>
        </w:tc>
      </w:tr>
      <w:tr>
        <w:trPr>
          <w:trHeight w:val="189"/>
        </w:trPr>
        <w:tc>
          <w:tcPr>
            <w:tcW w:w="686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Research and development expense </w:t>
            </w:r>
            <w:r>
              <w:rPr>
                <w:rFonts w:ascii="Arial" w:cs="Arial" w:eastAsia="Arial" w:hAnsi="Arial"/>
                <w:sz w:val="18"/>
                <w:szCs w:val="18"/>
                <w:color w:val="auto"/>
                <w:vertAlign w:val="superscript"/>
              </w:rPr>
              <w:t>(e)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r>
      <w:tr>
        <w:trPr>
          <w:trHeight w:val="189"/>
        </w:trPr>
        <w:tc>
          <w:tcPr>
            <w:tcW w:w="686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89"/>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r>
      <w:tr>
        <w:trPr>
          <w:trHeight w:val="189"/>
        </w:trPr>
        <w:tc>
          <w:tcPr>
            <w:tcW w:w="68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(f)</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(344.3)</w:t>
            </w:r>
          </w:p>
        </w:tc>
      </w:tr>
      <w:tr>
        <w:trPr>
          <w:trHeight w:val="20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earnings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3,496.1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Significant items include the following:</w:t>
      </w:r>
    </w:p>
    <w:p>
      <w:pPr>
        <w:spacing w:after="0" w:line="55" w:lineRule="exact"/>
        <w:rPr>
          <w:sz w:val="20"/>
          <w:szCs w:val="20"/>
          <w:color w:val="auto"/>
        </w:rPr>
      </w:pPr>
    </w:p>
    <w:p>
      <w:pPr>
        <w:ind w:left="660" w:right="20" w:hanging="328"/>
        <w:spacing w:after="0" w:line="258" w:lineRule="auto"/>
        <w:tabs>
          <w:tab w:leader="none" w:pos="656"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2021, includes amortization of the purchase accounting inventory fair value adjustment related to the Combination totaling approximately $238.5 million and $1.19 billion, respectively.</w:t>
      </w:r>
    </w:p>
    <w:p>
      <w:pPr>
        <w:spacing w:after="0" w:line="31" w:lineRule="exact"/>
        <w:rPr>
          <w:rFonts w:ascii="Arial" w:cs="Arial" w:eastAsia="Arial" w:hAnsi="Arial"/>
          <w:sz w:val="9"/>
          <w:szCs w:val="9"/>
          <w:color w:val="auto"/>
        </w:rPr>
      </w:pPr>
    </w:p>
    <w:p>
      <w:pPr>
        <w:ind w:left="640" w:hanging="308"/>
        <w:spacing w:after="0"/>
        <w:tabs>
          <w:tab w:leader="none" w:pos="640" w:val="left"/>
        </w:tabs>
        <w:numPr>
          <w:ilvl w:val="0"/>
          <w:numId w:val="13"/>
        </w:numPr>
        <w:rPr>
          <w:rFonts w:ascii="Arial" w:cs="Arial" w:eastAsia="Arial" w:hAnsi="Arial"/>
          <w:sz w:val="9"/>
          <w:szCs w:val="9"/>
          <w:color w:val="auto"/>
        </w:rPr>
      </w:pPr>
      <w:r>
        <w:rPr>
          <w:rFonts w:ascii="Arial" w:cs="Arial" w:eastAsia="Arial" w:hAnsi="Arial"/>
          <w:sz w:val="14"/>
          <w:szCs w:val="14"/>
          <w:color w:val="auto"/>
        </w:rPr>
        <w:t>Acquisition related costs consist primarily of transaction costs including legal and consulting fees and integration activities.</w:t>
      </w:r>
    </w:p>
    <w:p>
      <w:pPr>
        <w:spacing w:after="0" w:line="55" w:lineRule="exact"/>
        <w:rPr>
          <w:rFonts w:ascii="Arial" w:cs="Arial" w:eastAsia="Arial" w:hAnsi="Arial"/>
          <w:sz w:val="9"/>
          <w:szCs w:val="9"/>
          <w:color w:val="auto"/>
        </w:rPr>
      </w:pPr>
    </w:p>
    <w:p>
      <w:pPr>
        <w:jc w:val="both"/>
        <w:ind w:left="660" w:hanging="328"/>
        <w:spacing w:after="0" w:line="249" w:lineRule="auto"/>
        <w:tabs>
          <w:tab w:leader="none" w:pos="647"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the three months ended September 30, 2021, charges of approximately $151.3 million are included in cost of sales, approximately $(4.7) million are included in R&amp;D, and approximately $23.1 million are included in SG&amp;A. For the nine months ended September 30, 2021, charges of approximately $399.5 million are included in cost of sales, approximately $11.9 million are included in R&amp;D, and approximately $330.1 million are included in SG&amp;A.</w:t>
      </w:r>
    </w:p>
    <w:p>
      <w:pPr>
        <w:spacing w:after="0" w:line="38" w:lineRule="exact"/>
        <w:rPr>
          <w:rFonts w:ascii="Arial" w:cs="Arial" w:eastAsia="Arial" w:hAnsi="Arial"/>
          <w:sz w:val="9"/>
          <w:szCs w:val="9"/>
          <w:color w:val="auto"/>
        </w:rPr>
      </w:pPr>
    </w:p>
    <w:p>
      <w:pPr>
        <w:jc w:val="both"/>
        <w:ind w:left="660" w:hanging="328"/>
        <w:spacing w:after="0" w:line="244" w:lineRule="auto"/>
        <w:tabs>
          <w:tab w:leader="none" w:pos="653" w:val="left"/>
        </w:tabs>
        <w:numPr>
          <w:ilvl w:val="0"/>
          <w:numId w:val="13"/>
        </w:numPr>
        <w:rPr>
          <w:rFonts w:ascii="Arial" w:cs="Arial" w:eastAsia="Arial" w:hAnsi="Arial"/>
          <w:sz w:val="9"/>
          <w:szCs w:val="9"/>
          <w:color w:val="auto"/>
        </w:rPr>
      </w:pPr>
      <w:r>
        <w:rPr>
          <w:rFonts w:ascii="Arial" w:cs="Arial" w:eastAsia="Arial" w:hAnsi="Arial"/>
          <w:sz w:val="14"/>
          <w:szCs w:val="14"/>
          <w:color w:val="auto"/>
        </w:rPr>
        <w:t>Costs incurred during the three and nine months ended September 30, 2021 include incremental manufacturing variances and site remediation activities as a result of the activities at the Company’s Morgantown plant of approximately $18.2 million and $107.3 million, respectively, and at other plants in the 2020 restructuring program of approximately $41.0 million and $103.6 million, respectively. Costs incurred during the three and nine months ended September 30, 2020 include incremental manufacturing variances and site remediation activities as a result of the activities at the Company’s Morgantown plant of approximately $57.8 million and $179.6 million, respectively. In addition, the three and nine months ended September 30, 2020 includes incremental manufacturing variances incurred as a result of the COVID-19 pandemic of approximately $8.0 million and $32.0 million, respectively. Also, the nine months ended September 30, 2020 includes $27.0 million related to a special bonus for plant employees as a result of the COVID-19 pandemic.</w:t>
      </w:r>
    </w:p>
    <w:p>
      <w:pPr>
        <w:spacing w:after="0" w:line="42" w:lineRule="exact"/>
        <w:rPr>
          <w:rFonts w:ascii="Arial" w:cs="Arial" w:eastAsia="Arial" w:hAnsi="Arial"/>
          <w:sz w:val="9"/>
          <w:szCs w:val="9"/>
          <w:color w:val="auto"/>
        </w:rPr>
      </w:pPr>
    </w:p>
    <w:p>
      <w:pPr>
        <w:ind w:left="640" w:hanging="308"/>
        <w:spacing w:after="0"/>
        <w:tabs>
          <w:tab w:leader="none" w:pos="640" w:val="left"/>
        </w:tabs>
        <w:numPr>
          <w:ilvl w:val="0"/>
          <w:numId w:val="13"/>
        </w:numPr>
        <w:rPr>
          <w:rFonts w:ascii="Arial" w:cs="Arial" w:eastAsia="Arial" w:hAnsi="Arial"/>
          <w:sz w:val="9"/>
          <w:szCs w:val="9"/>
          <w:color w:val="auto"/>
        </w:rPr>
      </w:pPr>
      <w:r>
        <w:rPr>
          <w:rFonts w:ascii="Arial" w:cs="Arial" w:eastAsia="Arial" w:hAnsi="Arial"/>
          <w:sz w:val="14"/>
          <w:szCs w:val="14"/>
          <w:color w:val="auto"/>
        </w:rPr>
        <w:t>Adjustments primarily relate to non-refundable payments related to development agreements.</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13"/>
        </w:numPr>
        <w:rPr>
          <w:rFonts w:ascii="Arial" w:cs="Arial" w:eastAsia="Arial" w:hAnsi="Arial"/>
          <w:sz w:val="9"/>
          <w:szCs w:val="9"/>
          <w:color w:val="auto"/>
        </w:rPr>
      </w:pPr>
      <w:r>
        <w:rPr>
          <w:rFonts w:ascii="Arial" w:cs="Arial" w:eastAsia="Arial" w:hAnsi="Arial"/>
          <w:sz w:val="14"/>
          <w:szCs w:val="14"/>
          <w:color w:val="auto"/>
        </w:rPr>
        <w:t>Adjusted for changes for uncertain tax positions and for certain impacts of the Combination.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earnings (loss) to EBITDA and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compared to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earnings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contribution attributable to equity method investments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Income tax (benefit) provision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544.8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46.4</w:t>
            </w:r>
          </w:p>
        </w:tc>
      </w:tr>
      <w:tr>
        <w:trPr>
          <w:trHeight w:val="189"/>
        </w:trPr>
        <w:tc>
          <w:tcPr>
            <w:tcW w:w="6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w:t>
            </w:r>
          </w:p>
        </w:tc>
      </w:tr>
      <w:tr>
        <w:trPr>
          <w:trHeight w:val="189"/>
        </w:trPr>
        <w:tc>
          <w:tcPr>
            <w:tcW w:w="610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3,756.7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1,386.5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1,946.1</w:t>
            </w:r>
          </w:p>
        </w:tc>
      </w:tr>
      <w:tr>
        <w:trPr>
          <w:trHeight w:val="189"/>
        </w:trPr>
        <w:tc>
          <w:tcPr>
            <w:tcW w:w="6100" w:type="dxa"/>
            <w:vAlign w:val="bottom"/>
          </w:tcPr>
          <w:p>
            <w:pPr>
              <w:ind w:left="14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189"/>
        </w:trPr>
        <w:tc>
          <w:tcPr>
            <w:tcW w:w="610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Restructuring, acquisition related and other special items </w:t>
            </w:r>
            <w:r>
              <w:rPr>
                <w:rFonts w:ascii="Arial" w:cs="Arial" w:eastAsia="Arial" w:hAnsi="Arial"/>
                <w:sz w:val="18"/>
                <w:szCs w:val="18"/>
                <w:color w:val="auto"/>
                <w:vertAlign w:val="superscript"/>
              </w:rPr>
              <w:t>(c)</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606.6</w:t>
            </w: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1,698.3</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5,010.3</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2,639.0</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premiums and discounts on long-term debt.</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purchase accounting related amortization.</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See items detailed in the Reconciliation of U.S. GAAP Net Earnings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60" w:type="dxa"/>
            <w:vAlign w:val="bottom"/>
            <w:vMerge w:val="restart"/>
          </w:tcPr>
          <w:p>
            <w:pPr>
              <w:jc w:val="center"/>
              <w:ind w:right="1748"/>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6"/>
        </w:trPr>
        <w:tc>
          <w:tcPr>
            <w:tcW w:w="3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346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nm</w:t>
            </w:r>
          </w:p>
        </w:tc>
        <w:tc>
          <w:tcPr>
            <w:tcW w:w="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566.6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JANZ</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471.0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786.3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jc w:val="center"/>
              <w:ind w:right="1768"/>
              <w:spacing w:after="0"/>
              <w:rPr>
                <w:sz w:val="20"/>
                <w:szCs w:val="20"/>
                <w:color w:val="auto"/>
              </w:rPr>
            </w:pPr>
            <w:r>
              <w:rPr>
                <w:rFonts w:ascii="Arial" w:cs="Arial" w:eastAsia="Arial" w:hAnsi="Arial"/>
                <w:sz w:val="14"/>
                <w:szCs w:val="14"/>
                <w:color w:val="auto"/>
                <w:w w:val="98"/>
              </w:rPr>
              <w:t>Total net sales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3460" w:type="dxa"/>
            <w:vAlign w:val="bottom"/>
          </w:tcPr>
          <w:p>
            <w:pPr>
              <w:ind w:left="220"/>
              <w:spacing w:after="0" w:line="182"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4,536.6</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2,972.1</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4,515.3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60" w:type="dxa"/>
            <w:vAlign w:val="bottom"/>
            <w:vMerge w:val="restart"/>
          </w:tcPr>
          <w:p>
            <w:pPr>
              <w:jc w:val="center"/>
              <w:ind w:right="1748"/>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3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7,867.9</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6,132.3</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9"/>
              </w:rPr>
              <w:t>(226.4)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7,641.4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nm</w:t>
            </w: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1,708.4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JANZ</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805.8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1,453.9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183"/>
        </w:trPr>
        <w:tc>
          <w:tcPr>
            <w:tcW w:w="346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13,482.3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8,232.2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(292.1)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13,190.1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346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13,544.7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8,322.5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13,251.2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3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Currency impact is shown as unfavorable (favorable).</w:t>
      </w:r>
    </w:p>
    <w:p>
      <w:pPr>
        <w:spacing w:after="0" w:line="43"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4" w:lineRule="exact"/>
        <w:rPr>
          <w:rFonts w:ascii="Arial" w:cs="Arial" w:eastAsia="Arial" w:hAnsi="Arial"/>
          <w:sz w:val="19"/>
          <w:szCs w:val="19"/>
          <w:color w:val="auto"/>
          <w:vertAlign w:val="superscript"/>
        </w:rPr>
      </w:pPr>
    </w:p>
    <w:p>
      <w:pPr>
        <w:jc w:val="both"/>
        <w:ind w:left="660" w:hanging="328"/>
        <w:spacing w:after="0" w:line="220" w:lineRule="auto"/>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2021, other revenues in Developed Markets, JANZ, and Emerging Markets were approximately $12.2 million, $0.3 million, and $3.6 million, respectively. For the nine months ended September 30, 2021, other revenues in Developed Markets, JANZ, and Emerging Markets were approximately $46.7 million, $1.3 million, and $14.4 million, respectively.</w:t>
      </w:r>
    </w:p>
    <w:p>
      <w:pPr>
        <w:ind w:left="640" w:hanging="308"/>
        <w:spacing w:after="0" w:line="237" w:lineRule="auto"/>
        <w:tabs>
          <w:tab w:leader="none" w:pos="6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2,962.5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9,515.6</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5,232.2</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(919.9)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(3,344.7)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(1,072.5)</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(11.5)</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(299.3)</w:t>
            </w: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1,813.3</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1,343.0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5,504.3</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3,830.2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5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2,723.3</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1,629.1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8,040.4</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4,492.3</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57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152.1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483.9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400.3</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(0.3)</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189"/>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(45.8)</w:t>
            </w:r>
          </w:p>
        </w:tc>
      </w:tr>
      <w:tr>
        <w:trPr>
          <w:trHeight w:val="20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150.8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455.4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352.3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 as % of 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1,055.0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3,446.3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1,983.2</w:t>
            </w:r>
          </w:p>
        </w:tc>
      </w:tr>
      <w:tr>
        <w:trPr>
          <w:trHeight w:val="189"/>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(206.5)</w:t>
            </w:r>
          </w:p>
        </w:tc>
      </w:tr>
      <w:tr>
        <w:trPr>
          <w:trHeight w:val="189"/>
        </w:trPr>
        <w:tc>
          <w:tcPr>
            <w:tcW w:w="57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(330.1)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(29.0)</w:t>
            </w:r>
          </w:p>
        </w:tc>
      </w:tr>
      <w:tr>
        <w:trPr>
          <w:trHeight w:val="189"/>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w:t>
            </w:r>
          </w:p>
        </w:tc>
      </w:tr>
      <w:tr>
        <w:trPr>
          <w:trHeight w:val="189"/>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w:t>
            </w: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963.1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2,853.0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1,687.7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3,985.5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2,420.0</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(295.5)</w:t>
            </w:r>
          </w:p>
        </w:tc>
      </w:tr>
      <w:tr>
        <w:trPr>
          <w:trHeight w:val="183"/>
        </w:trPr>
        <w:tc>
          <w:tcPr>
            <w:tcW w:w="610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1,113.9</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3,308.4</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2,040.0</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1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1,609.4</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4,732.0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2,452.3</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8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0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151.9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interest expense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165.4</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528.3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1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(income), net</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9"/>
                <w:szCs w:val="9"/>
                <w:color w:val="auto"/>
              </w:rPr>
              <w:t>(c)</w:t>
            </w: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6100" w:type="dxa"/>
            <w:vAlign w:val="bottom"/>
          </w:tcPr>
          <w:p>
            <w:pPr>
              <w:ind w:left="220"/>
              <w:spacing w:after="0"/>
              <w:rPr>
                <w:sz w:val="20"/>
                <w:szCs w:val="20"/>
                <w:color w:val="auto"/>
              </w:rPr>
            </w:pPr>
            <w:r>
              <w:rPr>
                <w:rFonts w:ascii="Arial" w:cs="Arial" w:eastAsia="Arial" w:hAnsi="Arial"/>
                <w:sz w:val="14"/>
                <w:szCs w:val="14"/>
                <w:color w:val="auto"/>
              </w:rPr>
              <w:t>Other items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0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expense</w:t>
            </w: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1,253.6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4,698.1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1,819.6</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1,453.5</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834.0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4,237.6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2,111.9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544.8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366.0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196.8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254.4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741.6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390.7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60" w:hanging="328"/>
        <w:spacing w:after="0" w:line="249" w:lineRule="auto"/>
        <w:tabs>
          <w:tab w:leader="none" w:pos="653" w:val="left"/>
        </w:tabs>
        <w:numPr>
          <w:ilvl w:val="0"/>
          <w:numId w:val="16"/>
        </w:numPr>
        <w:rPr>
          <w:rFonts w:ascii="Arial" w:cs="Arial" w:eastAsia="Arial" w:hAnsi="Arial"/>
          <w:sz w:val="9"/>
          <w:szCs w:val="9"/>
          <w:color w:val="auto"/>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38" w:lineRule="exact"/>
        <w:rPr>
          <w:rFonts w:ascii="Arial" w:cs="Arial" w:eastAsia="Arial" w:hAnsi="Arial"/>
          <w:sz w:val="9"/>
          <w:szCs w:val="9"/>
          <w:color w:val="auto"/>
        </w:rPr>
      </w:pPr>
    </w:p>
    <w:p>
      <w:pPr>
        <w:ind w:left="660" w:hanging="328"/>
        <w:spacing w:after="0" w:line="258" w:lineRule="auto"/>
        <w:tabs>
          <w:tab w:leader="none" w:pos="653" w:val="left"/>
        </w:tabs>
        <w:numPr>
          <w:ilvl w:val="0"/>
          <w:numId w:val="16"/>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31" w:lineRule="exact"/>
        <w:rPr>
          <w:rFonts w:ascii="Arial" w:cs="Arial" w:eastAsia="Arial" w:hAnsi="Arial"/>
          <w:sz w:val="9"/>
          <w:szCs w:val="9"/>
          <w:color w:val="auto"/>
        </w:rPr>
      </w:pPr>
    </w:p>
    <w:p>
      <w:pPr>
        <w:ind w:left="660" w:hanging="328"/>
        <w:spacing w:after="0" w:line="258" w:lineRule="auto"/>
        <w:tabs>
          <w:tab w:leader="none" w:pos="647" w:val="left"/>
        </w:tabs>
        <w:numPr>
          <w:ilvl w:val="0"/>
          <w:numId w:val="16"/>
        </w:numPr>
        <w:rPr>
          <w:rFonts w:ascii="Arial" w:cs="Arial" w:eastAsia="Arial" w:hAnsi="Arial"/>
          <w:sz w:val="9"/>
          <w:szCs w:val="9"/>
          <w:color w:val="auto"/>
        </w:rPr>
      </w:pPr>
      <w:r>
        <w:rPr>
          <w:rFonts w:ascii="Arial" w:cs="Arial" w:eastAsia="Arial" w:hAnsi="Arial"/>
          <w:sz w:val="14"/>
          <w:szCs w:val="14"/>
          <w:color w:val="auto"/>
        </w:rPr>
        <w:t>Adjustment represents exclusion of activity related to Mylan's clean energy investments, the activities of which qualify for income tax credits under section 45 of the U.S.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2021 GAAP Net Cash Provided by Operating Activities to Free Cash Flow</w:t>
      </w:r>
    </w:p>
    <w:p>
      <w:pPr>
        <w:spacing w:after="0" w:line="1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(Unaudited; in millions)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2021 GAAP Net Cash provided by Operating Activities to Free Cash Flow is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$3,100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$(550)</w:t>
            </w:r>
          </w:p>
        </w:tc>
      </w:tr>
      <w:tr>
        <w:trPr>
          <w:trHeight w:val="196"/>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$2,600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3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Combined Adjusted EBITDA - Three and nine months ended September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5"/>
                <w:szCs w:val="15"/>
                <w:color w:val="auto"/>
              </w:rPr>
            </w:pP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8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Upjohn - U.S. GAAP Income before taxes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2,350.2</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color w:val="auto"/>
              </w:rPr>
              <w:t>Upjohn EBITDA</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728.0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2,811.3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adjustments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Upjohn Adjusted EBITDA</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2,806.0</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Mylan Adjusted EBITDA</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2,639.0</w:t>
            </w:r>
          </w:p>
        </w:tc>
        <w:tc>
          <w:tcPr>
            <w:tcW w:w="0" w:type="dxa"/>
            <w:vAlign w:val="bottom"/>
          </w:tcPr>
          <w:p>
            <w:pPr>
              <w:spacing w:after="0"/>
              <w:rPr>
                <w:sz w:val="1"/>
                <w:szCs w:val="1"/>
                <w:color w:val="auto"/>
              </w:rPr>
            </w:pPr>
          </w:p>
        </w:tc>
      </w:tr>
      <w:tr>
        <w:trPr>
          <w:trHeight w:val="20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Combined Adjusted EBITDA</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5,445.0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lvl>
    <w:lvl w:ilvl="1">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2021-11-08T07:29:06Z</dcterms:created>
  <dcterms:modified xsi:type="dcterms:W3CDTF">2021-11-08T07:29:06Z</dcterms:modified>
</cp:coreProperties>
</file>