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300" w:firstLine="39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00" w:hanging="468"/>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25" w:lineRule="exact"/>
        <w:rPr>
          <w:rFonts w:ascii="MS PGothic" w:cs="MS PGothic" w:eastAsia="MS PGothic" w:hAnsi="MS PGothic"/>
          <w:sz w:val="18"/>
          <w:szCs w:val="18"/>
          <w:color w:val="auto"/>
        </w:rPr>
      </w:pPr>
    </w:p>
    <w:p>
      <w:pPr>
        <w:ind w:right="2360" w:firstLine="332"/>
        <w:spacing w:after="0" w:line="498" w:lineRule="auto"/>
        <w:tabs>
          <w:tab w:leader="none" w:pos="7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382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7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Pr>
          <w:p>
            <w:pPr>
              <w:spacing w:after="0"/>
              <w:rPr>
                <w:sz w:val="20"/>
                <w:szCs w:val="20"/>
                <w:color w:val="auto"/>
              </w:rPr>
            </w:pPr>
          </w:p>
        </w:tc>
        <w:tc>
          <w:tcPr>
            <w:tcW w:w="370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VTRS</w:t>
            </w:r>
          </w:p>
        </w:tc>
        <w:tc>
          <w:tcPr>
            <w:tcW w:w="10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79" w:lineRule="exact"/>
        <w:rPr>
          <w:sz w:val="24"/>
          <w:szCs w:val="24"/>
          <w:color w:val="auto"/>
        </w:rPr>
      </w:pPr>
    </w:p>
    <w:p>
      <w:pPr>
        <w:ind w:right="420" w:firstLine="39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left="1140" w:right="1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Appointment</w:t>
      </w:r>
    </w:p>
    <w:p>
      <w:pPr>
        <w:spacing w:after="0" w:line="227" w:lineRule="exact"/>
        <w:rPr>
          <w:sz w:val="20"/>
          <w:szCs w:val="20"/>
          <w:color w:val="auto"/>
        </w:rPr>
      </w:pPr>
    </w:p>
    <w:p>
      <w:pPr>
        <w:ind w:right="140" w:firstLine="396"/>
        <w:spacing w:after="0" w:line="254" w:lineRule="auto"/>
        <w:rPr>
          <w:sz w:val="20"/>
          <w:szCs w:val="20"/>
          <w:color w:val="auto"/>
        </w:rPr>
      </w:pPr>
      <w:r>
        <w:rPr>
          <w:rFonts w:ascii="Times New Roman" w:cs="Times New Roman" w:eastAsia="Times New Roman" w:hAnsi="Times New Roman"/>
          <w:sz w:val="18"/>
          <w:szCs w:val="18"/>
          <w:color w:val="auto"/>
        </w:rPr>
        <w:t>On August 4, 2025, the Board of Directors (the “Board”) of Viatris Inc. (the “Company”) increased the number of directors on the Board from 14 to 15 and appointed David Simmons as an independent (as defined in the applicable NASDAQ listing rules) member of the Board, effective immediately, with a term of office expiring at the Company’s 2025 annual meeting of shareholders (the “2025 Annual Meeting”). The Board anticipates naming Mr. Simmons to serve on one or more committees of the Board, but at the time of this Current Report on Form 8-K, has not determined the committee(s) to which Mr. Simmons will be named. The Company will file an amendment to this Current Report on Form 8-K naming those committees once they are determined. Mr. Simmons will receive compensation for his role as an independent member of the Board consistent with the compensation of the Company’s other non-employee directors as disclosed in the Amendment to Company’s Annual Report on Form 10-K for the fiscal year ended December 31, 2024. The Company has entered into an indemnification agreement with Mr. Simmons, the form of which appears as Exhibit 10.25 to the Company’s Annual Report on Form 10-K for the fiscal year ended December 31, 2020.</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are no arrangements or understandings between Mr. Simmons and any other persons pursuant to which he was selected as a director and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Simmons has no direct or indirect material interest in any transaction requiring disclosure under Item 404(a) of Regulation S-K.</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360" w:firstLine="396"/>
        <w:spacing w:after="0" w:line="282" w:lineRule="auto"/>
        <w:rPr>
          <w:sz w:val="20"/>
          <w:szCs w:val="20"/>
          <w:color w:val="auto"/>
        </w:rPr>
      </w:pPr>
      <w:r>
        <w:rPr>
          <w:rFonts w:ascii="Times New Roman" w:cs="Times New Roman" w:eastAsia="Times New Roman" w:hAnsi="Times New Roman"/>
          <w:sz w:val="18"/>
          <w:szCs w:val="18"/>
          <w:color w:val="auto"/>
        </w:rPr>
        <w:t>On August 5, 2025, the Company issued a press release announcing the appointment of Mr. Simmons to the Board. A copy of the press release is attached hereto as Exhibit 99.1 and is incorporated herein by reference.</w:t>
      </w:r>
    </w:p>
    <w:p>
      <w:pPr>
        <w:spacing w:after="0" w:line="162" w:lineRule="exact"/>
        <w:rPr>
          <w:sz w:val="20"/>
          <w:szCs w:val="20"/>
          <w:color w:val="auto"/>
        </w:rPr>
      </w:pPr>
    </w:p>
    <w:p>
      <w:pPr>
        <w:ind w:firstLine="396"/>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00" w:type="dxa"/>
            <w:vAlign w:val="bottom"/>
          </w:tcPr>
          <w:p>
            <w:pPr>
              <w:spacing w:after="0"/>
              <w:rPr>
                <w:sz w:val="18"/>
                <w:szCs w:val="18"/>
                <w:color w:val="auto"/>
              </w:rPr>
            </w:pPr>
          </w:p>
        </w:tc>
      </w:tr>
      <w:tr>
        <w:trPr>
          <w:trHeight w:val="238"/>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Press release announcing the appointment of Mr. Simmons to the Viatris Board of Directors, dated August 5, 2025.</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3766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6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Viatris Announces Appointment of David Simmons to the Company's Board of Directors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PITTSBURGH – August 5,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VTRS), a global healthcare company, today announced that David Simmons has been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newest member of Viatris’ Board of Directors.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Simmons has deep pharmaceutical industry experience, as well as extensive executive, board, and capital markets expertise. Prior to his current role as CEO of Caliber Holdings Corporation, Simmons served as Operating Partner of Hellman &amp; Friedman, LLC, a leading private equity firm, as well as Chairman and CEO of PPD, Inc., a global contract pharmaceutical research organization. While at PPD, he led the company’s global workforce of more than 30,000 employees across 46 countries in the design and execution of drug development programs on behalf of pharmaceutical industry customers. Under Simmons’ leadership, PPD’s total enterprise value more than tripled, and he saw the company through its 2020 IPO and the subsequent execution of its sale to Thermo Fisher Scientific Inc. for $17.4 billion in 2021.</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He also spent more than 15 years at Pfizer Inc., rising in the ranks to become the first President and General Manager of that company’s Established Products Unit and then adding to his duties as President and General Manager, Emerging Markets and Established Products. During this time, Simmons was responsible for managing approximately 20,000 Pfizer employees and 30% of the company’s global sales.</w:t>
      </w:r>
    </w:p>
    <w:p>
      <w:pPr>
        <w:spacing w:after="0" w:line="17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Simmons currently serves on the board of directors of Cordis, an innovative cardiovascular medical technology company. In addition to serving as Chairman of PPD, Simmons’ previous board service includes tenures at Curia Global, Inc. (Albany Molecular Research Inc. prior to 2021), Launch Therapeutics, Inc., Medline Industries, Inc. and Owens &amp; Minor, Inc. He also currently serves as a senior advisor to Abingworth LLP, a leading life sciences venture capital firm. Simmons earned his bachelor’s degree in applied mathematics and industrial management from Carnegie Mellon University.</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we continue to ensure we have a well-rounded membership with significant executive, industry, and board expertise, we could not be more pleased to welcome David to the Viatris Board,” said Melina Higgins, Chair of Viatris’ Board of Directors. “His Chairman and CEO background, coupled with his knowledge and insights regarding the global pharmaceutical industry, drug development and capital markets make him a natural fit. He is also very familiar with the evolution of Viatris and has direct experience with our established products portfolio from his days overseeing that division while at Pfizer. I expect his appointment to serve our Company, Board and investors well as we work to continue to advance our strategic goals and increase shareholder return.”</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Scott A. Smith, Viatris’ Chief Executive Officer added, “I believe that David will bring significant value to the Viatris Board. As a long-time industry executive with proven global commercial and R&amp;D experience, he possesses the mindset of both a strategist and an executor. I look forward to working with him as the Board and executive management team continue our focus on delivering strong business execution, advancing our pipeline and preparing the Company for the bright future we see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xml:space="preserve">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w:t>
      </w:r>
      <w:r>
        <w:rPr>
          <w:rFonts w:ascii="Times New Roman" w:cs="Times New Roman" w:eastAsia="Times New Roman" w:hAnsi="Times New Roman"/>
          <w:sz w:val="18"/>
          <w:szCs w:val="18"/>
          <w:u w:val="single" w:color="auto"/>
          <w:color w:val="auto"/>
        </w:rPr>
        <w:t>viatris.com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investor.viatris.com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(formerly Twitter).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These statements are made pursuant to the safe harbor provisions of the Private Securities Litigation Reform Act of 1995. Such forward-looking statements may include statements about expecting his appointment to serve our Company, Board and investors well as we work to continue to advance our strategic goals and increase shareholder return; and looking forward to working with him as the Board and executive management team continue our focus on delivering strong business execution, advancing our pipeline and preparing the Company for the bright future we see ahead. Because forward-looking statements inherently involve risks and uncertainties, actual future results may differ materially from those expressed or implied by such forward-looking statements. Factors that could cause or contribute to such differences include, but are not limited to: actions and decisions of healthcare and pharmaceutical regulators; our ability to comply with applicable laws and regulations; changes in healthcare and pharmaceutical laws and regulations in the U.S. and abroad; any regulatory, legal or other impediments to Viatris' ability to bring new products to market; products in development and/or that receive regulatory approval may not achieve expected levels of market acceptance, efficacy or safety; longer review, response and approval times as a result of evolving regulatory priorities and reductions in personnel at health agencies; Viatris' or its partners' ability to develop, manufacture, and commercialize products; the scope, timing and outcome of any ongoing legal proceedings, and the impact of any such proceedings on Viatris; Viatris' failure to achieve expected or targeted future financial and operating performance and results; goodwill or impairment charges or other losses; any changes in or difficulties with the Company’s manufacturing facilities; risks associated with international operations; changes in third-party relationships; the effect of any changes in Viatris' or its partners' customer and supplier relationships and customer purchasing patterns; the impacts of competition; changes in the economic and financial conditions of Viatris or its partners; uncertainties regarding future demand, pricing and reimbursement for the Company’s products; uncertainties and matters beyond the control of management, including but not limited to general political and economic conditions, potential adverse impacts from future tariffs and trade restrictions, inflation rates and global exchange rates;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press release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b w:val="1"/>
                <w:bCs w:val="1"/>
                <w:color w:val="404040"/>
              </w:rPr>
              <w:t>:</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1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+1.724.514.1968</w:t>
            </w: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+1.412.707.2866</w:t>
            </w: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194"/>
        </w:trPr>
        <w:tc>
          <w:tcPr>
            <w:tcW w:w="56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Communications@viatris.com</w:t>
            </w:r>
          </w:p>
        </w:tc>
        <w:tc>
          <w:tcPr>
            <w:tcW w:w="56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InvestorRelations@viatris.com</w:t>
            </w:r>
          </w:p>
        </w:tc>
      </w:tr>
      <w:tr>
        <w:trPr>
          <w:trHeight w:val="434"/>
        </w:trPr>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Jennifer Mauer</w:t>
            </w:r>
          </w:p>
        </w:tc>
        <w:tc>
          <w:tcPr>
            <w:tcW w:w="3420" w:type="dxa"/>
            <w:vAlign w:val="bottom"/>
          </w:tcPr>
          <w:p>
            <w:pPr>
              <w:spacing w:after="0"/>
              <w:rPr>
                <w:sz w:val="24"/>
                <w:szCs w:val="24"/>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Bill Szablewski</w:t>
            </w:r>
          </w:p>
        </w:tc>
        <w:tc>
          <w:tcPr>
            <w:tcW w:w="3380" w:type="dxa"/>
            <w:vAlign w:val="bottom"/>
            <w:gridSpan w:val="2"/>
          </w:tcPr>
          <w:p>
            <w:pPr>
              <w:spacing w:after="0"/>
              <w:rPr>
                <w:sz w:val="24"/>
                <w:szCs w:val="24"/>
                <w:color w:val="auto"/>
              </w:rPr>
            </w:pPr>
          </w:p>
        </w:tc>
      </w:tr>
      <w:tr>
        <w:trPr>
          <w:trHeight w:val="194"/>
        </w:trPr>
        <w:tc>
          <w:tcPr>
            <w:tcW w:w="56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Jennifer.Mauer@viatris.com</w:t>
            </w:r>
          </w:p>
        </w:tc>
        <w:tc>
          <w:tcPr>
            <w:tcW w:w="56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William.Szablewski@viatris.com</w:t>
            </w:r>
          </w:p>
        </w:tc>
      </w:tr>
      <w:tr>
        <w:trPr>
          <w:trHeight w:val="434"/>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 Klein</w:t>
            </w:r>
          </w:p>
        </w:tc>
        <w:tc>
          <w:tcPr>
            <w:tcW w:w="3560" w:type="dxa"/>
            <w:vAlign w:val="bottom"/>
            <w:gridSpan w:val="2"/>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r>
      <w:tr>
        <w:trPr>
          <w:trHeight w:val="194"/>
        </w:trPr>
        <w:tc>
          <w:tcPr>
            <w:tcW w:w="56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Matthew.Klein@viatris.com</w:t>
            </w: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554"/>
        </w:trPr>
        <w:tc>
          <w:tcPr>
            <w:tcW w:w="20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2025-08-05T06:35:10Z</dcterms:created>
  <dcterms:modified xsi:type="dcterms:W3CDTF">2025-08-05T06:35:10Z</dcterms:modified>
</cp:coreProperties>
</file>