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Mistras Theodora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 MYLAN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CANONSBURG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15317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Viatris Inc</w:t>
              </w:r>
            </w:hyperlink>
            <w:r>
              <w:rPr/>
              <w:t xml:space="preserve"> [ </w:t>
            </w:r>
            <w:r>
              <w:rPr>
                <w:rFonts w:ascii="Times;serif" w:hAnsi="Times;serif"/>
                <w:color w:val="0000FF"/>
                <w:sz w:val="24"/>
                <w:shd w:fill="FFFFFF" w:val="clear"/>
              </w:rPr>
              <w:t>VTRS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23,085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48,265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13,395</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34,870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2,175</w:t>
            </w:r>
            <w:r>
              <w:rPr>
                <w:rFonts w:ascii="Times;serif" w:hAnsi="Times;serif"/>
                <w:color w:val="008000"/>
                <w:position w:val="7"/>
                <w:sz w:val="16"/>
                <w:sz w:val="20"/>
                <w:shd w:fill="FFFFFF" w:val="clear"/>
              </w:rPr>
              <w:t>(2)</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37,045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1,203</w:t>
            </w:r>
            <w:r>
              <w:rPr>
                <w:rFonts w:ascii="Times;serif" w:hAnsi="Times;serif"/>
                <w:color w:val="008000"/>
                <w:position w:val="7"/>
                <w:sz w:val="16"/>
                <w:sz w:val="20"/>
                <w:shd w:fill="FFFFFF" w:val="clear"/>
              </w:rPr>
              <w:t>(3)</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12.45</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35,842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10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276"/>
        <w:gridCol w:w="1131"/>
        <w:gridCol w:w="906"/>
        <w:gridCol w:w="801"/>
        <w:gridCol w:w="891"/>
        <w:gridCol w:w="1221"/>
        <w:gridCol w:w="801"/>
        <w:gridCol w:w="936"/>
        <w:gridCol w:w="831"/>
        <w:gridCol w:w="846"/>
      </w:tblGrid>
      <w:tr>
        <w:trPr>
          <w:tblHeader w:val="true"/>
        </w:trPr>
        <w:tc>
          <w:tcPr>
            <w:tcW w:w="131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1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23,085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23,085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2,174.5965</w:t>
            </w:r>
            <w:r>
              <w:rPr>
                <w:rFonts w:ascii="Times;serif" w:hAnsi="Times;serif"/>
                <w:color w:val="008000"/>
                <w:position w:val="7"/>
                <w:sz w:val="16"/>
                <w:sz w:val="20"/>
                <w:shd w:fill="FFFFFF" w:val="clear"/>
              </w:rPr>
              <w:t>(5)</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2,174.5965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(5)</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withholding of shares of common stock for the tax liability associated with the vesting and settlement of a portion of the restricted stock units (RSUs) granted on January 1,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Fractional shares have been rounded up in connection with the settlement described in footnote 6 pursuant to the terms of the RSU award agreement under the Viatris Inc. 2020 Stock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withholding of shares of common stock for the tax liability associated with the vesting and settlement of a portion of the dividend equivalent units (DEUs) that accrued with respect to the RSUs previously granted on January 1,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RSU represents the right to receive one share of common stock of Viatris Inc. 23,084 of the RSUs granted on January 1, 2024 vested on January 1, 2025 and 23,085 vested on January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Amount represents DEUs that accrued with respect to such RSUs in transactions exempt from Section 16 under Rule 16a-11.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DEUs that accrued with respect to the RSUs previously granted on January 1, 2024 and vest on the same schedule as the underlying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Macikowski,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3495" TargetMode="External"/><Relationship Id="rId5" Type="http://schemas.openxmlformats.org/officeDocument/2006/relationships/hyperlink" Target="http://www.sec.gov/cgi-bin/browse-edgar?action=getcompany&amp;CIK=00017920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805</Words>
  <Characters>4245</Characters>
  <CharactersWithSpaces>4953</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