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Madden Margaret M.</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08/06/2020</w:t>
            </w:r>
          </w:p>
        </w:tc>
        <w:tc>
          <w:tcPr>
            <w:tcW w:w="0" w:type="dxa"/>
            <w:vAlign w:val="bottom"/>
          </w:tcPr>
          <w:p>
            <w:pPr>
              <w:spacing w:after="0"/>
              <w:rPr>
                <w:sz w:val="1"/>
                <w:szCs w:val="1"/>
                <w:color w:val="auto"/>
              </w:rPr>
            </w:pPr>
          </w:p>
        </w:tc>
      </w:tr>
    </w:tbl>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40"/>
              <w:spacing w:after="0"/>
              <w:rPr>
                <w:sz w:val="20"/>
                <w:szCs w:val="20"/>
                <w:color w:val="auto"/>
              </w:rPr>
            </w:pPr>
            <w:r>
              <w:rPr>
                <w:rFonts w:ascii="Arial" w:cs="Arial" w:eastAsia="Arial" w:hAnsi="Arial"/>
                <w:sz w:val="15"/>
                <w:szCs w:val="15"/>
                <w:color w:val="auto"/>
              </w:rPr>
              <w:t>(First)</w:t>
            </w:r>
          </w:p>
        </w:tc>
        <w:tc>
          <w:tcPr>
            <w:tcW w:w="1260" w:type="dxa"/>
            <w:vAlign w:val="bottom"/>
          </w:tcPr>
          <w:p>
            <w:pPr>
              <w:ind w:left="26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4"/>
        </w:trPr>
        <w:tc>
          <w:tcPr>
            <w:tcW w:w="1840" w:type="dxa"/>
            <w:vAlign w:val="bottom"/>
            <w:gridSpan w:val="2"/>
          </w:tcPr>
          <w:p>
            <w:pPr>
              <w:ind w:left="40"/>
              <w:spacing w:after="0"/>
              <w:rPr>
                <w:sz w:val="20"/>
                <w:szCs w:val="20"/>
                <w:color w:val="auto"/>
              </w:rPr>
            </w:pPr>
            <w:r>
              <w:rPr>
                <w:rFonts w:ascii="Arial" w:cs="Arial" w:eastAsia="Arial" w:hAnsi="Arial"/>
                <w:sz w:val="20"/>
                <w:szCs w:val="20"/>
                <w:color w:val="0000FF"/>
              </w:rPr>
              <w:t>C/O UPJOHN INC.</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235 EAST 42ND STREET</w:t>
            </w:r>
          </w:p>
        </w:tc>
        <w:tc>
          <w:tcPr>
            <w:tcW w:w="0" w:type="dxa"/>
            <w:vAlign w:val="bottom"/>
          </w:tcPr>
          <w:p>
            <w:pPr>
              <w:spacing w:after="0"/>
              <w:rPr>
                <w:sz w:val="1"/>
                <w:szCs w:val="1"/>
                <w:color w:val="auto"/>
              </w:rPr>
            </w:pPr>
          </w:p>
        </w:tc>
      </w:tr>
      <w:tr>
        <w:trPr>
          <w:trHeight w:val="177"/>
        </w:trPr>
        <w:tc>
          <w:tcPr>
            <w:tcW w:w="82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20" w:type="dxa"/>
            <w:vAlign w:val="bottom"/>
          </w:tcPr>
          <w:p>
            <w:pPr>
              <w:ind w:left="40"/>
              <w:spacing w:after="0"/>
              <w:rPr>
                <w:sz w:val="20"/>
                <w:szCs w:val="20"/>
                <w:color w:val="auto"/>
              </w:rPr>
            </w:pPr>
            <w:r>
              <w:rPr>
                <w:rFonts w:ascii="Arial" w:cs="Arial" w:eastAsia="Arial" w:hAnsi="Arial"/>
                <w:sz w:val="20"/>
                <w:szCs w:val="20"/>
                <w:color w:val="0000FF"/>
              </w:rPr>
              <w:t>NEW</w:t>
            </w:r>
          </w:p>
        </w:tc>
        <w:tc>
          <w:tcPr>
            <w:tcW w:w="1020" w:type="dxa"/>
            <w:vAlign w:val="bottom"/>
            <w:vMerge w:val="restart"/>
          </w:tcPr>
          <w:p>
            <w:pPr>
              <w:ind w:left="240"/>
              <w:spacing w:after="0"/>
              <w:rPr>
                <w:sz w:val="20"/>
                <w:szCs w:val="20"/>
                <w:color w:val="auto"/>
              </w:rPr>
            </w:pPr>
            <w:r>
              <w:rPr>
                <w:rFonts w:ascii="Arial" w:cs="Arial" w:eastAsia="Arial" w:hAnsi="Arial"/>
                <w:sz w:val="20"/>
                <w:szCs w:val="20"/>
                <w:color w:val="0000FF"/>
              </w:rPr>
              <w:t>NY</w:t>
            </w:r>
          </w:p>
        </w:tc>
        <w:tc>
          <w:tcPr>
            <w:tcW w:w="1260" w:type="dxa"/>
            <w:vAlign w:val="bottom"/>
            <w:vMerge w:val="restart"/>
          </w:tcPr>
          <w:p>
            <w:pPr>
              <w:ind w:left="260"/>
              <w:spacing w:after="0"/>
              <w:rPr>
                <w:sz w:val="20"/>
                <w:szCs w:val="20"/>
                <w:color w:val="auto"/>
              </w:rPr>
            </w:pPr>
            <w:r>
              <w:rPr>
                <w:rFonts w:ascii="Arial" w:cs="Arial" w:eastAsia="Arial" w:hAnsi="Arial"/>
                <w:sz w:val="20"/>
                <w:szCs w:val="20"/>
                <w:color w:val="0000FF"/>
              </w:rPr>
              <w:t>10017</w:t>
            </w:r>
          </w:p>
        </w:tc>
        <w:tc>
          <w:tcPr>
            <w:tcW w:w="0" w:type="dxa"/>
            <w:vAlign w:val="bottom"/>
          </w:tcPr>
          <w:p>
            <w:pPr>
              <w:spacing w:after="0"/>
              <w:rPr>
                <w:sz w:val="1"/>
                <w:szCs w:val="1"/>
                <w:color w:val="auto"/>
              </w:rPr>
            </w:pPr>
          </w:p>
        </w:tc>
      </w:tr>
      <w:tr>
        <w:trPr>
          <w:trHeight w:val="128"/>
        </w:trPr>
        <w:tc>
          <w:tcPr>
            <w:tcW w:w="820" w:type="dxa"/>
            <w:vAlign w:val="bottom"/>
            <w:vMerge w:val="restart"/>
          </w:tcPr>
          <w:p>
            <w:pPr>
              <w:ind w:left="40"/>
              <w:spacing w:after="0"/>
              <w:rPr>
                <w:sz w:val="20"/>
                <w:szCs w:val="20"/>
                <w:color w:val="auto"/>
              </w:rPr>
            </w:pPr>
            <w:r>
              <w:rPr>
                <w:rFonts w:ascii="Arial" w:cs="Arial" w:eastAsia="Arial" w:hAnsi="Arial"/>
                <w:sz w:val="20"/>
                <w:szCs w:val="20"/>
                <w:color w:val="0000FF"/>
              </w:rPr>
              <w:t>YORK</w:t>
            </w:r>
          </w:p>
        </w:tc>
        <w:tc>
          <w:tcPr>
            <w:tcW w:w="102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Upjohn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VTRS</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4100" w:type="dxa"/>
            <w:vAlign w:val="bottom"/>
            <w:gridSpan w:val="3"/>
          </w:tcPr>
          <w:p>
            <w:pPr>
              <w:ind w:left="80"/>
              <w:spacing w:after="0"/>
              <w:rPr>
                <w:sz w:val="20"/>
                <w:szCs w:val="20"/>
                <w:color w:val="auto"/>
              </w:rPr>
            </w:pPr>
            <w:r>
              <w:rPr>
                <w:rFonts w:ascii="Arial" w:cs="Arial" w:eastAsia="Arial" w:hAnsi="Arial"/>
                <w:sz w:val="20"/>
                <w:szCs w:val="20"/>
                <w:color w:val="0000FF"/>
              </w:rPr>
              <w:t>Common Stock, par value $0.01 per share</w:t>
            </w:r>
          </w:p>
        </w:tc>
        <w:tc>
          <w:tcPr>
            <w:tcW w:w="900" w:type="dxa"/>
            <w:vAlign w:val="bottom"/>
          </w:tcPr>
          <w:p>
            <w:pPr>
              <w:spacing w:after="0"/>
              <w:rPr>
                <w:sz w:val="21"/>
                <w:szCs w:val="21"/>
                <w:color w:val="auto"/>
              </w:rPr>
            </w:pPr>
          </w:p>
        </w:tc>
        <w:tc>
          <w:tcPr>
            <w:tcW w:w="1380" w:type="dxa"/>
            <w:vAlign w:val="bottom"/>
          </w:tcPr>
          <w:p>
            <w:pPr>
              <w:ind w:left="800"/>
              <w:spacing w:after="0"/>
              <w:rPr>
                <w:sz w:val="20"/>
                <w:szCs w:val="20"/>
                <w:color w:val="auto"/>
              </w:rPr>
            </w:pPr>
            <w:r>
              <w:rPr>
                <w:rFonts w:ascii="Arial" w:cs="Arial" w:eastAsia="Arial" w:hAnsi="Arial"/>
                <w:sz w:val="20"/>
                <w:szCs w:val="20"/>
                <w:color w:val="0000FF"/>
              </w:rPr>
              <w:t>0</w:t>
            </w:r>
          </w:p>
        </w:tc>
        <w:tc>
          <w:tcPr>
            <w:tcW w:w="1180" w:type="dxa"/>
            <w:vAlign w:val="bottom"/>
            <w:gridSpan w:val="2"/>
          </w:tcPr>
          <w:p>
            <w:pPr>
              <w:ind w:left="1020"/>
              <w:spacing w:after="0"/>
              <w:rPr>
                <w:sz w:val="20"/>
                <w:szCs w:val="20"/>
                <w:color w:val="auto"/>
              </w:rPr>
            </w:pPr>
            <w:r>
              <w:rPr>
                <w:rFonts w:ascii="Arial" w:cs="Arial" w:eastAsia="Arial" w:hAnsi="Arial"/>
                <w:sz w:val="20"/>
                <w:szCs w:val="20"/>
                <w:color w:val="0000FF"/>
                <w:w w:val="96"/>
              </w:rPr>
              <w:t>D</w:t>
            </w:r>
          </w:p>
        </w:tc>
        <w:tc>
          <w:tcPr>
            <w:tcW w:w="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18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80" w:type="dxa"/>
            <w:vAlign w:val="bottom"/>
            <w:gridSpan w:val="2"/>
          </w:tcPr>
          <w:p>
            <w:pPr>
              <w:ind w:left="4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-1380490</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8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right="120"/>
        <w:spacing w:after="0" w:line="241" w:lineRule="auto"/>
        <w:rPr>
          <w:sz w:val="20"/>
          <w:szCs w:val="20"/>
          <w:color w:val="auto"/>
        </w:rPr>
      </w:pPr>
      <w:r>
        <w:rPr>
          <w:rFonts w:ascii="Arial" w:cs="Arial" w:eastAsia="Arial" w:hAnsi="Arial"/>
          <w:sz w:val="15"/>
          <w:szCs w:val="15"/>
          <w:color w:val="008000"/>
        </w:rPr>
        <w:t>No securities are beneficially owned. On August 6, 2020, Pfizer Inc. ("Pfizer") made available to its shareholders an information statement with respect to the distribution of shares of common stock of Upjohn Inc. ("Upjohn") to Pfizer stockholders. Upjohn previously filed with the U.S. Securities and Exchange Commission a preliminary version of the information statement as part of a registration statement on Form 10 which became effective on June 30, 2020.</w:t>
      </w:r>
    </w:p>
    <w:p>
      <w:pPr>
        <w:spacing w:after="0" w:line="4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0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0000FF"/>
                <w:w w:val="85"/>
              </w:rPr>
              <w:t>/s/ Susan E. Grant, by</w:t>
            </w: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400" w:type="dxa"/>
            <w:vAlign w:val="bottom"/>
            <w:tcBorders>
              <w:bottom w:val="single" w:sz="8" w:color="auto"/>
            </w:tcBorders>
          </w:tcPr>
          <w:p>
            <w:pPr>
              <w:spacing w:after="0" w:line="220" w:lineRule="exact"/>
              <w:rPr>
                <w:sz w:val="20"/>
                <w:szCs w:val="20"/>
                <w:color w:val="auto"/>
              </w:rPr>
            </w:pPr>
            <w:r>
              <w:rPr>
                <w:rFonts w:ascii="Arial" w:cs="Arial" w:eastAsia="Arial" w:hAnsi="Arial"/>
                <w:sz w:val="20"/>
                <w:szCs w:val="20"/>
                <w:color w:val="0000FF"/>
                <w:w w:val="89"/>
              </w:rPr>
              <w:t>power of atty., for</w:t>
            </w:r>
          </w:p>
        </w:tc>
        <w:tc>
          <w:tcPr>
            <w:tcW w:w="780" w:type="dxa"/>
            <w:vAlign w:val="bottom"/>
            <w:gridSpan w:val="3"/>
          </w:tcPr>
          <w:p>
            <w:pPr>
              <w:spacing w:after="0"/>
              <w:rPr>
                <w:sz w:val="19"/>
                <w:szCs w:val="19"/>
                <w:color w:val="auto"/>
              </w:rPr>
            </w:pPr>
          </w:p>
        </w:tc>
        <w:tc>
          <w:tcPr>
            <w:tcW w:w="900" w:type="dxa"/>
            <w:vAlign w:val="bottom"/>
            <w:tcBorders>
              <w:bottom w:val="single" w:sz="8" w:color="auto"/>
            </w:tcBorders>
          </w:tcPr>
          <w:p>
            <w:pPr>
              <w:spacing w:after="0" w:line="220" w:lineRule="exact"/>
              <w:rPr>
                <w:sz w:val="20"/>
                <w:szCs w:val="20"/>
                <w:color w:val="auto"/>
              </w:rPr>
            </w:pPr>
            <w:r>
              <w:rPr>
                <w:rFonts w:ascii="Arial" w:cs="Arial" w:eastAsia="Arial" w:hAnsi="Arial"/>
                <w:sz w:val="20"/>
                <w:szCs w:val="20"/>
                <w:color w:val="0000FF"/>
                <w:w w:val="87"/>
              </w:rPr>
              <w:t>08/06/2020</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Arial" w:cs="Arial" w:eastAsia="Arial" w:hAnsi="Arial"/>
                <w:sz w:val="20"/>
                <w:szCs w:val="20"/>
                <w:color w:val="0000FF"/>
              </w:rPr>
              <w:t>Margaret M. Madden</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1660" w:type="dxa"/>
            <w:vAlign w:val="bottom"/>
            <w:tcBorders>
              <w:top w:val="single" w:sz="8" w:color="auto"/>
            </w:tcBorders>
            <w:gridSpan w:val="2"/>
          </w:tcPr>
          <w:p>
            <w:pPr>
              <w:spacing w:after="0"/>
              <w:rPr>
                <w:sz w:val="20"/>
                <w:szCs w:val="20"/>
                <w:color w:val="auto"/>
              </w:rPr>
            </w:pPr>
            <w:r>
              <w:rPr>
                <w:rFonts w:ascii="Arial" w:cs="Arial" w:eastAsia="Arial" w:hAnsi="Arial"/>
                <w:sz w:val="15"/>
                <w:szCs w:val="15"/>
                <w:color w:val="auto"/>
                <w:w w:val="98"/>
              </w:rPr>
              <w:t>** Signature of Reporting</w:t>
            </w:r>
          </w:p>
        </w:tc>
        <w:tc>
          <w:tcPr>
            <w:tcW w:w="520" w:type="dxa"/>
            <w:vAlign w:val="bottom"/>
            <w:gridSpan w:val="2"/>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ind w:right="739"/>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The undersigned hereby constitutes and appoints each of Tara J. Gabbai, Susan E. Grant, Lori P. Hernando, Madelyn D. Purcell and Shehzad Siddiqui as the undersigned's true and lawful attorney-in-fact and agent, and grants each of them full power to act on behalf of the undersigned and in the undersigned's name, place and stead, in any and all capacities, for the purpose of completing and signing, on behalf of the undersigned,</w:t>
      </w:r>
    </w:p>
    <w:p>
      <w:pPr>
        <w:spacing w:after="0" w:line="233" w:lineRule="exact"/>
        <w:rPr>
          <w:sz w:val="20"/>
          <w:szCs w:val="20"/>
          <w:color w:val="auto"/>
        </w:rPr>
      </w:pPr>
    </w:p>
    <w:p>
      <w:pPr>
        <w:ind w:left="940" w:right="959" w:hanging="472"/>
        <w:spacing w:after="0" w:line="236" w:lineRule="auto"/>
        <w:tabs>
          <w:tab w:leader="none" w:pos="940"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any Form 3, Form 4 or Form 5 required or permitted to be filed by the undersigned pursuant to Section 16 of the Securities Exchange Act of 1934, as amended (the "Exchange Act"), and</w:t>
      </w:r>
    </w:p>
    <w:p>
      <w:pPr>
        <w:spacing w:after="0" w:line="232" w:lineRule="exact"/>
        <w:rPr>
          <w:rFonts w:ascii="Courier New" w:cs="Courier New" w:eastAsia="Courier New" w:hAnsi="Courier New"/>
          <w:sz w:val="20"/>
          <w:szCs w:val="20"/>
          <w:color w:val="auto"/>
        </w:rPr>
      </w:pPr>
    </w:p>
    <w:p>
      <w:pPr>
        <w:ind w:left="940" w:right="959" w:hanging="472"/>
        <w:spacing w:after="0" w:line="236" w:lineRule="auto"/>
        <w:tabs>
          <w:tab w:leader="none" w:pos="940"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any and all other documents, including, without limitation, Form ID, necessary or desirable to facilitate the filing by the undersigned of forms under Section 16 of the Exchange Act,</w:t>
      </w:r>
    </w:p>
    <w:p>
      <w:pPr>
        <w:spacing w:after="0" w:line="232" w:lineRule="exact"/>
        <w:rPr>
          <w:sz w:val="20"/>
          <w:szCs w:val="20"/>
          <w:color w:val="auto"/>
        </w:rPr>
      </w:pPr>
    </w:p>
    <w:p>
      <w:pPr>
        <w:ind w:right="739"/>
        <w:spacing w:after="0" w:line="237" w:lineRule="auto"/>
        <w:rPr>
          <w:sz w:val="20"/>
          <w:szCs w:val="20"/>
          <w:color w:val="auto"/>
        </w:rPr>
      </w:pPr>
      <w:r>
        <w:rPr>
          <w:rFonts w:ascii="Courier New" w:cs="Courier New" w:eastAsia="Courier New" w:hAnsi="Courier New"/>
          <w:sz w:val="20"/>
          <w:szCs w:val="20"/>
          <w:color w:val="auto"/>
        </w:rPr>
        <w:t>with regard to the undersigned's ownership of or transactions in securities of Upjohn Inc., including, without limitation, the power to complete and sign any and all amendments to such forms and documents, if any, and to file such forms and documents and amendments thereto with the Securities and Exchange Commission, and to do and perform each and every act and thing requisite or necessary to be done in connection with such forms and documents and amendments thereto, as fully and to all intents and purposes as the undersigned might or could do in person.</w:t>
      </w:r>
    </w:p>
    <w:p>
      <w:pPr>
        <w:spacing w:after="0" w:line="236" w:lineRule="exact"/>
        <w:rPr>
          <w:sz w:val="20"/>
          <w:szCs w:val="20"/>
          <w:color w:val="auto"/>
        </w:rPr>
      </w:pPr>
    </w:p>
    <w:p>
      <w:pPr>
        <w:ind w:right="619"/>
        <w:spacing w:after="0" w:line="267" w:lineRule="auto"/>
        <w:rPr>
          <w:sz w:val="20"/>
          <w:szCs w:val="20"/>
          <w:color w:val="auto"/>
        </w:rPr>
      </w:pPr>
      <w:r>
        <w:rPr>
          <w:rFonts w:ascii="Courier New" w:cs="Courier New" w:eastAsia="Courier New" w:hAnsi="Courier New"/>
          <w:sz w:val="18"/>
          <w:szCs w:val="18"/>
          <w:color w:val="auto"/>
        </w:rPr>
        <w:t>The authority of Tara J. Gabbai, Susan E. Grant, Lori P. Hernando, Madelyn D. Purcell and Shehzad Siddiqui under this Power of Attorney shall continue until the undersigned is no longer required to file Form 3, Form 4 or Form 5 with regard to the undersigned's ownership of or transactions in securities of Upjohn Inc., unless earlier revoked in writing. The undersigned acknowledges that Tara J. Gabbai, Susan E. Grant, Lori P. Hernando, Margaret M. Madden, Madelyn D. Purcell and Shehzad Siddiqui are not assuming any of the undersigned's responsibilities to comply with Section 16 of the Exchange Act.</w:t>
      </w: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Courier New" w:cs="Courier New" w:eastAsia="Courier New" w:hAnsi="Courier New"/>
          <w:sz w:val="20"/>
          <w:szCs w:val="20"/>
          <w:color w:val="auto"/>
        </w:rPr>
        <w:t>/s/ Margaret M. Madden</w:t>
      </w:r>
    </w:p>
    <w:p>
      <w:pPr>
        <w:spacing w:after="0" w:line="238" w:lineRule="auto"/>
        <w:rPr>
          <w:sz w:val="20"/>
          <w:szCs w:val="20"/>
          <w:color w:val="auto"/>
        </w:rPr>
      </w:pPr>
      <w:r>
        <w:rPr>
          <w:rFonts w:ascii="Courier New" w:cs="Courier New" w:eastAsia="Courier New" w:hAnsi="Courier New"/>
          <w:sz w:val="20"/>
          <w:szCs w:val="20"/>
          <w:color w:val="auto"/>
        </w:rPr>
        <w:t>----------------------------------</w:t>
      </w:r>
    </w:p>
    <w:p>
      <w:pPr>
        <w:spacing w:after="0" w:line="238" w:lineRule="auto"/>
        <w:rPr>
          <w:sz w:val="20"/>
          <w:szCs w:val="20"/>
          <w:color w:val="auto"/>
        </w:rPr>
      </w:pPr>
      <w:r>
        <w:rPr>
          <w:rFonts w:ascii="Courier New" w:cs="Courier New" w:eastAsia="Courier New" w:hAnsi="Courier New"/>
          <w:sz w:val="20"/>
          <w:szCs w:val="20"/>
          <w:color w:val="auto"/>
        </w:rPr>
        <w:t>Margaret M. Madden</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20586" TargetMode="External"/><Relationship Id="rId11"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2020-08-06T19:10:09Z</dcterms:created>
  <dcterms:modified xsi:type="dcterms:W3CDTF">2020-08-06T19:10:09Z</dcterms:modified>
</cp:coreProperties>
</file>