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168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16890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DAMELIO FRANK A</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p>
      <w:pPr>
        <w:spacing w:after="0" w:line="225"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5"/>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60" w:space="140"/>
            <w:col w:w="718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jc w:val="center"/>
              <w:ind w:left="595"/>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0000FF"/>
              </w:rPr>
              <w:t>03/06/2026</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25,112</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25,112</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80"/>
              <w:spacing w:after="0"/>
              <w:rPr>
                <w:sz w:val="20"/>
                <w:szCs w:val="20"/>
                <w:color w:val="auto"/>
              </w:rPr>
            </w:pPr>
            <w:r>
              <w:rPr>
                <w:rFonts w:ascii="Times New Roman" w:cs="Times New Roman" w:eastAsia="Times New Roman" w:hAnsi="Times New Roman"/>
                <w:sz w:val="16"/>
                <w:szCs w:val="16"/>
                <w:color w:val="0000FF"/>
              </w:rPr>
              <w:t>03/06/2026</w:t>
            </w:r>
          </w:p>
        </w:tc>
        <w:tc>
          <w:tcPr>
            <w:tcW w:w="4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919</w:t>
            </w:r>
            <w:r>
              <w:rPr>
                <w:rFonts w:ascii="Times New Roman" w:cs="Times New Roman" w:eastAsia="Times New Roman" w:hAnsi="Times New Roman"/>
                <w:sz w:val="20"/>
                <w:szCs w:val="20"/>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26,031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81"/>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81"/>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25,112</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03/06/2026</w:t>
            </w:r>
          </w:p>
        </w:tc>
        <w:tc>
          <w:tcPr>
            <w:tcW w:w="1060" w:type="dxa"/>
            <w:vAlign w:val="bottom"/>
          </w:tcPr>
          <w:p>
            <w:pPr>
              <w:spacing w:after="0"/>
              <w:rPr>
                <w:sz w:val="5"/>
                <w:szCs w:val="5"/>
                <w:color w:val="auto"/>
              </w:rPr>
            </w:pPr>
          </w:p>
        </w:tc>
        <w:tc>
          <w:tcPr>
            <w:tcW w:w="800" w:type="dxa"/>
            <w:vAlign w:val="bottom"/>
            <w:vMerge w:val="restart"/>
          </w:tcPr>
          <w:p>
            <w:pPr>
              <w:jc w:val="center"/>
              <w:ind w:right="321"/>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5"/>
                <w:szCs w:val="5"/>
                <w:color w:val="auto"/>
              </w:rPr>
            </w:pPr>
          </w:p>
        </w:tc>
        <w:tc>
          <w:tcPr>
            <w:tcW w:w="580" w:type="dxa"/>
            <w:vAlign w:val="bottom"/>
            <w:vMerge w:val="restart"/>
          </w:tcPr>
          <w:p>
            <w:pPr>
              <w:jc w:val="right"/>
              <w:ind w:right="79"/>
              <w:spacing w:after="0" w:line="138" w:lineRule="exact"/>
              <w:rPr>
                <w:sz w:val="20"/>
                <w:szCs w:val="20"/>
                <w:color w:val="auto"/>
              </w:rPr>
            </w:pPr>
            <w:r>
              <w:rPr>
                <w:rFonts w:ascii="Times New Roman" w:cs="Times New Roman" w:eastAsia="Times New Roman" w:hAnsi="Times New Roman"/>
                <w:sz w:val="13"/>
                <w:szCs w:val="13"/>
                <w:color w:val="0000FF"/>
              </w:rPr>
              <w:t>25,112</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918.455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03/06/2026</w:t>
            </w:r>
          </w:p>
        </w:tc>
        <w:tc>
          <w:tcPr>
            <w:tcW w:w="1060" w:type="dxa"/>
            <w:vAlign w:val="bottom"/>
          </w:tcPr>
          <w:p>
            <w:pPr>
              <w:spacing w:after="0"/>
              <w:rPr>
                <w:sz w:val="10"/>
                <w:szCs w:val="10"/>
                <w:color w:val="auto"/>
              </w:rPr>
            </w:pPr>
          </w:p>
        </w:tc>
        <w:tc>
          <w:tcPr>
            <w:tcW w:w="800" w:type="dxa"/>
            <w:vAlign w:val="bottom"/>
          </w:tcPr>
          <w:p>
            <w:pPr>
              <w:jc w:val="center"/>
              <w:ind w:right="321"/>
              <w:spacing w:after="0" w:line="126"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0"/>
                <w:szCs w:val="10"/>
                <w:color w:val="auto"/>
              </w:rPr>
            </w:pPr>
          </w:p>
        </w:tc>
        <w:tc>
          <w:tcPr>
            <w:tcW w:w="580" w:type="dxa"/>
            <w:vAlign w:val="bottom"/>
          </w:tcPr>
          <w:p>
            <w:pPr>
              <w:jc w:val="right"/>
              <w:ind w:right="39"/>
              <w:spacing w:after="0" w:line="126" w:lineRule="exact"/>
              <w:rPr>
                <w:sz w:val="20"/>
                <w:szCs w:val="20"/>
                <w:color w:val="auto"/>
              </w:rPr>
            </w:pPr>
            <w:r>
              <w:rPr>
                <w:rFonts w:ascii="Times New Roman" w:cs="Times New Roman" w:eastAsia="Times New Roman" w:hAnsi="Times New Roman"/>
                <w:sz w:val="13"/>
                <w:szCs w:val="13"/>
                <w:color w:val="0000FF"/>
              </w:rPr>
              <w:t>918.455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61"/>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2"/>
              <w:spacing w:after="0" w:line="126"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0"/>
                <w:szCs w:val="10"/>
                <w:color w:val="auto"/>
              </w:rPr>
            </w:pP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15,890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03/06/2026</w:t>
            </w:r>
          </w:p>
        </w:tc>
        <w:tc>
          <w:tcPr>
            <w:tcW w:w="1060" w:type="dxa"/>
            <w:vAlign w:val="bottom"/>
          </w:tcPr>
          <w:p>
            <w:pPr>
              <w:spacing w:after="0"/>
              <w:rPr>
                <w:sz w:val="5"/>
                <w:szCs w:val="5"/>
                <w:color w:val="auto"/>
              </w:rPr>
            </w:pPr>
          </w:p>
        </w:tc>
        <w:tc>
          <w:tcPr>
            <w:tcW w:w="800" w:type="dxa"/>
            <w:vAlign w:val="bottom"/>
            <w:vMerge w:val="restart"/>
          </w:tcPr>
          <w:p>
            <w:pPr>
              <w:jc w:val="center"/>
              <w:ind w:right="32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15,890</w:t>
            </w: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15,890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-2317750</wp:posOffset>
            </wp:positionV>
            <wp:extent cx="28575" cy="2322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228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6, 2026.</w:t>
      </w:r>
    </w:p>
    <w:p>
      <w:pPr>
        <w:spacing w:after="0" w:line="38" w:lineRule="exact"/>
        <w:rPr>
          <w:rFonts w:ascii="Times New Roman" w:cs="Times New Roman" w:eastAsia="Times New Roman" w:hAnsi="Times New Roman"/>
          <w:sz w:val="13"/>
          <w:szCs w:val="13"/>
          <w:color w:val="008000"/>
        </w:rPr>
      </w:pPr>
    </w:p>
    <w:p>
      <w:pPr>
        <w:ind w:left="40" w:right="4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May 12, 2025 and vested on the same schedule as the underlying RSUs. Amount represents DEUs that accrued with respect to such RSUs in transactions exempt from Section 16 under Rule 16a-11.</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will vest on March 6, 2027.</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450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400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2026-03-10T18:07:49Z</dcterms:created>
  <dcterms:modified xsi:type="dcterms:W3CDTF">2026-03-10T18:07:49Z</dcterms:modified>
</cp:coreProperties>
</file>