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tbl>
      <w:tblPr>
        <w:tblW w:w="7076" w:type="dxa"/>
        <w:jc w:val="left"/>
        <w:tblInd w:w="0" w:type="dxa"/>
        <w:tblLayout w:type="fixed"/>
        <w:tblCellMar>
          <w:top w:w="28" w:type="dxa"/>
          <w:left w:w="28" w:type="dxa"/>
          <w:bottom w:w="28" w:type="dxa"/>
          <w:right w:w="28" w:type="dxa"/>
        </w:tblCellMar>
      </w:tblPr>
      <w:tblGrid>
        <w:gridCol w:w="124"/>
        <w:gridCol w:w="109"/>
        <w:gridCol w:w="109"/>
        <w:gridCol w:w="1967"/>
        <w:gridCol w:w="1967"/>
        <w:gridCol w:w="28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Fiscal Year Ended December 31, 2024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7302" w:type="dxa"/>
        <w:jc w:val="left"/>
        <w:tblInd w:w="0" w:type="dxa"/>
        <w:tblLayout w:type="fixed"/>
        <w:tblCellMar>
          <w:top w:w="28" w:type="dxa"/>
          <w:left w:w="28" w:type="dxa"/>
          <w:bottom w:w="28" w:type="dxa"/>
          <w:right w:w="28" w:type="dxa"/>
        </w:tblCellMar>
      </w:tblPr>
      <w:tblGrid>
        <w:gridCol w:w="124"/>
        <w:gridCol w:w="109"/>
        <w:gridCol w:w="109"/>
        <w:gridCol w:w="2035"/>
        <w:gridCol w:w="2035"/>
        <w:gridCol w:w="28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For the transition period from              to             </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001-39695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VIATRIS INC. </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(Exact name of registrant as specified in its charter)</w:t>
      </w:r>
    </w:p>
    <w:tbl>
      <w:tblPr>
        <w:tblW w:w="7271" w:type="dxa"/>
        <w:jc w:val="left"/>
        <w:tblInd w:w="0" w:type="dxa"/>
        <w:tblLayout w:type="fixed"/>
        <w:tblCellMar>
          <w:top w:w="28" w:type="dxa"/>
          <w:left w:w="28" w:type="dxa"/>
          <w:bottom w:w="28" w:type="dxa"/>
          <w:right w:w="28" w:type="dxa"/>
        </w:tblCellMar>
      </w:tblPr>
      <w:tblGrid>
        <w:gridCol w:w="1562"/>
        <w:gridCol w:w="1371"/>
        <w:gridCol w:w="1387"/>
        <w:gridCol w:w="109"/>
        <w:gridCol w:w="109"/>
        <w:gridCol w:w="109"/>
        <w:gridCol w:w="766"/>
        <w:gridCol w:w="766"/>
        <w:gridCol w:w="1092"/>
      </w:tblGrid>
      <w:tr>
        <w:trPr/>
        <w:tc>
          <w:tcPr>
            <w:tcW w:w="15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83-4364296</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bl>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1000 Mylan Boulevard, Canonsburg, Pennsylvania, 15317 </w:t>
      </w:r>
    </w:p>
    <w:p>
      <w:pPr>
        <w:pStyle w:val="TextBody"/>
        <w:bidi w:val="0"/>
        <w:spacing w:lineRule="auto" w:line="288" w:before="0" w:after="6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offices)(Zip Code)</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(724) 514-1800 </w:t>
      </w:r>
    </w:p>
    <w:p>
      <w:pPr>
        <w:pStyle w:val="TextBody"/>
        <w:bidi w:val="0"/>
        <w:spacing w:lineRule="auto" w:line="288" w:before="0" w:after="60"/>
        <w:jc w:val="center"/>
        <w:rPr>
          <w:rFonts w:ascii="Times New Roman;sans-serif" w:hAnsi="Times New Roman;sans-serif"/>
          <w:b w:val="false"/>
          <w:i/>
          <w:color w:val="000000"/>
          <w:sz w:val="16"/>
        </w:rPr>
      </w:pPr>
      <w:r>
        <w:rPr>
          <w:rFonts w:ascii="Times New Roman;sans-serif" w:hAnsi="Times New Roman;sans-serif"/>
          <w:b w:val="false"/>
          <w:i/>
          <w:color w:val="000000"/>
          <w:sz w:val="16"/>
        </w:rPr>
        <w:t>(Registrant’s telephone number, including area code)</w: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9053" w:type="dxa"/>
        <w:jc w:val="left"/>
        <w:tblInd w:w="0" w:type="dxa"/>
        <w:tblLayout w:type="fixed"/>
        <w:tblCellMar>
          <w:top w:w="28" w:type="dxa"/>
          <w:left w:w="28" w:type="dxa"/>
          <w:bottom w:w="28" w:type="dxa"/>
          <w:right w:w="28" w:type="dxa"/>
        </w:tblCellMar>
      </w:tblPr>
      <w:tblGrid>
        <w:gridCol w:w="1125"/>
        <w:gridCol w:w="987"/>
        <w:gridCol w:w="993"/>
        <w:gridCol w:w="109"/>
        <w:gridCol w:w="109"/>
        <w:gridCol w:w="109"/>
        <w:gridCol w:w="519"/>
        <w:gridCol w:w="519"/>
        <w:gridCol w:w="521"/>
        <w:gridCol w:w="109"/>
        <w:gridCol w:w="109"/>
        <w:gridCol w:w="109"/>
        <w:gridCol w:w="1092"/>
        <w:gridCol w:w="1092"/>
        <w:gridCol w:w="1551"/>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VTRS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w:t>
            </w:r>
          </w:p>
        </w:tc>
      </w:tr>
    </w:tbl>
    <w:p>
      <w:pPr>
        <w:pStyle w:val="TextBody"/>
        <w:bidi w:val="0"/>
        <w:spacing w:lineRule="auto" w:line="288" w:before="0" w:after="20"/>
        <w:jc w:val="left"/>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bidi w:val="0"/>
        <w:spacing w:lineRule="auto" w:line="288" w:before="0" w:after="40"/>
        <w:ind w:left="0" w:right="0" w:firstLine="495"/>
        <w:jc w:val="both"/>
        <w:rPr/>
      </w:pPr>
      <w:r>
        <w:rPr>
          <w:rFonts w:ascii="Times New Roman;sans-serif" w:hAnsi="Times New Roman;sans-serif"/>
          <w:b w:val="false"/>
          <w:color w:val="000000"/>
          <w:sz w:val="18"/>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0" w:after="40"/>
        <w:ind w:left="0" w:right="0" w:firstLine="495"/>
        <w:jc w:val="both"/>
        <w:rPr/>
      </w:pPr>
      <w:r>
        <w:rPr>
          <w:rFonts w:ascii="Times New Roman;sans-serif" w:hAnsi="Times New Roman;sans-serif"/>
          <w:b w:val="false"/>
          <w:color w:val="000000"/>
          <w:sz w:val="18"/>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0" w:after="40"/>
        <w:ind w:left="0" w:right="0" w:firstLine="495"/>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0" w:after="40"/>
        <w:ind w:left="0" w:right="0" w:firstLine="495"/>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0" w:after="0"/>
        <w:ind w:left="0" w:right="0" w:firstLine="495"/>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171"/>
        <w:gridCol w:w="936"/>
        <w:gridCol w:w="883"/>
        <w:gridCol w:w="211"/>
        <w:gridCol w:w="211"/>
        <w:gridCol w:w="211"/>
        <w:gridCol w:w="211"/>
        <w:gridCol w:w="211"/>
        <w:gridCol w:w="211"/>
        <w:gridCol w:w="211"/>
        <w:gridCol w:w="211"/>
        <w:gridCol w:w="211"/>
        <w:gridCol w:w="1314"/>
        <w:gridCol w:w="1314"/>
        <w:gridCol w:w="1323"/>
        <w:gridCol w:w="211"/>
        <w:gridCol w:w="211"/>
        <w:gridCol w:w="211"/>
        <w:gridCol w:w="211"/>
        <w:gridCol w:w="211"/>
        <w:gridCol w:w="310"/>
      </w:tblGrid>
      <w:tr>
        <w:trPr/>
        <w:tc>
          <w:tcPr>
            <w:tcW w:w="117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tc>
      </w:tr>
    </w:tbl>
    <w:p>
      <w:pPr>
        <w:pStyle w:val="TextBody"/>
        <w:bidi w:val="0"/>
        <w:spacing w:lineRule="auto" w:line="288" w:before="0" w:after="60"/>
        <w:ind w:left="0" w:right="0" w:firstLine="49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0" w:after="60"/>
        <w:ind w:left="0" w:right="0" w:firstLine="49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0" w:after="60"/>
        <w:ind w:left="0" w:right="0" w:firstLine="49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0" w:after="60"/>
        <w:ind w:left="0" w:right="0" w:firstLine="495"/>
        <w:jc w:val="both"/>
        <w:rPr/>
      </w:pPr>
      <w:r>
        <w:rPr>
          <w:rFonts w:ascii="Times New Roman;sans-serif" w:hAnsi="Times New Roman;sans-serif"/>
          <w:b w:val="false"/>
          <w:color w:val="000000"/>
          <w:sz w:val="18"/>
        </w:rPr>
        <w:t>Indicate by check mark whether the registrant is a shell company (as defined in Rule 12b-2 of the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76" w:before="0" w:after="6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aggregate market value of the voting and non-voting common equity held by non-affiliates of the registrant as of June 30, 2024, the last business day of the registrant’s most recently completed second fiscal quarter, was approximately $12,661,582,065. </w:t>
      </w:r>
    </w:p>
    <w:p>
      <w:pPr>
        <w:pStyle w:val="TextBody"/>
        <w:bidi w:val="0"/>
        <w:spacing w:lineRule="auto" w:line="276" w:before="0" w:after="24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shares of common stock outstanding, par value $0.01 per share, of the registrant as of February 21, 2025 was 1,193,688,749.</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bl>
      <w:tblPr>
        <w:tblW w:w="10205" w:type="dxa"/>
        <w:jc w:val="center"/>
        <w:tblInd w:w="0" w:type="dxa"/>
        <w:tblLayout w:type="fixed"/>
        <w:tblCellMar>
          <w:top w:w="28" w:type="dxa"/>
          <w:left w:w="28" w:type="dxa"/>
          <w:bottom w:w="28" w:type="dxa"/>
          <w:right w:w="28" w:type="dxa"/>
        </w:tblCellMar>
      </w:tblPr>
      <w:tblGrid>
        <w:gridCol w:w="2810"/>
        <w:gridCol w:w="2460"/>
        <w:gridCol w:w="2493"/>
        <w:gridCol w:w="713"/>
        <w:gridCol w:w="713"/>
        <w:gridCol w:w="1016"/>
      </w:tblGrid>
      <w:tr>
        <w:trPr/>
        <w:tc>
          <w:tcPr>
            <w:tcW w:w="2810"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7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Document</w:t>
            </w:r>
          </w:p>
        </w:tc>
        <w:tc>
          <w:tcPr>
            <w:tcW w:w="2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of Form 10-K into Which</w:t>
              <w:br/>
              <w:t>Document is Incorporated</w:t>
            </w:r>
          </w:p>
        </w:tc>
      </w:tr>
      <w:tr>
        <w:trPr/>
        <w:tc>
          <w:tcPr>
            <w:tcW w:w="7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 amendment to this Form 10-K will be filed no later than 120 days after the close of registrant’s fiscal year.</w:t>
            </w:r>
          </w:p>
        </w:tc>
        <w:tc>
          <w:tcPr>
            <w:tcW w:w="2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III</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VIATRIS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2024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7"/>
        <w:gridCol w:w="296"/>
        <w:gridCol w:w="298"/>
        <w:gridCol w:w="2887"/>
        <w:gridCol w:w="2873"/>
        <w:gridCol w:w="3002"/>
        <w:gridCol w:w="149"/>
        <w:gridCol w:w="149"/>
        <w:gridCol w:w="21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16">
              <w:r>
                <w:rPr>
                  <w:rStyle w:val="InternetLink"/>
                  <w:rFonts w:ascii="Times New Roman;sans-serif" w:hAnsi="Times New Roman;sans-serif"/>
                  <w:b w:val="false"/>
                  <w:color w:val="0000FF"/>
                  <w:sz w:val="20"/>
                  <w:u w:val="single"/>
                </w:rPr>
                <w:t>Business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16">
              <w:r>
                <w:rPr>
                  <w:rStyle w:val="InternetLink"/>
                  <w:rFonts w:ascii="Times New Roman;sans-serif" w:hAnsi="Times New Roman;sans-serif"/>
                  <w:b w:val="false"/>
                  <w:color w:val="0000FF"/>
                  <w:sz w:val="20"/>
                  <w:u w:val="single"/>
                </w:rPr>
                <w:t>6</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49">
              <w:r>
                <w:rPr>
                  <w:rStyle w:val="InternetLink"/>
                  <w:rFonts w:ascii="Times New Roman;sans-serif" w:hAnsi="Times New Roman;sans-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49">
              <w:r>
                <w:rPr>
                  <w:rStyle w:val="InternetLink"/>
                  <w:rFonts w:ascii="Times New Roman;sans-serif" w:hAnsi="Times New Roman;sans-serif"/>
                  <w:b w:val="false"/>
                  <w:color w:val="0000FF"/>
                  <w:sz w:val="20"/>
                  <w:u w:val="single"/>
                </w:rPr>
                <w:t>21</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52">
              <w:r>
                <w:rPr>
                  <w:rStyle w:val="InternetLink"/>
                  <w:rFonts w:ascii="Times New Roman;sans-serif" w:hAnsi="Times New Roman;sans-serif"/>
                  <w:b w:val="false"/>
                  <w:color w:val="0000FF"/>
                  <w:sz w:val="20"/>
                  <w:u w:val="single"/>
                </w:rPr>
                <w:t>Unresolved Staff Comments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52">
              <w:r>
                <w:rPr>
                  <w:rStyle w:val="InternetLink"/>
                  <w:rFonts w:ascii="Times New Roman;sans-serif" w:hAnsi="Times New Roman;sans-serif"/>
                  <w:b w:val="false"/>
                  <w:color w:val="0000FF"/>
                  <w:sz w:val="20"/>
                  <w:u w:val="single"/>
                </w:rPr>
                <w:t>49</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55">
              <w:r>
                <w:rPr>
                  <w:rStyle w:val="InternetLink"/>
                  <w:rFonts w:ascii="Times New Roman;sans-serif" w:hAnsi="Times New Roman;sans-serif"/>
                  <w:b w:val="false"/>
                  <w:color w:val="0000FF"/>
                  <w:sz w:val="20"/>
                  <w:u w:val="single"/>
                </w:rPr>
                <w:t>Cybersecurity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55">
              <w:r>
                <w:rPr>
                  <w:rStyle w:val="InternetLink"/>
                  <w:rFonts w:ascii="Times New Roman;sans-serif" w:hAnsi="Times New Roman;sans-serif"/>
                  <w:b w:val="false"/>
                  <w:color w:val="0000FF"/>
                  <w:sz w:val="20"/>
                  <w:u w:val="single"/>
                </w:rPr>
                <w:t>50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58">
              <w:r>
                <w:rPr>
                  <w:rStyle w:val="InternetLink"/>
                  <w:rFonts w:ascii="Times New Roman;sans-serif" w:hAnsi="Times New Roman;sans-serif"/>
                  <w:b w:val="false"/>
                  <w:color w:val="0000FF"/>
                  <w:sz w:val="20"/>
                  <w:u w:val="single"/>
                </w:rPr>
                <w:t>Properties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58">
              <w:r>
                <w:rPr>
                  <w:rStyle w:val="InternetLink"/>
                  <w:rFonts w:ascii="Times New Roman;sans-serif" w:hAnsi="Times New Roman;sans-serif"/>
                  <w:b w:val="false"/>
                  <w:color w:val="0000FF"/>
                  <w:sz w:val="20"/>
                  <w:u w:val="single"/>
                </w:rPr>
                <w:t>51</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61">
              <w:r>
                <w:rPr>
                  <w:rStyle w:val="InternetLink"/>
                  <w:rFonts w:ascii="Times New Roman;sans-serif" w:hAnsi="Times New Roman;sans-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61">
              <w:r>
                <w:rPr>
                  <w:rStyle w:val="InternetLink"/>
                  <w:rFonts w:ascii="Times New Roman;sans-serif" w:hAnsi="Times New Roman;sans-serif"/>
                  <w:b w:val="false"/>
                  <w:color w:val="0000FF"/>
                  <w:sz w:val="20"/>
                  <w:u w:val="single"/>
                </w:rPr>
                <w:t>51</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64">
              <w:r>
                <w:rPr>
                  <w:rStyle w:val="InternetLink"/>
                  <w:rFonts w:ascii="Times New Roman;sans-serif" w:hAnsi="Times New Roman;sans-serif"/>
                  <w:b w:val="false"/>
                  <w:color w:val="0000FF"/>
                  <w:sz w:val="20"/>
                  <w:u w:val="single"/>
                </w:rPr>
                <w:t>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64">
              <w:r>
                <w:rPr>
                  <w:rStyle w:val="InternetLink"/>
                  <w:rFonts w:ascii="Times New Roman;sans-serif" w:hAnsi="Times New Roman;sans-serif"/>
                  <w:b w:val="false"/>
                  <w:color w:val="0000FF"/>
                  <w:sz w:val="20"/>
                  <w:u w:val="single"/>
                </w:rPr>
                <w:t>51</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94e6e3112ae4c32a7f27a2ec714b350_7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70">
              <w:r>
                <w:rPr>
                  <w:rStyle w:val="InternetLink"/>
                  <w:rFonts w:ascii="Times New Roman;sans-serif" w:hAnsi="Times New Roman;sans-serif"/>
                  <w:b w:val="false"/>
                  <w:color w:val="0000FF"/>
                  <w:sz w:val="20"/>
                  <w:u w:val="single"/>
                </w:rPr>
                <w:t>52</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73">
              <w:r>
                <w:rPr>
                  <w:rStyle w:val="InternetLink"/>
                  <w:rFonts w:ascii="Times New Roman;sans-serif" w:hAnsi="Times New Roman;sans-serif"/>
                  <w:b w:val="false"/>
                  <w:color w:val="0000FF"/>
                  <w:sz w:val="20"/>
                  <w:u w:val="single"/>
                </w:rPr>
                <w:t>[Reserved]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73">
              <w:r>
                <w:rPr>
                  <w:rStyle w:val="InternetLink"/>
                  <w:rFonts w:ascii="Times New Roman;sans-serif" w:hAnsi="Times New Roman;sans-serif"/>
                  <w:b w:val="false"/>
                  <w:color w:val="0000FF"/>
                  <w:sz w:val="20"/>
                  <w:u w:val="single"/>
                </w:rPr>
                <w:t>53</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79">
              <w:r>
                <w:rPr>
                  <w:rStyle w:val="InternetLink"/>
                  <w:rFonts w:ascii="Times New Roman;sans-serif" w:hAnsi="Times New Roman;sans-serif"/>
                  <w:b w:val="false"/>
                  <w:color w:val="0000FF"/>
                  <w:sz w:val="20"/>
                  <w:u w:val="single"/>
                </w:rPr>
                <w:t>54</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118">
              <w:r>
                <w:rPr>
                  <w:rStyle w:val="InternetLink"/>
                  <w:rFonts w:ascii="Times New Roman;sans-serif" w:hAnsi="Times New Roman;sans-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118">
              <w:r>
                <w:rPr>
                  <w:rStyle w:val="InternetLink"/>
                  <w:rFonts w:ascii="Times New Roman;sans-serif" w:hAnsi="Times New Roman;sans-serif"/>
                  <w:b w:val="false"/>
                  <w:color w:val="0000FF"/>
                  <w:sz w:val="20"/>
                  <w:u w:val="single"/>
                </w:rPr>
                <w:t>76</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121">
              <w:r>
                <w:rPr>
                  <w:rStyle w:val="InternetLink"/>
                  <w:rFonts w:ascii="Times New Roman;sans-serif" w:hAnsi="Times New Roman;sans-serif"/>
                  <w:b w:val="false"/>
                  <w:color w:val="0000FF"/>
                  <w:sz w:val="20"/>
                  <w:u w:val="single"/>
                </w:rPr>
                <w:t>Financial Statements and Supplementary Data</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121">
              <w:r>
                <w:rPr>
                  <w:rStyle w:val="InternetLink"/>
                  <w:rFonts w:ascii="Times New Roman;sans-serif" w:hAnsi="Times New Roman;sans-serif"/>
                  <w:b w:val="false"/>
                  <w:color w:val="0000FF"/>
                  <w:sz w:val="20"/>
                  <w:u w:val="single"/>
                </w:rPr>
                <w:t>77</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217">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217">
              <w:r>
                <w:rPr>
                  <w:rStyle w:val="InternetLink"/>
                  <w:rFonts w:ascii="Times New Roman;sans-serif" w:hAnsi="Times New Roman;sans-serif"/>
                  <w:b w:val="false"/>
                  <w:color w:val="0000FF"/>
                  <w:sz w:val="20"/>
                  <w:u w:val="single"/>
                </w:rPr>
                <w:t>149</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220">
              <w:r>
                <w:rPr>
                  <w:rStyle w:val="InternetLink"/>
                  <w:rFonts w:ascii="Times New Roman;sans-serif" w:hAnsi="Times New Roman;sans-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220">
              <w:r>
                <w:rPr>
                  <w:rStyle w:val="InternetLink"/>
                  <w:rFonts w:ascii="Times New Roman;sans-serif" w:hAnsi="Times New Roman;sans-serif"/>
                  <w:b w:val="false"/>
                  <w:color w:val="0000FF"/>
                  <w:sz w:val="20"/>
                  <w:u w:val="single"/>
                </w:rPr>
                <w:t>149</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223">
              <w:r>
                <w:rPr>
                  <w:rStyle w:val="InternetLink"/>
                  <w:rFonts w:ascii="Times New Roman;sans-serif" w:hAnsi="Times New Roman;sans-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223">
              <w:r>
                <w:rPr>
                  <w:rStyle w:val="InternetLink"/>
                  <w:rFonts w:ascii="Times New Roman;sans-serif" w:hAnsi="Times New Roman;sans-serif"/>
                  <w:b w:val="false"/>
                  <w:color w:val="0000FF"/>
                  <w:sz w:val="20"/>
                  <w:u w:val="single"/>
                </w:rPr>
                <w:t>149</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229">
              <w:r>
                <w:rPr>
                  <w:rStyle w:val="InternetLink"/>
                  <w:rFonts w:ascii="Times New Roman;sans-serif" w:hAnsi="Times New Roman;sans-serif"/>
                  <w:b w:val="false"/>
                  <w:color w:val="0000FF"/>
                  <w:sz w:val="20"/>
                  <w:u w:val="single"/>
                </w:rPr>
                <w:t>Disclosure Regarding Foreign Jurisdictions that Prevent Inspections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229">
              <w:r>
                <w:rPr>
                  <w:rStyle w:val="InternetLink"/>
                  <w:rFonts w:ascii="Times New Roman;sans-serif" w:hAnsi="Times New Roman;sans-serif"/>
                  <w:b w:val="false"/>
                  <w:color w:val="0000FF"/>
                  <w:sz w:val="20"/>
                  <w:u w:val="single"/>
                </w:rPr>
                <w:t>149</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235">
              <w:r>
                <w:rPr>
                  <w:rStyle w:val="InternetLink"/>
                  <w:rFonts w:ascii="Times New Roman;sans-serif" w:hAnsi="Times New Roman;sans-serif"/>
                  <w:b w:val="false"/>
                  <w:color w:val="0000FF"/>
                  <w:sz w:val="20"/>
                  <w:u w:val="single"/>
                </w:rPr>
                <w:t>Directors, Executive Officers and Corporate Governance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235">
              <w:r>
                <w:rPr>
                  <w:rStyle w:val="InternetLink"/>
                  <w:rFonts w:ascii="Times New Roman;sans-serif" w:hAnsi="Times New Roman;sans-serif"/>
                  <w:b w:val="false"/>
                  <w:color w:val="0000FF"/>
                  <w:sz w:val="20"/>
                  <w:u w:val="single"/>
                </w:rPr>
                <w:t>150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238">
              <w:r>
                <w:rPr>
                  <w:rStyle w:val="InternetLink"/>
                  <w:rFonts w:ascii="Times New Roman;sans-serif" w:hAnsi="Times New Roman;sans-serif"/>
                  <w:b w:val="false"/>
                  <w:color w:val="0000FF"/>
                  <w:sz w:val="20"/>
                  <w:u w:val="single"/>
                </w:rPr>
                <w:t>Executive Compensation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238">
              <w:r>
                <w:rPr>
                  <w:rStyle w:val="InternetLink"/>
                  <w:rFonts w:ascii="Times New Roman;sans-serif" w:hAnsi="Times New Roman;sans-serif"/>
                  <w:b w:val="false"/>
                  <w:color w:val="0000FF"/>
                  <w:sz w:val="20"/>
                  <w:u w:val="single"/>
                </w:rPr>
                <w:t>150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94e6e3112ae4c32a7f27a2ec714b350_24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241">
              <w:r>
                <w:rPr>
                  <w:rStyle w:val="InternetLink"/>
                  <w:rFonts w:ascii="Times New Roman;sans-serif" w:hAnsi="Times New Roman;sans-serif"/>
                  <w:b w:val="false"/>
                  <w:color w:val="0000FF"/>
                  <w:sz w:val="20"/>
                  <w:u w:val="single"/>
                </w:rPr>
                <w:t>150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24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244">
              <w:r>
                <w:rPr>
                  <w:rStyle w:val="InternetLink"/>
                  <w:rFonts w:ascii="Times New Roman;sans-serif" w:hAnsi="Times New Roman;sans-serif"/>
                  <w:b w:val="false"/>
                  <w:color w:val="0000FF"/>
                  <w:sz w:val="20"/>
                  <w:u w:val="single"/>
                </w:rPr>
                <w:t>150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247">
              <w:r>
                <w:rPr>
                  <w:rStyle w:val="InternetLink"/>
                  <w:rFonts w:ascii="Times New Roman;sans-serif" w:hAnsi="Times New Roman;sans-serif"/>
                  <w:b w:val="false"/>
                  <w:color w:val="0000FF"/>
                  <w:sz w:val="20"/>
                  <w:u w:val="single"/>
                </w:rPr>
                <w:t>Principal Accounting Fees and Services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247">
              <w:r>
                <w:rPr>
                  <w:rStyle w:val="InternetLink"/>
                  <w:rFonts w:ascii="Times New Roman;sans-serif" w:hAnsi="Times New Roman;sans-serif"/>
                  <w:b w:val="false"/>
                  <w:color w:val="0000FF"/>
                  <w:sz w:val="20"/>
                  <w:u w:val="single"/>
                </w:rPr>
                <w:t>151</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253">
              <w:r>
                <w:rPr>
                  <w:rStyle w:val="InternetLink"/>
                  <w:rFonts w:ascii="Times New Roman;sans-serif" w:hAnsi="Times New Roman;sans-serif"/>
                  <w:b w:val="false"/>
                  <w:color w:val="0000FF"/>
                  <w:sz w:val="20"/>
                  <w:u w:val="single"/>
                </w:rPr>
                <w:t>Exhibits and Consolidated Financial Statement Schedules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253">
              <w:r>
                <w:rPr>
                  <w:rStyle w:val="InternetLink"/>
                  <w:rFonts w:ascii="Times New Roman;sans-serif" w:hAnsi="Times New Roman;sans-serif"/>
                  <w:b w:val="false"/>
                  <w:color w:val="0000FF"/>
                  <w:sz w:val="20"/>
                  <w:u w:val="single"/>
                </w:rPr>
                <w:t>152</w:t>
              </w:r>
            </w:hyperlink>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256">
              <w:r>
                <w:rPr>
                  <w:rStyle w:val="InternetLink"/>
                  <w:rFonts w:ascii="Times New Roman;sans-serif" w:hAnsi="Times New Roman;sans-serif"/>
                  <w:b w:val="false"/>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256">
              <w:r>
                <w:rPr>
                  <w:rStyle w:val="InternetLink"/>
                  <w:rFonts w:ascii="Times New Roman;sans-serif" w:hAnsi="Times New Roman;sans-serif"/>
                  <w:b w:val="false"/>
                  <w:color w:val="0000FF"/>
                  <w:sz w:val="20"/>
                  <w:u w:val="single"/>
                </w:rPr>
                <w:t>160</w:t>
              </w:r>
            </w:hyperlink>
          </w:p>
        </w:tc>
      </w:tr>
    </w:tbl>
    <w:p>
      <w:pPr>
        <w:pStyle w:val="TextBody"/>
        <w:bidi w:val="0"/>
        <w:spacing w:before="10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Glossary of Defined Terms</w:t>
      </w:r>
    </w:p>
    <w:p>
      <w:pPr>
        <w:pStyle w:val="TextBody"/>
        <w:bidi w:val="0"/>
        <w:spacing w:before="0" w:after="0"/>
        <w:jc w:val="left"/>
        <w:rPr/>
      </w:pPr>
      <w:r>
        <w:rPr/>
      </w:r>
    </w:p>
    <w:p>
      <w:pPr>
        <w:pStyle w:val="TextBody"/>
        <w:bidi w:val="0"/>
        <w:spacing w:lineRule="auto" w:line="256"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to “Viatris,” “the Company,” “we,” “us” or “our” in this 2024 Form 10-K (defined below) refer to Viatris Inc. and its subsidiaries. We also have used several other terms in this 2024 Form 10-K, most of which are explained or defined below. Some amounts in this Form 10-K may not add due to rounding.</w:t>
      </w:r>
    </w:p>
    <w:tbl>
      <w:tblPr>
        <w:tblW w:w="10205" w:type="dxa"/>
        <w:jc w:val="left"/>
        <w:tblInd w:w="0" w:type="dxa"/>
        <w:tblLayout w:type="fixed"/>
        <w:tblCellMar>
          <w:top w:w="28" w:type="dxa"/>
          <w:left w:w="28" w:type="dxa"/>
          <w:bottom w:w="28" w:type="dxa"/>
          <w:right w:w="28" w:type="dxa"/>
        </w:tblCellMar>
      </w:tblPr>
      <w:tblGrid>
        <w:gridCol w:w="758"/>
        <w:gridCol w:w="450"/>
        <w:gridCol w:w="372"/>
        <w:gridCol w:w="2836"/>
        <w:gridCol w:w="2394"/>
        <w:gridCol w:w="3395"/>
      </w:tblGrid>
      <w:tr>
        <w:trPr/>
        <w:tc>
          <w:tcPr>
            <w:tcW w:w="75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2003 LTIP</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N.V. Amended and Restated 2003 Long-Term Incentive Plan</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Incentive Plan</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2020 Stock Incentive Plan</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2021 Revolving Facility</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$4.0 billion revolving facility dated as of July 1, 2021, by and among Viatris, certain lenders and issuing banks from time to time party thereto and Bank of America, N.A., as administrative agent and which was amended and restated in September 2024</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Revolving Facility</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$3.5 billion revolving facility dated as of September 27, 2024, by and among Viatris, certain lenders and issuing banks from time to time party thereto and Bank of America, N.A., as administrative agent</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505(b)(2)</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streamlined NDA process in which the applicant relies upon one or more investigations conducted by someone other than the applicant and for which the applicant has not obtained right of reference.</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ACA</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Patient Protection and Affordable Care Act, as amended by the Health Care and Education and Reconciliation Act</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 that the Company believes is appropriate to provide information to investors - EBITDA (defined below) is further adjusted for share-based compensation expense, litigation settlements, and other contingencies, net, gain (loss) on divestitures of businesses, impairment of long-lived assets and goodwill, restructuring, acquisition and divestiture-related and other special items</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EPS</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earnings per diluted share</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Artificial intelligence</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ANDA</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Abbreviated New Drug Application</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AOCE</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earnings</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API</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Active pharmaceutical ingredients</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ARV</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Antiretroviral medicines</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Limited</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 Limited, a majority owned subsidiary of Biocon</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 Transaction</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between Viatris and Biocon Biologics pursuant to which Viatris contributed its biosimilars portfolio, composed of the Biocon collaboration programs, biosimilars to Humira®, Enbrel®, and Eylea®, as well as related assets and liabilities to Biocon Biologics</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Agreement</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agreement between Viatris and Biocon Biologics, dated February 27, 2022, relating to the Biocon Biologics Transaction, as amended from time to time</w:t>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8625"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Agreement</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Agreement, dated as of July 29, 2019, as amended from time to time, among Viatris, Mylan, Pfizer and certain of their affiliates</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CAMT</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alternative minimum tax</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CCPS</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Compulsory convertible preferred shares</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cGMP</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Good Manufacturing Practices</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CIRP</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Incident Response Plan</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CIRT</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Incident Response Team</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Internal Revenue Code of 1986, as amended</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CODM</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Refers to Mylan combining with Pfizer's Upjohn Business in a Reverse Morris Trust transaction to form Viatris on November 16, 2020</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Program</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$1.65 billion unsecured commercial paper program entered into as of November 16, 2020 by Viatris, as issuer, Mylan Inc., Utah Acquisition Sub Inc. and Mylan II B.V., as guarantors, and certain dealers from time to time</w:t>
            </w:r>
          </w:p>
        </w:tc>
      </w:tr>
      <w:tr>
        <w:trPr/>
        <w:tc>
          <w:tcPr>
            <w:tcW w:w="1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COPD</w:t>
            </w:r>
          </w:p>
        </w:tc>
        <w:tc>
          <w:tcPr>
            <w:tcW w:w="8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Chronic obstructive pulmonary disease </w:t>
            </w:r>
          </w:p>
        </w:tc>
      </w:tr>
      <w:tr>
        <w:trPr/>
        <w:tc>
          <w:tcPr>
            <w:tcW w:w="15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COSO</w:t>
            </w:r>
          </w:p>
        </w:tc>
        <w:tc>
          <w:tcPr>
            <w:tcW w:w="86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Committee of Sponsoring Organizations of the Treadway Commission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08"/>
        <w:gridCol w:w="463"/>
        <w:gridCol w:w="472"/>
        <w:gridCol w:w="2721"/>
        <w:gridCol w:w="2331"/>
        <w:gridCol w:w="3310"/>
      </w:tblGrid>
      <w:tr>
        <w:trPr/>
        <w:tc>
          <w:tcPr>
            <w:tcW w:w="90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Drug Enforcement Agency</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 segment</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primarily in the following markets: North America and Europe</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DGCL</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General Corporation Law</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Pfizer's distribution to Pfizer stockholders of all the issued and outstanding shares of Upjohn Inc.</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DOJ</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Justice</w:t>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8362"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 that the Company believes is appropriate to provide information to investors - U.S. GAAP net earnings (loss) adjusted for income tax provision (benefit), interest expense and depreciation and amortization</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EDPA</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District Court for the Eastern District of Pennsylvania</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European Medicines Agency </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 segment</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but is not limited to, our operations primarily in the following markets: Parts of Asia, the Middle East, South and Central America, Africa, and Eastern Europe</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EPD Business</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Abbott Laboratories’ non-U.S. developed markets specialty and branded generics business, prior to its acquisition by Mylan in February 2015</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 Act </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Famy Life Sciences</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Famy Life Sciences Private Limited</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FDA</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Food and Drug Administration</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for the fiscal year ended December 31, 2024</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 Depot</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Long-acting glatiramer acetate depot product</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GDPR</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EU’s General Data Protection Regulation </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Systemically Important Banks</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 that are considered systemically important by the Financial Stability Board</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 segment</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primarily in the following markets: mainland China, Taiwan and Hong Kong</w:t>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8362"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Hatch-Waxman Act </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Drug Price Competition and Patent Term Restoration Act of 1984</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HIPAA</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Insurance Portability and Accountability Act of 1996 and the Health Information Technology for Economic and Clinical Health Act</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HIV/AIDS</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Human immunodeficiency virus infection and acquired immune deficiency syndrome</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Idorsia</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Idorsia Pharmaceuticals Ltd.</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Idorsia Transaction</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between Viatris and Idorsia pursuant to which Viatris acquired the development programs and certain personnel related to selatogrel and cenerimod from Idorsia in exchange for an upfront payment to Idorsia of $350 million, potential development and regulatory milestone payments, certain contingent payments of tiered sales milestones, as well as potential contingent tiered sales royalties</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Nonproprietary Name</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IRS</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Internal Revenue Service</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 segment</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in the following markets: Japan, Australia and New Zealand</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Lexicon Pharmaceuticals, Inc.</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Lexicon</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LOE</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of exclusivity</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Mapi</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Mapi Pharma Ltd.</w:t>
            </w:r>
          </w:p>
        </w:tc>
      </w:tr>
      <w:tr>
        <w:trPr/>
        <w:tc>
          <w:tcPr>
            <w:tcW w:w="1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Maximum Leverage Ratio </w:t>
            </w:r>
          </w:p>
        </w:tc>
        <w:tc>
          <w:tcPr>
            <w:tcW w:w="83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consolidated leverage ratio financial covenant requiring maintenance of a maximum ratio of consolidated total indebtedness as of the end of any quarter to consolidated EBITDA for the trailing four quarters as defined in the related credit agreements from time to time</w:t>
            </w:r>
          </w:p>
        </w:tc>
      </w:tr>
      <w:tr>
        <w:trPr/>
        <w:tc>
          <w:tcPr>
            <w:tcW w:w="184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MDL</w:t>
            </w:r>
          </w:p>
        </w:tc>
        <w:tc>
          <w:tcPr>
            <w:tcW w:w="836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Multidistrict litigation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75"/>
        <w:gridCol w:w="355"/>
        <w:gridCol w:w="363"/>
        <w:gridCol w:w="2682"/>
        <w:gridCol w:w="2496"/>
        <w:gridCol w:w="3534"/>
      </w:tblGrid>
      <w:tr>
        <w:trPr/>
        <w:tc>
          <w:tcPr>
            <w:tcW w:w="77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MPI</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Pharmaceuticals Inc.</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N.V. and its subsidiaries</w:t>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8712"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Inc. U.S. Dollar Notes</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4.550% Senior Notes due 2028, 5.400% Senior Notes due 2043 and 5.200% Senior Notes due 2048 issued by Mylan Inc., which are fully and unconditionally guaranteed on a senior unsecured basis by Mylan II B.V., Viatris Inc. and Utah Acquisition Sub Inc.</w:t>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8712"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NCDs</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Noncommunicable diseases</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NDA</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drug application</w:t>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8712"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OECD</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Organisation for Economic Co-operation and Development</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OTC</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Over-the-counter</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OTC Business</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Viatris’ OTC business that the Company divested to Cooper Consumer Health SAS in July 2024, including two manufacturing sites located in Merignac, France, and Confienza, Italy, and an R&amp;D site in Monza, Italy. This excludes the Company’s rights for Viagra®, Dymista® (which, in certain limited markets, are sold as OTC products), and select OTC products in certain markets.</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OTC Transaction</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 2023, Viatris announced it had received an offer for the divestiture of its OTC Business. In January 2024, we exercised our option to accept the offer and entered into a definitive transaction agreement with respect to such OTC Transaction. The OTC Transaction closed in July 2024.</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Oyster Point</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Oyster Point Pharma, Inc.</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PBMs</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Pharmacy benefit managers</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PCAOB</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Company Accounting Oversight Board</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 Inc.</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Sharing 401(k) Plan</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401(k) retirement plan with a profit sharing component for non-union represented employees</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QCE</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Quality consistency evaluation</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$400 million accounts receivable facility entered into in August 2020 and expiring in April 2025</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Registered Upjohn Notes</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2.300% Senior Notes due 2027, 2.700% Senior Notes due 2030, 3.850% Senior Notes due 2040 and 4.000% Senior Notes due 2050 originally issued on October 29, 2021 registered with the SEC in exchange for the corresponding Unregistered Upjohn U.S. Dollar Notes in a similar aggregate principal amount and with terms substantially identical to the corresponding Unregistered Upjohn U.S. Dollar Notes and fully and unconditionally guaranteed by Mylan Inc., Mylan II B.V. and Utah Acquisition Sub Inc.</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Respiratory Delivery Platform</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proprietary dry powder inhaler delivery platform</w:t>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8712"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nonvested restricted stock and restricted stock unit awards, including PSUs</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Revance</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Revance Therapeutics, Inc. </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RICO</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Racketeer Influenced and Corrupt Organizations Act</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w:t>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8712"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SDNY</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District Court for the Southern District of New York</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U.S. Dollar Notes</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Upjohn U.S. Dollar Notes, the Utah U.S. Dollar Notes and the Mylan Inc. U.S. Dollar Notes, collectively</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transfer to Upjohn of substantially all the assets and liabilities comprising the Upjohn Business</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and Distribution Agreement</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and Distribution Agreement between Viatris and Pfizer, dated as of July 29, 2019, as amended from time to time</w:t>
            </w:r>
          </w:p>
        </w:tc>
      </w:tr>
      <w:tr>
        <w:trPr/>
        <w:tc>
          <w:tcPr>
            <w:tcW w:w="14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87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r>
      <w:tr>
        <w:trPr/>
        <w:tc>
          <w:tcPr>
            <w:tcW w:w="14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871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SARs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69"/>
        <w:gridCol w:w="487"/>
        <w:gridCol w:w="490"/>
        <w:gridCol w:w="2684"/>
        <w:gridCol w:w="2431"/>
        <w:gridCol w:w="3444"/>
      </w:tblGrid>
      <w:tr>
        <w:trPr/>
        <w:tc>
          <w:tcPr>
            <w:tcW w:w="66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4" w:type="dxa"/>
            <w:tcBorders/>
            <w:vAlign w:val="center"/>
          </w:tcPr>
          <w:p>
            <w:pPr>
              <w:pStyle w:val="TableContents"/>
              <w:bidi w:val="0"/>
              <w:spacing w:before="0" w:after="283"/>
              <w:jc w:val="left"/>
              <w:rPr>
                <w:sz w:val="4"/>
                <w:szCs w:val="4"/>
              </w:rPr>
            </w:pPr>
            <w:r>
              <w:rPr>
                <w:sz w:val="4"/>
                <w:szCs w:val="4"/>
              </w:rPr>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Matters Agreement</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 entered into by Pfizer and Viatris in connection with the Separation and the Distribution that governs the parties’ respective rights, responsibilities and obligations with respect to taxes, including taxes arising in the ordinary course of business and taxes, if any, incurred as a result of any failure of the Distribution or certain related transactions to qualify as tax-free transactions</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Teva</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Teva Pharmaceutical Industries Ltd.</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Theravance Biopharma</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Theravance Biopharma, Inc.</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TSA</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agreements, including related distribution services</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U.S.</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Upjohn U.S. Dollar Notes</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2.300% Senior Notes due 2027, 2.700% Senior Notes due 2030, 3.850% Senior Notes due 2040 and 4.000% Senior Notes due 2050 originally issued on June 22, 2020 by Upjohn Inc. (now Viatris Inc.) in a private offering exempt from the registration requirements of the Securities Act and fully and unconditionally guaranteed by Mylan Inc., Mylan II B.V. and Utah Acquisition Sub Inc.</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Inc., a wholly owned subsidiary of Pfizer prior to the Distribution, that combined with Mylan and was renamed Viatris Inc.</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Business</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off-patent branded and generic established medicines business that, in connection with the Combination, was separated from Pfizer and combined with Mylan to form Viatris</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Distributor Markets</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 geographic markets that were part of the Combination that are smaller in nature and in which we had no established infrastructure prior to or following the Combination and that the Company has divested or intends to divest</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Euro Notes</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denominated in euros and issued by Upjohn Finance B.V. pursuant to an indenture dated June 23, 2020</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U.S. Dollar Notes</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denominated in U.S. dollars and originally issued by Upjohn Inc. or Viatris Inc. pursuant to an indenture dated June 22, 2020 and fully and unconditionally guaranteed by Mylan Inc., Mylan II B.V. and Utah Acquisition Sub Inc.</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URP</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Universal reimbursement pricing</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Acquisition Sub</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Acquisition Sub Inc., a Delaware corporation and an indirect wholly owned subsidiary of Viatris</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Euro Notes</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3.125% Senior Notes due 2028 issued by Utah Acquisition Sub Inc., which are fully and unconditionally guaranteed on a senior unsecured basis by Mylan Inc., Viatris Inc. and Mylan II B.V.</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U.S. Dollar Notes</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3.950% Senior Notes due 2026 and 5.250% Senior Notes due 2046 issued by Utah Acquisition Sub Inc., which are fully and unconditionally guaranteed on a senior unsecured basis by Mylan Inc., Viatris Inc. and Mylan II B.V.</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Department of Veterans Affairs</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VBP</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Volume-based procurement</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formerly known as Upjohn Inc. prior to the completion of the Combination</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Board</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Viatris Inc.</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Bylaws</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bylaws of Viatris Inc. </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Charter</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Viatris Inc., as amended</w:t>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w:t>
            </w:r>
          </w:p>
        </w:tc>
        <w:tc>
          <w:tcPr>
            <w:tcW w:w="85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World Health Organization</w:t>
            </w:r>
          </w:p>
        </w:tc>
      </w:tr>
      <w:tr>
        <w:trPr/>
        <w:tc>
          <w:tcPr>
            <w:tcW w:w="16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 Facility</w:t>
            </w:r>
          </w:p>
        </w:tc>
        <w:tc>
          <w:tcPr>
            <w:tcW w:w="85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¥40 billion term loan agreement dated as of July 1, 2021, among Viatris, the guarantors from time to time party thereto, the lenders from time to time party thereto and Mizuho Bank, Ltd., as administrative agent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1.Business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About Viatris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is a global healthcare company whose breadth and scale we believe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approximately 32,000 employees. The Company has 26 manufacturing and packaging sites worldwide, more than 1,400 approved molecules, and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has executed various strategic initiatives, transactions and business arrangements over the last few years to return its base business to growth, deliver on its pipeline, reduce debt, maintain an investment grade credit rating and return capital to shareholders. The Company has also completed certain transactions to simplify and streamline its business, accelerate paydown of debt and unlock value, including the Biocon Biologics Transaction and the recently completed divestitures discussed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29, 2022, Viatris completed a transaction to contribute its biosimilars portfolio to Biocon Biologics to create a vertically integrated global biosimilars leader. A portion of the consideration received from Biocon at closing included approximately $1 billion of CCPS representing a stake of approximately 12.9% (on a fully diluted basis) in Biocon Biologics.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the Company announced it had received an offer for the divestiture of its OTC Business and had entered into definitive agreements to divest its women’s healthcare business primarily related to oral and injectable contraceptives, its API business in India, its rights to two women’s healthcare products in certain countries, and commercialization rights in the Upjohn Distributor Markets. The Company has substantially completed all of these divestitures: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In March 2024, the Company completed the divestiture of its women's healthcare business, primarily related to its oral and injectable contraceptives, to Insud Pharma, S.L., a leading Spanish multinational pharmaceutical company. The transaction included two manufacturing facilities in India: one in Ahmedabad and one in Sarigam.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In June 2024, the Company completed the divestiture of its API business in India to Matrix Pharma Private Limited, a privately held pharmaceutical company based in India. The transaction included three manufacturing sites and an R&amp;D lab in Hyderabad, three manufacturing sites in Vizag and third-party API sales. Viatris retained some selective R&amp;D capabilities in API.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In July 2024, the Company completed the divestiture of its OTC Business to Cooper Consumer Health, a leading European OTC drug manufacturer and distributor. The transaction included two manufacturing sites located in Merignac, France, and Confienza, Italy, and an R&amp;D site in Monza, Italy. The Company retained the rights for Viagra®, Dymista® (which, in certain limited markets, are sold as OTC products) and select OTC products in certain markets.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Viatris divested its rights to women’s healthcare products Duphaston® and Femoston® in certain countries to Theramex HQ UK Limited, a leading global specialty pharmaceutical company dedicated to women's health. The transaction (other than in the U.K., which was sold to Insud Pharma, S.L. in August 2024) closed in December 2023.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divestitures of the commercialization rights in the majority of the Upjohn Distributor Markets closed during 2023 and 2024.</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Business Strategy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laid out three strategic pillars to accelerate growth and shareholder return: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color w:val="000000"/>
          <w:sz w:val="20"/>
        </w:rPr>
        <w:t>Diversified &amp; Growing Base Business:</w:t>
      </w:r>
      <w:r>
        <w:rPr>
          <w:color w:val="000000"/>
        </w:rPr>
        <w:t xml:space="preserve"> </w:t>
      </w:r>
      <w:r>
        <w:rPr>
          <w:rFonts w:ascii="Times New Roman;sans-serif" w:hAnsi="Times New Roman;sans-serif"/>
          <w:b w:val="false"/>
          <w:color w:val="000000"/>
          <w:sz w:val="20"/>
        </w:rPr>
        <w:t>We believe the Company’s continued success in its base business comes from its large and diversified portfolio of generics and off-patent brands that extends across markets and therapeutic areas. Here the Company has a clear legacy of deep product knowledge and extensive commercialization and development expertise. We believe it is important that Viatris maintains a strong focus on growing its base business over the long-term.</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color w:val="000000"/>
          <w:sz w:val="20"/>
        </w:rPr>
        <w:t xml:space="preserve">Financial Strength &amp; Significant Cash Flow: </w:t>
      </w:r>
      <w:r>
        <w:rPr>
          <w:rFonts w:ascii="Times New Roman;sans-serif" w:hAnsi="Times New Roman;sans-serif"/>
          <w:b w:val="false"/>
          <w:color w:val="000000"/>
          <w:sz w:val="20"/>
        </w:rPr>
        <w:t xml:space="preserve">We believe the Company’s strong balance sheet and sector-leading cash flow generation differentiate it from sector peers. The Company expects to continue to deliver on its long-term financial strategy to return capital to shareholders through dividends and share repurchases, while making investments in its business and maintaining its commitment to its investment grade debt rating.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color w:val="000000"/>
        </w:rPr>
        <w:t>•</w:t>
      </w:r>
      <w:r>
        <w:rPr>
          <w:rFonts w:ascii="Times New Roman;sans-serif" w:hAnsi="Times New Roman;sans-serif"/>
          <w:b/>
          <w:color w:val="000000"/>
          <w:sz w:val="20"/>
        </w:rPr>
        <w:t xml:space="preserve">Expanding Innovative Portfolio: </w:t>
      </w:r>
      <w:r>
        <w:rPr>
          <w:rFonts w:ascii="Times New Roman;sans-serif" w:hAnsi="Times New Roman;sans-serif"/>
          <w:b w:val="false"/>
          <w:color w:val="000000"/>
          <w:sz w:val="20"/>
        </w:rPr>
        <w:t>This represents the Company’s continuous efforts to identify, vet and secure innovative, best-in-class, patent-protected assets in areas of unmet medical need in which it can be successful. By expanding our innovative portfolio, we believe the Company has the potential to drive accelerated and durable revenue growth over the long-term.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expanding our innovative portfolio, on March 15, 2024, the Company acquired exclusive global development and commercialization rights to two Phase 3 assets from Idorsia, as well as the potential to add additional innovative assets in the future.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collaboration includes selatogrel, a potential life-saving self-administered medicine for patients with a history of acute myocardial infarction (AMI), or heart attack, and builds on Viatris' existing global cardiovascular franchise and specialty infrastructure, as well as its knowledge, leadership, and distribution capabilities for self-administered medication for acute life-threatening conditions.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collaboration also includes cenerimod, a novel immunology asset that has the potential to be a first-in-class oral therapy for the treatment of systemic lupus erythematosus (SLE), the most common form of lupus. Through lifecycle management, this asset also has the potential for broad application across multiple autoimmune diseases in a specialist-driven category with attractive market dynamics for oral therapies and could be a cornerstone asset in Viatris' immunology portfolio.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original agreements, the development programs and certain personnel for selatogrel and cenerimod were transferred to Viatris from Idorsia in exchange for an upfront payment to Idorsia of $350 million, potential contingent milestone payments (including $300 million payable upon the achievement of certain development and regulatory milestones, and $2.1 billion payable upon the achievement of certain tiered sales milestones), as well as potential contingent tiered sales royalties. Viatris and Idorsia are both contractually obligated to contribute to the development costs for both programs. Viatris has worldwide commercialization rights for both selatogrel and cenerimod (excluding, for cenerimod only, Japan, South Korea and certain countries in the Asia-Pacific region). A joint development committee was formed to oversee the development of the ongoing Phase 3 programs through regulatory approval. The agreements also provide Viatris a right of first refusal and a right of first negotiation for certain other assets in Idorsia’s pipeline.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February 25, 2025, in order to preserve the ongoing continuity of the development programs for selatogrel and cenerimod considering certain capital structuring steps announced by Idorsia to secure its ongoing operations, Viatris and Idorsia entered into a letter agreement to amend certain terms of the original agreements described above. Under the terms of the letter agreement, Viatris will receive additional territory rights in Japan, South Korea and certain other countries in the Asia-Pacific region for cenerimod, a $250 million reduction in contingent milestone payments, including $200 million of development milestones, and additional personnel to expedite transitioning the development programs to Viatris in exchange for Viatris assuming $100 million of Idorsia’s obligation to contribute to development costs. In addition, the letter agreement provides for the replacement of the joint development committee with a transition committee to oversee the transition of both development programs to Viatris. For additional information, see Part I, Item 1A Risk Factors – </w:t>
      </w:r>
      <w:r>
        <w:rPr>
          <w:color w:val="000000"/>
        </w:rPr>
        <w:t>“</w:t>
      </w:r>
      <w:r>
        <w:rPr>
          <w:rFonts w:ascii="Times New Roman;sans-serif" w:hAnsi="Times New Roman;sans-serif"/>
          <w:b w:val="false"/>
          <w:i/>
          <w:color w:val="000000"/>
          <w:sz w:val="20"/>
        </w:rPr>
        <w:t>We may not realize the intended benefits of, or achieve the intended goals or outlooks with respect to, our strategic initiatives and priorities, including divestitures, acquisitions or other potential transactions.”</w:t>
      </w:r>
      <w:r>
        <w:rPr>
          <w:rFonts w:ascii="Times New Roman;sans-serif" w:hAnsi="Times New Roman;sans-serif"/>
          <w:b w:val="false"/>
          <w:color w:val="000000"/>
          <w:sz w:val="20"/>
        </w:rPr>
        <w:t xml:space="preserve">, </w:t>
      </w:r>
      <w:r>
        <w:rPr>
          <w:color w:val="000000"/>
        </w:rPr>
        <w:t>“</w:t>
      </w:r>
      <w:r>
        <w:rPr>
          <w:rFonts w:ascii="Times New Roman;sans-serif" w:hAnsi="Times New Roman;sans-serif"/>
          <w:b w:val="false"/>
          <w:i/>
          <w:color w:val="000000"/>
          <w:sz w:val="20"/>
        </w:rPr>
        <w:t>If we are unable to successfully introduce new products in a timely manner, our future revenue and profitability may be adversely affected.”</w:t>
      </w:r>
      <w:r>
        <w:rPr>
          <w:color w:val="000000"/>
        </w:rPr>
        <w:t xml:space="preserve"> </w:t>
      </w:r>
      <w:r>
        <w:rPr>
          <w:rFonts w:ascii="Times New Roman;sans-serif" w:hAnsi="Times New Roman;sans-serif"/>
          <w:b w:val="false"/>
          <w:color w:val="000000"/>
          <w:sz w:val="20"/>
        </w:rPr>
        <w:t xml:space="preserve">and </w:t>
      </w:r>
      <w:r>
        <w:rPr>
          <w:color w:val="000000"/>
        </w:rPr>
        <w:t>“</w:t>
      </w:r>
      <w:r>
        <w:rPr>
          <w:rFonts w:ascii="Times New Roman;sans-serif" w:hAnsi="Times New Roman;sans-serif"/>
          <w:b w:val="false"/>
          <w:i/>
          <w:color w:val="000000"/>
          <w:sz w:val="20"/>
        </w:rPr>
        <w:t>We expend a significant amount of resources on R&amp;D efforts that may not lead to successful product introductions.”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industry data included in this Item 1 are sourced from IQVIA Holdings Inc. and are for the twelve months ended November 2024 and Viatris product and other company data included in this Item 1 are from internal sources and are as of November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Upjohn was incorporated in Delaware on February 14, 2019 as a wholly-owned subsidiary of Pfizer to operate the Upjohn Business. Effective as of November 16, 2020, Upjohn, Mylan and Pfizer consummated the combination of Mylan with the Upjohn Business through a Reverse Morris Trust transaction, Viatris became the parent entity of the combined Upjohn Business and Mylan business, and Upjohn changed its name to “Viatris Inc.” As a result of the Combination, Mylan ceased to exist as a separate legal entity after merging with and into Mylan II B.V., an indirect wholly owned subsidiary of Viatris.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Upjohn Business was a global, primarily off-patent branded and generic established medicines business, which included 20 primarily off-patent oral solid dose legacy brands, such as Lyrica®, Lipitor®, Celebrex® and Viagra®.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Mylan was founded in 1961 as a privately-owned company and grew over time into one of the largest manufacturers of generic medicines in the U.S. Mylan became a publicly traded company in 1973. Mylan’s strategy then led to many acquisitions which played a significant role in the evolution of that company, including Matrix Laboratories Limited (2007); Merck KGaA’s generic and specialty pharmaceutical business (2007); the EPD Business (2015) and Meda AB (publ.) (2016). These acquisitions assisted in creating robust research, manufacturing, supply chain and commercial platforms on a global scale; substantially expanding its portfolio of medicines; diversifying by geography, product type and channel; maintaining its commitment to quality; and cultivating its global workforce.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Business Model and Operations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Viatris, we have a relentless focus on delivering access at scale. Our strength is in our diversity. Our business and operating model is deliberately designed and implemented to deliver on our strategy to provide and sustain access to medicine at scale. We seek to create value for and together with our key stakeholders – the people who trust our medicines every day, the health systems who rely on us, the people who make up Viatris, our partners and the investors who believe in our ability to execute on our ambitious mission.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are convinced that patients and health systems around the world are best served by a healthcare company applying a well-rounded and long-term approach, maintaining viability while working to manage inherent risks and opportunities and continuously striving to advance sustainable operations and responsible practices in a focused way. We see healthcare not as it is, but as it should be. We act courageously and believe we are uniquely positioned to be a source of stability in a world of evolving healthcare needs. Our mission is to empower people worldwide to live healthier at every stage of life. We do so via</w:t>
      </w:r>
      <w:r>
        <w:rPr>
          <w:color w:val="000000"/>
        </w:rPr>
        <w:t xml:space="preserve"> </w:t>
      </w:r>
      <w:r>
        <w:rPr>
          <w:rFonts w:ascii="Times New Roman;sans-serif" w:hAnsi="Times New Roman;sans-serif"/>
          <w:b/>
          <w:color w:val="000000"/>
          <w:sz w:val="20"/>
        </w:rPr>
        <w:t>Access</w:t>
      </w:r>
      <w:r>
        <w:rPr>
          <w:rFonts w:ascii="Times New Roman;sans-serif" w:hAnsi="Times New Roman;sans-serif"/>
          <w:b w:val="false"/>
          <w:color w:val="000000"/>
          <w:sz w:val="20"/>
        </w:rPr>
        <w:t xml:space="preserve">, </w:t>
      </w:r>
      <w:r>
        <w:rPr>
          <w:rFonts w:ascii="Times New Roman;sans-serif" w:hAnsi="Times New Roman;sans-serif"/>
          <w:b/>
          <w:color w:val="000000"/>
          <w:sz w:val="20"/>
        </w:rPr>
        <w:t>Leadership</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color w:val="000000"/>
          <w:sz w:val="20"/>
        </w:rPr>
        <w:t>Partnership</w:t>
      </w:r>
      <w:r>
        <w:rPr>
          <w:rFonts w:ascii="Times New Roman;sans-serif" w:hAnsi="Times New Roman;sans-serif"/>
          <w:b w:val="false"/>
          <w:color w:val="000000"/>
          <w:sz w:val="20"/>
        </w:rPr>
        <w: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drawing>
          <wp:inline distT="0" distB="0" distL="0" distR="0">
            <wp:extent cx="571500" cy="6000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571500" cy="600075"/>
                    </a:xfrm>
                    <a:prstGeom prst="rect">
                      <a:avLst/>
                    </a:prstGeom>
                  </pic:spPr>
                </pic:pic>
              </a:graphicData>
            </a:graphic>
          </wp:inline>
        </w:drawing>
      </w:r>
    </w:p>
    <w:p>
      <w:pPr>
        <w:pStyle w:val="TextBody"/>
        <w:bidi w:val="0"/>
        <w:spacing w:lineRule="auto" w:line="288" w:before="0" w:after="240"/>
        <w:jc w:val="left"/>
        <w:rPr/>
      </w:pPr>
      <w:r>
        <w:rPr>
          <w:rFonts w:ascii="Times New Roman;sans-serif" w:hAnsi="Times New Roman;sans-serif"/>
          <w:b/>
          <w:color w:val="000000"/>
          <w:sz w:val="20"/>
        </w:rPr>
        <w:t>ACCESS</w:t>
      </w:r>
      <w:r>
        <w:rPr>
          <w:color w:val="000000"/>
        </w:rPr>
        <w:t xml:space="preserve"> </w:t>
      </w:r>
    </w:p>
    <w:p>
      <w:pPr>
        <w:pStyle w:val="TextBody"/>
        <w:bidi w:val="0"/>
        <w:spacing w:lineRule="auto" w:line="288" w:before="0" w:after="0"/>
        <w:ind w:left="0" w:right="0" w:firstLine="720"/>
        <w:jc w:val="left"/>
        <w:rPr/>
      </w:pPr>
      <w:r>
        <w:rPr>
          <w:rFonts w:ascii="Times New Roman;sans-serif" w:hAnsi="Times New Roman;sans-serif"/>
          <w:b/>
          <w:color w:val="000000"/>
          <w:sz w:val="20"/>
        </w:rPr>
        <w:t>Viatris provides high-quality, trusted medicines, regardless of geography or circumstance.</w:t>
      </w:r>
      <w:r>
        <w:rPr>
          <w:color w:val="000000"/>
        </w:rPr>
        <w:t xml:space="preserve"> </w:t>
      </w:r>
      <w:r>
        <w:rPr>
          <w:rFonts w:ascii="Times New Roman;sans-serif" w:hAnsi="Times New Roman;sans-serif"/>
          <w:b w:val="false"/>
          <w:color w:val="000000"/>
          <w:sz w:val="20"/>
        </w:rPr>
        <w:t xml:space="preserve">As noted above access is fundamental to our mission. It is not an initiative; it is our business model, and it is personal. It begins with our ability to sustainably deliver quality medicines to people, regardless of geography or circumstance. We believe we are a company uniquely positioned to bridge the traditional divide between generics and brands, combining the best of both to more holistically address healthcare needs globally. We are committed to improving access to high-quality medicines and working to ensure a reliable supply so patients can get the treatments they need, when and where they need them. Our global portfolio, supported by our science, medical and manufacturing expertise, delivers global iconic and key brands, and generics, including complex products.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see access as fundamental to empowering people worldwide to live healthier at every stage of life—a powerful concept in challenging times.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what we believe is an extensive portfolio of medicines to meet nearly every health need, a one-of-a-kind global supply chain designed to reach more people with health solutions when and where they need them, and the scientific expertise to address some of the world’s most enduring health challenges, access takes on deeper meaning at Viatris.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our unique vantage point, we touch all of life’s moments, from birth to the end of life, acute conditions to chronic diseases. We see across multiple therapeutic areas to the person at the center of their own unique health journey. We are focused on meeting individual needs, whether with a generic medicine, an improved version of an existing medicine, or a truly novel therapeutic solution.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Ultimately, we know we are stronger together. Both as a company and as a global community. Our pursuit of access is relentless. Because health matters everywhere.</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company, Viatris:</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Covers a broad range of therapeutic areas</w:t>
      </w:r>
      <w:r>
        <w:rPr>
          <w:rFonts w:ascii="Times New Roman;sans-serif" w:hAnsi="Times New Roman;sans-serif"/>
          <w:b w:val="false"/>
          <w:color w:val="000000"/>
          <w:sz w:val="20"/>
        </w:rPr>
        <w:t>. We produce medicines for patients across a broad range of major therapeutic areas. From cardiovascular health to oncology, Viatris offers quality treatment options across more than 10 major therapeutic areas covering a wide variety of noncommunicable and infectious diseases. We also offer support services such as diagnostic clinics, educational seminars and digital tools to help patients better manage their health. We continue to seek opportunities in various therapeutic areas that move the Company forward and leverage the strength of our internal capabilities and global platform.</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Helps ease the burden of noncommunicable diseases.</w:t>
      </w:r>
      <w:r>
        <w:rPr>
          <w:color w:val="000000"/>
        </w:rPr>
        <w:t xml:space="preserve"> </w:t>
      </w:r>
      <w:r>
        <w:rPr>
          <w:rFonts w:ascii="Times New Roman;sans-serif" w:hAnsi="Times New Roman;sans-serif"/>
          <w:b w:val="false"/>
          <w:color w:val="000000"/>
          <w:sz w:val="20"/>
        </w:rPr>
        <w:t>According to the WHO, NCDs, such as ischemic heart disease, stroke, diabetes, certain cancers and chronic obstructive pulmonary disease, are among the leading causes of death globally. NCDs affect people of every age, gender and socioeconomic status in every corner of the world, and pose a heavy burden on individuals, families and communities. To overcome this global public health threat, patients worldwide need a partner they can trust – one that not only believes everyone deserves good health, but also has the portfolio, experience and expertise to make this belief a reality.</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 xml:space="preserve">Helps hearts stay healthier. </w:t>
      </w:r>
      <w:r>
        <w:rPr>
          <w:rFonts w:ascii="Times New Roman;sans-serif" w:hAnsi="Times New Roman;sans-serif"/>
          <w:b w:val="false"/>
          <w:color w:val="000000"/>
          <w:sz w:val="20"/>
        </w:rPr>
        <w:t>According to the WHO, coronary heart disease is the number one cause of death globally. With our acquisition of selatogrel and licensing agreement for sotagliflozin, we are continuing to build on our strong presence in cardiovascular disease. Viatris collaborates with many organizations to help prevent, diagnose, and treat cardiovascular illnesses. Our deep experience in emerging and developed markets affords a tried-and-true method of achieving high impact across the patient experience, from awareness to adherence. In close collaboration with governments, healthcare providers, technology partners and patients, we at Viatris work to nurture healthcare systems that can adapt and respond to patients’ ever-changing needs. We continue to collaborate with medical associations, patient advocacy groups and academia to develop innovative, integrated solutions and programs to help strengthen both the delivery and quality of healthcare.</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Fights infectious disease</w:t>
      </w:r>
      <w:r>
        <w:rPr>
          <w:rFonts w:ascii="Times New Roman;sans-serif" w:hAnsi="Times New Roman;sans-serif"/>
          <w:b w:val="false"/>
          <w:color w:val="000000"/>
          <w:sz w:val="20"/>
        </w:rPr>
        <w:t>. We are also a global leader in treating infectious diseases such as HIV/AIDS, hepatitis, and tuberculosis, and offer an extensive portfolio across these disease states. While many important strides have been made to treat these illnesses, there is still more to be done in countries where lack of access to therapeutics, preventative treatment and diagnostics often result in patients not receiving proper care, and those where HIV transmission continues decades into the epidemic. From manufacturing a pediatric-friendly antiretroviral used to treat HIV-positive infants to providing HIV self-tests in some low- and middle-income countries, we are innovating to help patients.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An Increasingly Innovative and Differentiated Pipeline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confidence in the future delivery of our pipeline is rooted in our strong historic development programs and list of firsts, including the first FDA approvals of the generic version of Allergan's Restasis® and the generic version of Symbicort®, Breyna™. In addition, we are working on many other programs, including the potential to be first to market for our generics of Abilify Maintena®, Injectafer®, Invega Trinza®, Ozempic®, Venofer® and Wegovy™. We are also working with our partners in developing patent-protected, innovative assets such as selatogrel and cenerimod, and on novel and complex products such as our BOTOX® (onabotulinumtoxinA) biosimilar.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diligently pursue important generics opportunities, we have increasingly focused on limited-competition complex and novel products targeting gaps in care, all with a first-to-market emphasis and serving our mission of patient access. Complex product categories are critical to patient health and are growing at a rapid pace. Our goal is to enhance our proven scientific capabilities and current global platform, including our Global Healthcare Gateway®, which allows partners to access our infrastructure and many established strengths to reach patients they may not have the resources to reach on their own, to create a durable and higher-margin portfolio of products. And that means further expanding beyond our current scope into more innovative products, including innovative, best-in-class, patent-protected assets that address areas of significant unmet medical need. </w:t>
      </w:r>
    </w:p>
    <w:p>
      <w:pPr>
        <w:pStyle w:val="TextBody"/>
        <w:bidi w:val="0"/>
        <w:spacing w:before="0" w:after="0"/>
        <w:ind w:left="0" w:right="0" w:firstLine="720"/>
        <w:jc w:val="left"/>
        <w:rPr/>
      </w:pPr>
      <w:r>
        <w:rPr/>
      </w:r>
    </w:p>
    <w:p>
      <w:pPr>
        <w:pStyle w:val="TextBody"/>
        <w:bidi w:val="0"/>
        <w:spacing w:before="0" w:after="240"/>
        <w:jc w:val="left"/>
        <w:rPr/>
      </w:pPr>
      <w:r>
        <w:rPr/>
        <w:drawing>
          <wp:inline distT="0" distB="0" distL="0" distR="0">
            <wp:extent cx="571500" cy="5429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571500" cy="542925"/>
                    </a:xfrm>
                    <a:prstGeom prst="rect">
                      <a:avLst/>
                    </a:prstGeom>
                  </pic:spPr>
                </pic:pic>
              </a:graphicData>
            </a:graphic>
          </wp:inline>
        </w:drawing>
      </w:r>
    </w:p>
    <w:p>
      <w:pPr>
        <w:pStyle w:val="TextBody"/>
        <w:bidi w:val="0"/>
        <w:spacing w:lineRule="auto" w:line="288" w:before="0" w:after="240"/>
        <w:jc w:val="left"/>
        <w:rPr/>
      </w:pPr>
      <w:r>
        <w:rPr>
          <w:rFonts w:ascii="Times New Roman;sans-serif" w:hAnsi="Times New Roman;sans-serif"/>
          <w:b/>
          <w:color w:val="000000"/>
          <w:sz w:val="20"/>
        </w:rPr>
        <w:t>LEADERSHIP</w:t>
      </w:r>
      <w:r>
        <w:rPr>
          <w:color w:val="000000"/>
        </w:rPr>
        <w:t xml:space="preserve"> </w:t>
      </w:r>
    </w:p>
    <w:p>
      <w:pPr>
        <w:pStyle w:val="TextBody"/>
        <w:bidi w:val="0"/>
        <w:spacing w:lineRule="auto" w:line="288" w:before="0" w:after="240"/>
        <w:ind w:left="0" w:right="0" w:firstLine="720"/>
        <w:jc w:val="left"/>
        <w:rPr/>
      </w:pPr>
      <w:r>
        <w:rPr>
          <w:rFonts w:ascii="Times New Roman;sans-serif" w:hAnsi="Times New Roman;sans-serif"/>
          <w:b/>
          <w:color w:val="000000"/>
          <w:sz w:val="20"/>
        </w:rPr>
        <w:t xml:space="preserve">Viatris is advancing sustainable operations and innovative solutions to improve patient health and support more resilient healthcare systems. </w:t>
      </w:r>
      <w:r>
        <w:rPr>
          <w:rFonts w:ascii="Times New Roman;sans-serif" w:hAnsi="Times New Roman;sans-serif"/>
          <w:b w:val="false"/>
          <w:color w:val="000000"/>
          <w:sz w:val="20"/>
        </w:rPr>
        <w:t>Viatris is committed to providing steady leadership in a world that is constantly evolving. We take that commitment seriously and know that advancing sustainable operations and innovative solutions to improve patient health requires strong global leadership. We know what it takes to reach more patients with more products, and believe that Viatris is uniquely positioned to make a difference through our:</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Powerful global operating platform</w:t>
      </w:r>
      <w:r>
        <w:rPr>
          <w:rFonts w:ascii="Times New Roman;sans-serif" w:hAnsi="Times New Roman;sans-serif"/>
          <w:b w:val="false"/>
          <w:color w:val="000000"/>
          <w:sz w:val="20"/>
        </w:rPr>
        <w:t xml:space="preserve">, which combines what we believe to be best-in-class manufacturing and supply chain capabilities. We have designed our global operations and supply chain to be a reliable and flexible partner for access across the world, constantly adapting to an ever-evolving landscape. Viatris operates approximately 26 manufacturing and packaging sites worldwide that produce oral solid doses, injectables, and products with complex dosage forms on five different continents. Together with a global, flexible and diverse supply chain, our platform strives to mitigate risks of disruption and ensure supply reliability. Our responsive global network has helped us maintain a reliable supply of much needed medicines through times of significant volatility. We are committed to advancing responsible and sustainable operations and work diligently to minimize our environmental footprint across the Viatris network while safeguarding access to medicine. </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Robust global technical resources</w:t>
      </w:r>
      <w:r>
        <w:rPr>
          <w:rFonts w:ascii="Times New Roman;sans-serif" w:hAnsi="Times New Roman;sans-serif"/>
          <w:b w:val="false"/>
          <w:color w:val="000000"/>
          <w:sz w:val="20"/>
        </w:rPr>
        <w:t>, including thousands of scientists, regulatory experts, clinical, medical and product safety professionals working around the world on innovative therapies and solutions for patients everywhere.</w:t>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Strong global commercial team</w:t>
      </w:r>
      <w:r>
        <w:rPr>
          <w:rFonts w:ascii="Times New Roman;sans-serif" w:hAnsi="Times New Roman;sans-serif"/>
          <w:b w:val="false"/>
          <w:color w:val="000000"/>
          <w:sz w:val="20"/>
        </w:rPr>
        <w:t>, including sales team members and marketing professionals whose goal is to ensure that our products reach customers around the globe.</w:t>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Diverse and differentiated global portfolio</w:t>
      </w:r>
      <w:r>
        <w:rPr>
          <w:color w:val="000000"/>
        </w:rPr>
        <w:t xml:space="preserve"> </w:t>
      </w:r>
      <w:r>
        <w:rPr>
          <w:rFonts w:ascii="Times New Roman;sans-serif" w:hAnsi="Times New Roman;sans-serif"/>
          <w:b w:val="false"/>
          <w:color w:val="000000"/>
          <w:sz w:val="20"/>
        </w:rPr>
        <w:t xml:space="preserve">includes products in more than 10 major therapeutic areas, including both infectious diseases and NCDs, and medicines that help treat the top 10 leading causes of death globally, as determined by the WHO. We are a leading supplier of medicines to the HIV/AIDS community around the world, with a legacy of providing access to high-quality and affordable ARVs in more than 100 countries.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Viatris’ global leadership in all of these areas uniquely positions us to efficiently and effectively serve patients regardless of geography or circumstance. Together, with our commitment to provide access to a sustainable, affordable, and diverse portfolio of high-quality medicines and our goal to be a Partner of Choice® for companies big and small, Viatris works to improve access and meet evolving healthcare needs around the world.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240"/>
        <w:jc w:val="left"/>
        <w:rPr/>
      </w:pPr>
      <w:r>
        <w:rPr/>
        <w:drawing>
          <wp:inline distT="0" distB="0" distL="0" distR="0">
            <wp:extent cx="571500" cy="542925"/>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571500" cy="542925"/>
                    </a:xfrm>
                    <a:prstGeom prst="rect">
                      <a:avLst/>
                    </a:prstGeom>
                  </pic:spPr>
                </pic:pic>
              </a:graphicData>
            </a:graphic>
          </wp:inline>
        </w:drawing>
      </w:r>
    </w:p>
    <w:p>
      <w:pPr>
        <w:pStyle w:val="TextBody"/>
        <w:bidi w:val="0"/>
        <w:spacing w:lineRule="auto" w:line="288" w:before="0" w:after="240"/>
        <w:jc w:val="left"/>
        <w:rPr/>
      </w:pPr>
      <w:r>
        <w:rPr>
          <w:rFonts w:ascii="Times New Roman;sans-serif" w:hAnsi="Times New Roman;sans-serif"/>
          <w:b/>
          <w:color w:val="000000"/>
          <w:sz w:val="20"/>
        </w:rPr>
        <w:t>PARTNERSHIP</w:t>
      </w:r>
      <w:r>
        <w:rPr>
          <w:color w:val="000000"/>
        </w:rPr>
        <w:t xml:space="preserve"> </w:t>
      </w:r>
    </w:p>
    <w:p>
      <w:pPr>
        <w:pStyle w:val="TextBody"/>
        <w:bidi w:val="0"/>
        <w:spacing w:lineRule="auto" w:line="288" w:before="0" w:after="0"/>
        <w:ind w:left="0" w:right="0" w:firstLine="720"/>
        <w:jc w:val="left"/>
        <w:rPr/>
      </w:pPr>
      <w:r>
        <w:rPr>
          <w:rFonts w:ascii="Times New Roman;sans-serif" w:hAnsi="Times New Roman;sans-serif"/>
          <w:b/>
          <w:color w:val="000000"/>
          <w:sz w:val="20"/>
        </w:rPr>
        <w:t xml:space="preserve">Leveraging our collective expertise to connect people to products and services. </w:t>
      </w:r>
      <w:r>
        <w:rPr>
          <w:rFonts w:ascii="Times New Roman;sans-serif" w:hAnsi="Times New Roman;sans-serif"/>
          <w:b w:val="false"/>
          <w:color w:val="000000"/>
          <w:sz w:val="20"/>
        </w:rPr>
        <w:t xml:space="preserve">Partnerships and collaborations are critical, as are policies and strong healthcare systems that allow for healthy competitive environments. We have a strong history of playing a leading role by partnering with other pharmaceutical companies, nonprofit organizations, government agencies, policymakers, trade associations and alliances, industry researchers and patient advocacy groups to promote sustainable access to treatment, build more resilient healthcare systems and drive these issues within our industry on global, regional and local levels. Many of our collaborations focus on access to medicine; public awareness and disease screening; and healthcare professional education and support.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Global Healthcare Gateway® Built to Fuel Growth and Partnerships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Global Healthcare Gateway® offers partners ready access to more markets and patients worldwide through the Company’s unique global infrastructure and expertise, connecting more people with even more products and services they may not have the resources to reach on their own. The Company is actively engaging with potential business partners to help them accelerate possibilities of using their own healthcare assets to reach more markets and patients by leveraging Viatris’ unique global platform – its R&amp;D, supply chain, manufacturing, regulatory, commercial and legal expertise. With the global platforms and infrastructure supporting its innovative Global Healthcare Gateway®, the Company is enhancing its capital allocation approach to business development, and its organic and inorganic R&amp;D investments through a focused governance structure to ensure the highest level of strategic decision-making.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recent example of how the Company is utilizing its Global Healthcare Gateway® is the October 2024 exclusive licensing agreement with Lexicon for sotagliflozin in all markets outside of the U.S. and Europe. This licensing agreement leverages Viatris’ expertise in cardiovascular diseases and is another example of how the Company is continuing to expand its innovative portfolio by identifying, vetting and securing highly innovative, patent-protected assets that address significant unmet medical needs.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Licensing and Other Partner Agreements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periodically enters into commercial licensing and other partner agreements with other pharmaceutical companies for the development, manufacture, marketing and/or sale of pharmaceutical products. Doing so helps the Company share risks and costs, leverage strengths and scale up commercialization, but usually requires the Company to also share future profits. The result often is that medicines become available sooner and to a significantly larger group of patients.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Company’s significant licensing and other partner agreements are focused on the development, manufacturing, supply and commercialization of multiple, high-value generic compounds, respiratory products, and other complex or innovative products. Refer to Note 18 </w:t>
      </w:r>
      <w:r>
        <w:rPr>
          <w:rFonts w:ascii="Times New Roman;sans-serif" w:hAnsi="Times New Roman;sans-serif"/>
          <w:b w:val="false"/>
          <w:i/>
          <w:color w:val="000000"/>
          <w:sz w:val="20"/>
        </w:rPr>
        <w:t>Licensing and Other Partner Agreements</w:t>
      </w:r>
      <w:r>
        <w:rPr>
          <w:color w:val="000000"/>
        </w:rPr>
        <w:t xml:space="preserve"> </w:t>
      </w:r>
      <w:r>
        <w:rPr>
          <w:rFonts w:ascii="Times New Roman;sans-serif" w:hAnsi="Times New Roman;sans-serif"/>
          <w:b w:val="false"/>
          <w:color w:val="000000"/>
          <w:sz w:val="20"/>
        </w:rPr>
        <w:t>included in Part II, Item 8 of this Form 10-K for more information. As the Company continues to expand its portfolio</w:t>
      </w:r>
      <w:r>
        <w:rPr>
          <w:color w:val="000000"/>
        </w:rPr>
        <w:t xml:space="preserve"> </w:t>
      </w:r>
      <w:r>
        <w:rPr>
          <w:rFonts w:ascii="Times New Roman;sans-serif" w:hAnsi="Times New Roman;sans-serif"/>
          <w:b w:val="false"/>
          <w:color w:val="000000"/>
          <w:sz w:val="20"/>
        </w:rPr>
        <w:t xml:space="preserve">of more innovative, best-in-class, patent-protected assets, the Company may enter into more financial commitments in connection with agreements with its collaboration partners that provide for certain services, as well as cross manufacturing, development and licensing arrangements. For additional information, see Part I, Item 1A Risk Factors – </w:t>
      </w:r>
      <w:r>
        <w:rPr>
          <w:color w:val="000000"/>
        </w:rPr>
        <w:t>“</w:t>
      </w:r>
      <w:r>
        <w:rPr>
          <w:rFonts w:ascii="Times New Roman;sans-serif" w:hAnsi="Times New Roman;sans-serif"/>
          <w:b w:val="false"/>
          <w:i/>
          <w:color w:val="000000"/>
          <w:sz w:val="20"/>
        </w:rPr>
        <w:t>We may not realize the intended benefits of, or achieve the intended goals or outlooks with respect to, our strategic initiatives and priorities, including divestitures, acquisitions or other potential transactions.”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has developed an end-to-end experience across the total product life cycle, which includes global regulatory licensing, launch, growth and post-approval lifecycle management. Our research, development and medical platform seeks to maximize the impact of our existing portfolio by examining whether there is an opportunity for new indications, label extensions, formulations, and market registrations for our products. We also use our platform to determine whether there is an opportunity to integrate new products into our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manufacturing of API and finished dosage forms is currently performed by a combination of internal and external manufacturing operations. After completing the divestiture of our API business in India, we continue to maintain some selective R&amp;D capabilities in API and believe we have access to adequate API supplies through a manufacturing and supply agreement with the API business buyer and our arrangements with other manufacturers. For additional information, see Part I, Item 1A Risk Factors - “</w:t>
      </w:r>
      <w:r>
        <w:rPr>
          <w:rFonts w:ascii="Times New Roman;sans-serif" w:hAnsi="Times New Roman;sans-serif"/>
          <w:b w:val="false"/>
          <w:i/>
          <w:color w:val="000000"/>
          <w:sz w:val="20"/>
        </w:rPr>
        <w:t>We have a limited number of manufacturing facilities and certain third-party suppliers produce a substantial portion of our API and products, some of which require a highly exacting and complex manufacturing process.</w:t>
      </w:r>
      <w:r>
        <w:rPr>
          <w:color w:val="000000"/>
        </w:rPr>
        <w:t xml:space="preserve">” </w:t>
      </w:r>
      <w:r>
        <w:rPr>
          <w:rFonts w:ascii="Times New Roman;sans-serif" w:hAnsi="Times New Roman;sans-serif"/>
          <w:b w:val="false"/>
          <w:color w:val="000000"/>
          <w:sz w:val="20"/>
        </w:rPr>
        <w:t>of this Form 10-K.</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manufacturing, warehousing and distribution activities are located primarily in the U.S., Puerto Rico, Singapore, India, Australia, China, and certain EU countries, including Ireland. In addition, we maintain administrative facilities around the world. While many of these key facilities are owned, Viatris also leases certain facilities from third parties.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all its facilities are in good operating condition, the machinery and equipment are well-maintained, the facilities are suitable for their intended purposes, and they have capacities adequate for the current operations.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records related to our products are subject to periodic inspection by the FDA, the EMA and other regulatory authorities in jurisdictions where the Company’s products are marketed. In addition, authorities often conduct pre-approval plant inspections to determine whether the Company’s systems and processes comply with current GMP and other regulations, and clinical-trial reviews to evaluate regulatory compliance and data integrity. Our suppliers, contract manufacturers, clinical trial partners and other business partners are subject to similar regulations and periodic inspections. The Company remains committed to maintaining the highest quality manufacturing standards at its facilities around the world and to continuous assessment and improvement in a time of evolving industry dynamics and regulatory expectations.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an inspection by the FDA at our oral finished dose manufacturing facility in Indore, India in 2024, the FDA has issued a warning letter, and an import alert related to this facility. The import alert affects 11 actively distributed products that will no longer be accepted into the U.S. until the warning letter is lifted. It makes exceptions, subject to certain conditions, for four products based on shortage concerns. Following recently concluded discussions with the FDA, the Company does not expect additional product exceptions to be granted by the FDA.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substance of FDA’s original inspection observations, the Company immediately implemented a comprehensive remediation plan at the site. The necessary corrective and preventive actions are well underway, including but not limited to related personnel actions. Additionally, we have engaged independent third-party subject matter experts to support the remediation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in regular communication with FDA during this process and will continue to work to ensure that the FDA is satisfied with the steps we have taken to resolve all the points raised. Our responses to the warning letter and import alert were submitted within the required time periods.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product continues to be shipped from the Indore facility to markets outside the U.S., some impact in other markets, including the ARV business in Emerging Markets and select generic products in Europe, is anticipated. The Company currently estimates the negative impact to 2025 total revenues to be approximately $500 million and to 2025 earnings from operations to be approximately $385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take very seriously our continued and comprehensive oversight of our entire manufacturing network. Patient safety remains our primary and unwavering focus. We will work closely with our customers to mitigate any possible supply disruptions and meet the needs of the patients we serve.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For additional information, see Part I, Item 1A Risk Factors - “</w:t>
      </w:r>
      <w:r>
        <w:rPr>
          <w:rFonts w:ascii="Times New Roman;sans-serif" w:hAnsi="Times New Roman;sans-serif"/>
          <w:b w:val="false"/>
          <w:i/>
          <w:color w:val="000000"/>
          <w:sz w:val="20"/>
        </w:rPr>
        <w:t>The pharmaceutical industry is heavily regulated, and we face significant costs and uncertainties associated with our efforts to comply with applicable laws and regulations.</w:t>
      </w:r>
      <w:r>
        <w:rPr>
          <w:color w:val="000000"/>
        </w:rPr>
        <w:t xml:space="preserve">” </w:t>
      </w:r>
      <w:r>
        <w:rPr>
          <w:rFonts w:ascii="Times New Roman;sans-serif" w:hAnsi="Times New Roman;sans-serif"/>
          <w:b w:val="false"/>
          <w:color w:val="000000"/>
          <w:sz w:val="20"/>
        </w:rPr>
        <w:t>of this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Customers and Marketing</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include retail and pharmacy establishments, wholesalers and distributors, payers, insurers and governments, and institutions, such as hospitals, among others. See “Channel Types” below for more information about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displays the percentage of consolidated net sales to our largest customers during the years ended December 31, 2024, 2023 and 2022:</w:t>
      </w:r>
    </w:p>
    <w:tbl>
      <w:tblPr>
        <w:tblW w:w="7793" w:type="dxa"/>
        <w:jc w:val="left"/>
        <w:tblInd w:w="0" w:type="dxa"/>
        <w:tblLayout w:type="fixed"/>
        <w:tblCellMar>
          <w:top w:w="28" w:type="dxa"/>
          <w:left w:w="28" w:type="dxa"/>
          <w:bottom w:w="28" w:type="dxa"/>
          <w:right w:w="28" w:type="dxa"/>
        </w:tblCellMar>
      </w:tblPr>
      <w:tblGrid>
        <w:gridCol w:w="1710"/>
        <w:gridCol w:w="1505"/>
        <w:gridCol w:w="1510"/>
        <w:gridCol w:w="180"/>
        <w:gridCol w:w="181"/>
        <w:gridCol w:w="356"/>
        <w:gridCol w:w="143"/>
        <w:gridCol w:w="143"/>
        <w:gridCol w:w="143"/>
        <w:gridCol w:w="180"/>
        <w:gridCol w:w="181"/>
        <w:gridCol w:w="356"/>
        <w:gridCol w:w="143"/>
        <w:gridCol w:w="143"/>
        <w:gridCol w:w="143"/>
        <w:gridCol w:w="180"/>
        <w:gridCol w:w="181"/>
        <w:gridCol w:w="415"/>
      </w:tblGrid>
      <w:tr>
        <w:trPr/>
        <w:tc>
          <w:tcPr>
            <w:tcW w:w="171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Consolidated Net Sales</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Corporation</w:t>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Cencora, Inc. (formerly AmerisourceBergen Corporation)</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 Inc.</w:t>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Net sales represented less than 10% of consolidated net sales during the period.</w:t>
      </w:r>
    </w:p>
    <w:p>
      <w:pPr>
        <w:pStyle w:val="TextBody"/>
        <w:bidi w:val="0"/>
        <w:spacing w:before="0" w:after="0"/>
        <w:ind w:left="0" w:right="0" w:hanging="36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serve our customers through a team of highly-skilled sales and marketing professionals, all of whom are focused on establishing Viatris as our customers’ partner of choice. To best meet customers’ needs, the Company manages its business on a geographic basis.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being dynamic, the pharmaceutical industry is complex. How it functions, how it is regulated and how it provides patients access varies by location. Similarly, competition is affected by many factors. Examples of factors include innovation and development, timely approval of prescription drugs by health authorities, manufacturing capabilities, product quality, marketing effectiveness, portfolio size, customer service, consumer acceptance, product price, political stability and the availability of funding for healthcare.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parts of our business also are affected by seasonality, e.g., due to the timing and severity of peak cough, cold and flu incidence, which can cause variability in sales trends for some of our products. While seasonality may affect quarterly comparisons within a fiscal year, it generally is not material to our annual consolidated results.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these and other reasons, the Company’s sales and marketing efforts vary accordingly by product, market and channel type, each of which is described below.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See the </w:t>
      </w:r>
      <w:r>
        <w:rPr>
          <w:rFonts w:ascii="Times New Roman;sans-serif" w:hAnsi="Times New Roman;sans-serif"/>
          <w:b w:val="false"/>
          <w:i/>
          <w:color w:val="000000"/>
          <w:sz w:val="20"/>
        </w:rPr>
        <w:t>Application of Critical Accounting Policies</w:t>
      </w:r>
      <w:r>
        <w:rPr>
          <w:color w:val="000000"/>
        </w:rPr>
        <w:t xml:space="preserve"> </w:t>
      </w:r>
      <w:r>
        <w:rPr>
          <w:rFonts w:ascii="Times New Roman;sans-serif" w:hAnsi="Times New Roman;sans-serif"/>
          <w:b w:val="false"/>
          <w:color w:val="000000"/>
          <w:sz w:val="20"/>
        </w:rPr>
        <w:t>section in Part II, Item 7 of this Form 10-K for more information related to customer arrangements.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cardiovascular health to oncology, Viatris offers quality treatment options across more than 10 major therapeutic areas covering a wide variety of noncommunicable and infectious diseases. We also offer support services such as diagnostic clinics, educational seminars and digital tools to help patients better manage their health. We offer a broad and diverse range of treatment options across all our therapeutic areas, with many categories containing several products in a range of dosage forms, formulations and delivery systems that allow physicians to tailor care for optimal treatment.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Company looks to the future, Viatris’ goal is to leverage its proven scientific capabilities to create a durable and higher-margin portfolio of products. Viatris intends to continue building its pipeline and focusing on products with greater complexity while also investing in the lifecycle management of certain key products in our current portfolio. The Company is also expanding further beyond its current scope into more innovative products, including innovative, best-in-class, patent-protected assets that address areas of significant unmet medical need. The Company is further enhancing its commercial and scientific capabilities as needed for this future portfolio and intends to increase its R&amp;D investment as well as inorganically grow via business development through its Global Healthcare Gateway®.</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currently markets prescription branded and generic drugs, including complex drugs.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Branded drugs</w:t>
      </w:r>
      <w:r>
        <w:rPr>
          <w:color w:val="000000"/>
        </w:rPr>
        <w:t xml:space="preserve"> </w:t>
      </w:r>
      <w:r>
        <w:rPr>
          <w:rFonts w:ascii="Times New Roman;sans-serif" w:hAnsi="Times New Roman;sans-serif"/>
          <w:b w:val="false"/>
          <w:color w:val="000000"/>
          <w:sz w:val="20"/>
        </w:rPr>
        <w:t>are typically prescription</w:t>
      </w:r>
      <w:r>
        <w:rPr>
          <w:color w:val="000000"/>
        </w:rPr>
        <w:t xml:space="preserve"> </w:t>
      </w:r>
      <w:r>
        <w:rPr>
          <w:rFonts w:ascii="Times New Roman;sans-serif" w:hAnsi="Times New Roman;sans-serif"/>
          <w:b w:val="false"/>
          <w:color w:val="000000"/>
          <w:sz w:val="20"/>
        </w:rPr>
        <w:t xml:space="preserve">pharmaceuticals that are sufficiently novel as to be protected by patents or other forms of exclusivity. As such, these drugs, which bear trade names, may be produced and sold only by those owning the rights, subject to certain challenges that other companies may make. Developing new medicines can take years and significant investment. Only a few promising therapies ever enter clinical trials. Fewer still are approved for sale by health authorities, at which point marketing to healthcare providers and consumers begins. Because patents and exclusivities last many years, they serve as an incentive to developers. During the periods protected, developers often recoup their investments and earn a profit. In many high-income countries, the brand business often is characterized by higher margins on lower volumes - especially as compared with generic manufacturers. Viatris has numerous branded drugs, including iconic brands, as well as several global key brands to help patients manage their health. Brand drugs include branded generics which are off-patent products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sold under an approved proprietary name for marketing purposes. Brand products often become branded generics once patent protections or other forms of exclusivity expire. Branded generic products are common in many countries outside the U.S., including emerging markets. Brand and branded generic products are more sensitive to promotion than are unbranded generic products. They therefore represent the primary focus of most of our sales representatives and product-level marketing activity. Our remaining OTC products, which are sold directly to consumers without a prescription and without reimbursement, are generally sold under a brand name.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Generic drugs</w:t>
      </w:r>
      <w:r>
        <w:rPr>
          <w:color w:val="000000"/>
        </w:rPr>
        <w:t xml:space="preserve"> </w:t>
      </w:r>
      <w:r>
        <w:rPr>
          <w:rFonts w:ascii="Times New Roman;sans-serif" w:hAnsi="Times New Roman;sans-serif"/>
          <w:b w:val="false"/>
          <w:color w:val="000000"/>
          <w:sz w:val="20"/>
        </w:rPr>
        <w:t xml:space="preserve">are therapeutically equivalent versions of brand drugs. Generics generally become available once the patents and other exclusivities on their branded counterparts expire. The generics business is generally characterized by lower margins on higher volumes of a relatively large number of products. Our generic medicines work in the same way and provide the same clinical benefits as their as their brand-name counterparts and may cost less, providing patients and the healthcare system important savings and options which we believe are essential to making healthcare accessible. The manufacturing of generic medicines is held to the same standards of GMP by health authorities as the manufacturing of branded medicines. National health authorities inspect our facilities around the world to ensure that generic manufacturing, packaging and testing sites pass the same quality standards as those of brand drugs. Generic products typically are sold under their INNs. INNs facilitate the identification of pharmaceutical substances or API. Each INN is unique and globally recognized. A nonproprietary name also is known as a generic name.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Complex drugs</w:t>
      </w:r>
      <w:r>
        <w:rPr>
          <w:color w:val="000000"/>
        </w:rPr>
        <w:t xml:space="preserve"> </w:t>
      </w:r>
      <w:r>
        <w:rPr>
          <w:rFonts w:ascii="Times New Roman;sans-serif" w:hAnsi="Times New Roman;sans-serif"/>
          <w:b w:val="false"/>
          <w:color w:val="000000"/>
          <w:sz w:val="20"/>
        </w:rPr>
        <w:t>are medicines that could have a complex active ingredient, complex formulation, complex route of delivery or complex drug device combinations. Viatris offers a number of these important medicines to patients, including Breyna™ Inhalation Aerosol, the first FDA-approved generic version of Symbicort®, Wixela Inhub®, the first generic of ADVAIR DISKUS® and glatiramer acetate injection, a generic version of Copaxone®. Our current complex products are considered generics and are included within our generics revenue category.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Viatris will continue to diligently pursue important generics opportunities, the Company will increasingly focus on limited-competition complex and novel products targeting gaps in care, all with a first-to-market emphasis and serving our mission of patient access. The Company believes innovative and complex products categories are critical to patient health and are growing at a rapid pace.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also often incur substantial litigation expense as a result of defending or challenging brand patents or exclusivities, which is described further in Note 19 </w:t>
      </w:r>
      <w:r>
        <w:rPr>
          <w:rFonts w:ascii="Times New Roman;sans-serif" w:hAnsi="Times New Roman;sans-serif"/>
          <w:b w:val="false"/>
          <w:i/>
          <w:color w:val="000000"/>
          <w:sz w:val="20"/>
        </w:rPr>
        <w:t xml:space="preserve">Litigation </w:t>
      </w:r>
      <w:r>
        <w:rPr>
          <w:rFonts w:ascii="Times New Roman;sans-serif" w:hAnsi="Times New Roman;sans-serif"/>
          <w:b w:val="false"/>
          <w:color w:val="000000"/>
          <w:sz w:val="20"/>
        </w:rPr>
        <w:t>included in Part II, Item 8 of this Form 10-K.</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 Types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focuses its sales and marketing efforts on the people who make key decisions around pharmaceutical prescribing, dispensing or buying. Decision makers vary by country or region, reflecting law and custom, giving rise to different types of pharmaceutical markets. Many countries feature a mix of or hybrids of various market types, though the Company may focus on just one type in a particular country.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prescription</w:t>
      </w:r>
      <w:r>
        <w:rPr>
          <w:color w:val="000000"/>
        </w:rPr>
        <w:t xml:space="preserve"> </w:t>
      </w:r>
      <w:r>
        <w:rPr>
          <w:rFonts w:ascii="Times New Roman;sans-serif" w:hAnsi="Times New Roman;sans-serif"/>
          <w:b w:val="false"/>
          <w:color w:val="000000"/>
          <w:sz w:val="20"/>
        </w:rPr>
        <w:t>markets, physicians decide which medicines patients will take. Pharmacies then dispense the products as directed. Drug companies employ sales forces to educate doctors about the clinical benefits of their products. Representatives call on individual doctors or group practices; the process is known as detailing. Examples of countries served by Viatris that are mainly prescription markets are the U.S. brand business, China, Turkey, Poland and Mexico.</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substitution</w:t>
      </w:r>
      <w:r>
        <w:rPr>
          <w:color w:val="000000"/>
        </w:rPr>
        <w:t xml:space="preserve"> </w:t>
      </w:r>
      <w:r>
        <w:rPr>
          <w:rFonts w:ascii="Times New Roman;sans-serif" w:hAnsi="Times New Roman;sans-serif"/>
          <w:b w:val="false"/>
          <w:color w:val="000000"/>
          <w:sz w:val="20"/>
        </w:rPr>
        <w:t>markets, pharmacists generally are authorized (and in some cases required) by law to dispense an unbranded or branded generic, if available, in place of a brand-name medicine, or vice versa. Drug companies may use sales forces in these markets too, with representatives calling on and educating pharmacy personnel about their organization and products. Examples of countries served by Viatris that are mainly substitution markets are France, Italy, Spain, Portugal, Japan and Australia.</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tender</w:t>
      </w:r>
      <w:r>
        <w:rPr>
          <w:color w:val="000000"/>
        </w:rPr>
        <w:t xml:space="preserve"> </w:t>
      </w:r>
      <w:r>
        <w:rPr>
          <w:rFonts w:ascii="Times New Roman;sans-serif" w:hAnsi="Times New Roman;sans-serif"/>
          <w:b w:val="false"/>
          <w:color w:val="000000"/>
          <w:sz w:val="20"/>
        </w:rPr>
        <w:t>markets, payers, such as governments or insurance companies, negotiate the lowest price for a drug (or group of drugs) on behalf of their constituents or members. In exchange, the chosen supplier’s product is placed on the payer’s formulary, or list of covered prescriptions. Often, a supplier’s drug is the only one available in an entire class of drugs. Large sales forces are not needed to reach these decision-makers. Examples of generic markets served by Viatris that are mainly tender markets are New Zealand, Sweden, South Africa, as well as Germany.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distribution</w:t>
      </w:r>
      <w:r>
        <w:rPr>
          <w:color w:val="000000"/>
        </w:rPr>
        <w:t xml:space="preserve"> </w:t>
      </w:r>
      <w:r>
        <w:rPr>
          <w:rFonts w:ascii="Times New Roman;sans-serif" w:hAnsi="Times New Roman;sans-serif"/>
          <w:b w:val="false"/>
          <w:color w:val="000000"/>
          <w:sz w:val="20"/>
        </w:rPr>
        <w:t xml:space="preserve">markets, retailers and wholesalers make drug-purchasing decisions. Large sales forces are not needed to reach the decision-makers representing these organizations. Note, however, that pharmacists operating in distribution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also may be authorized to make substitution decisions when dispensing medicines. Examples of countries served by Viatris that are mainly distribution markets are the U.S. generics business, the U.K. and Norway.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allocation of our sales and marketing resources reflects the characteristics of these different market types.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remaining OTC products, consumers are the decision-makers. OTC products are commonly sold via retail channels, such as pharmacies, drugstores and supermarkets. This makes their sale and marketing comparable to other retail businesses, with broad advertising and trade-channel promotion. Consumers often are loyal to well-known OTC brands. For this reason, suppliers of OTC products, Viatris included, must invest the time and resources needed to build strong OTC brand names.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Channel Types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products make their way to patients through a variety of intermediaries, or channels.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Pharmaceutical</w:t>
      </w:r>
      <w:r>
        <w:rPr>
          <w:color w:val="000000"/>
        </w:rPr>
        <w:t xml:space="preserve"> </w:t>
      </w:r>
      <w:r>
        <w:rPr>
          <w:rFonts w:ascii="Times New Roman;sans-serif" w:hAnsi="Times New Roman;sans-serif"/>
          <w:b w:val="false"/>
          <w:i/>
          <w:color w:val="000000"/>
          <w:sz w:val="20"/>
        </w:rPr>
        <w:t>wholesalers/distributors</w:t>
      </w:r>
      <w:r>
        <w:rPr>
          <w:color w:val="000000"/>
        </w:rPr>
        <w:t xml:space="preserve"> </w:t>
      </w:r>
      <w:r>
        <w:rPr>
          <w:rFonts w:ascii="Times New Roman;sans-serif" w:hAnsi="Times New Roman;sans-serif"/>
          <w:b w:val="false"/>
          <w:color w:val="000000"/>
          <w:sz w:val="20"/>
        </w:rPr>
        <w:t>purchase prescription medicines and other medical products directly from manufacturers for storage in warehouses and distribution centers. The distributors then fill orders placed by healthcare providers and other authorized buyers.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Pharmaceutical</w:t>
      </w:r>
      <w:r>
        <w:rPr>
          <w:color w:val="000000"/>
        </w:rPr>
        <w:t xml:space="preserve"> </w:t>
      </w:r>
      <w:r>
        <w:rPr>
          <w:rFonts w:ascii="Times New Roman;sans-serif" w:hAnsi="Times New Roman;sans-serif"/>
          <w:b w:val="false"/>
          <w:i/>
          <w:color w:val="000000"/>
          <w:sz w:val="20"/>
        </w:rPr>
        <w:t>retailers</w:t>
      </w:r>
      <w:r>
        <w:rPr>
          <w:color w:val="000000"/>
        </w:rPr>
        <w:t xml:space="preserve"> </w:t>
      </w:r>
      <w:r>
        <w:rPr>
          <w:rFonts w:ascii="Times New Roman;sans-serif" w:hAnsi="Times New Roman;sans-serif"/>
          <w:b w:val="false"/>
          <w:color w:val="000000"/>
          <w:sz w:val="20"/>
        </w:rPr>
        <w:t>purchase products directly from manufacturers or wholesalers/distributors. They then sell them to consumers in relatively small quantities for personal use.</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Institutional pharmacies</w:t>
      </w:r>
      <w:r>
        <w:rPr>
          <w:color w:val="000000"/>
        </w:rPr>
        <w:t xml:space="preserve"> </w:t>
      </w:r>
      <w:r>
        <w:rPr>
          <w:rFonts w:ascii="Times New Roman;sans-serif" w:hAnsi="Times New Roman;sans-serif"/>
          <w:b w:val="false"/>
          <w:color w:val="000000"/>
          <w:sz w:val="20"/>
        </w:rPr>
        <w:t>address the unique needs of hospitals, nursing homes and other such venues. Among the services provided are specialized packaging, including for injectables and unit-dose products, for controlled administration.</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Mail-order and e-commerce pharmacies</w:t>
      </w:r>
      <w:r>
        <w:rPr>
          <w:color w:val="000000"/>
        </w:rPr>
        <w:t xml:space="preserve"> </w:t>
      </w:r>
      <w:r>
        <w:rPr>
          <w:rFonts w:ascii="Times New Roman;sans-serif" w:hAnsi="Times New Roman;sans-serif"/>
          <w:b w:val="false"/>
          <w:color w:val="000000"/>
          <w:sz w:val="20"/>
        </w:rPr>
        <w:t>receive prescriptions by mail, fax, phone or the internet at a central location; process them in large, mostly automated centers; and mail the drugs to the consumer.</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Specialty pharmacies</w:t>
      </w:r>
      <w:r>
        <w:rPr>
          <w:color w:val="000000"/>
        </w:rPr>
        <w:t xml:space="preserve"> </w:t>
      </w:r>
      <w:r>
        <w:rPr>
          <w:rFonts w:ascii="Times New Roman;sans-serif" w:hAnsi="Times New Roman;sans-serif"/>
          <w:b w:val="false"/>
          <w:color w:val="000000"/>
          <w:sz w:val="20"/>
        </w:rPr>
        <w:t>focus on managing the handling and service requirements associated with high-cost and more-complex drug therapies, such as those used to treat patients with rare or serious diseases.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Developed Markets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Developed Markets segment comprises our operations primarily in North America and Europe. The Company’s business in North America is driven mainly by operations in the U.S., where the Company is one of the largest providers of prescription medicines. The U.S. pharmaceutical industry is very competitive, and the primary means of competition are innovation and development, timely FDA approval, manufacturing and supply chain capabilities, product quality, marketing, portfolio size, customer service, reputation and price. Viatris relies on a flexible and cost-effective supply chain to meet the rapidly changing needs of its customers around a reliable, high-quality supply of pharmaceutical products. Europe, where many governments provide healthcare at a low direct cost to consumers and regulate pharmaceutical prices or patient reimbursement levels, continues to be a highly competitive market, especially in terms of pricing, quality standards, service levels and product portfolio. Viatris’ leadership position in a number of countries provides the Company a platform to fulfill the needs of patients, physicians, pharmacies, customers and payors.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products sold by the Developed Markets segment include Lyrica®, Lipitor®, Creon®, Influvac®, Wixela Inhub®, EpiPen® Auto-Injector, Fraxiparine®, and Yupelri®.</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New product launches are an important growth driver. Important recent launches include Breyna™ and lisdexamfetamine in the U.S., and Rivaroxaban in certain European markets.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Viatris’ U.S. customer base is extensive, it comprises a small number of very large firms as the pharmaceutical industry has undergone tremendous change and consolidation. Viatris believes it is well positioned to serve such customers in the Developed Markets due to the scale it has built in terms of R&amp;D, supply chain, and portfolio breadth.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Greater China</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Greater China segment includes our operations in mainland China, Taiwan, and Hong Kong. The Viatris Greater China portfolio predominantly consists of branded LOE products.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In China, the recent healthcare reform measures are aimed at controlling the overall healthcare costs, while providing better and broader care to the population. Healthcare spending is expected to increase in-line with GDP growth. The VBP policy for LOE molecules is now in its sixth year and includes approximately 400 molecules. All major Viatris brands are included in the VBP molecule lists. The Company has re-balanced its business to expand its focus on the retail pharmacy and e-commerce channels while maintaining its presence in the hospital channel. Healthcare consumerism, increased spending power, and demand for premium medical products have generated strong growth in these new channels and partially absorbed the reductions seen in the hospital channel due to VBP. Additional pricing and volume pressure for pharmaceutical products sold in the hospital channel is expected to continue during 2025 and could negatively impact the Company’s results of operations. For additional information, see Part I, Item 1A Risk Factors - “</w:t>
      </w:r>
      <w:r>
        <w:rPr>
          <w:rFonts w:ascii="Times New Roman;sans-serif" w:hAnsi="Times New Roman;sans-serif"/>
          <w:b w:val="false"/>
          <w:i/>
          <w:color w:val="000000"/>
          <w:sz w:val="20"/>
        </w:rPr>
        <w:t>We have and may continue to experience pressure on the pricing of and reimbursements for certain of our products due to pricing controls, social or government pressure to lower the cost of drugs, and consolidation across the supply chain.</w:t>
      </w:r>
      <w:r>
        <w:rPr>
          <w:color w:val="000000"/>
        </w:rPr>
        <w:t xml:space="preserve">” </w:t>
      </w:r>
      <w:r>
        <w:rPr>
          <w:rFonts w:ascii="Times New Roman;sans-serif" w:hAnsi="Times New Roman;sans-serif"/>
          <w:b w:val="false"/>
          <w:color w:val="000000"/>
          <w:sz w:val="20"/>
        </w:rPr>
        <w:t>of this Form 10-K.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products within the Greater China segment include Lipitor®, Norvasc®, and Viagra®.</w:t>
      </w:r>
    </w:p>
    <w:p>
      <w:pPr>
        <w:pStyle w:val="TextBody"/>
        <w:bidi w:val="0"/>
        <w:spacing w:lineRule="auto" w:line="256" w:before="0" w:after="240"/>
        <w:jc w:val="left"/>
        <w:rPr>
          <w:rFonts w:ascii="Times New Roman;sans-serif" w:hAnsi="Times New Roman;sans-serif"/>
          <w:b/>
          <w:i/>
          <w:color w:val="000000"/>
          <w:sz w:val="20"/>
        </w:rPr>
      </w:pPr>
      <w:r>
        <w:rPr>
          <w:rFonts w:ascii="Times New Roman;sans-serif" w:hAnsi="Times New Roman;sans-serif"/>
          <w:b/>
          <w:i/>
          <w:color w:val="000000"/>
          <w:sz w:val="20"/>
        </w:rPr>
        <w:t>JANZ</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JANZ</w:t>
      </w:r>
      <w:r>
        <w:rPr>
          <w:color w:val="000000"/>
        </w:rPr>
        <w:t xml:space="preserve"> </w:t>
      </w:r>
      <w:r>
        <w:rPr>
          <w:rFonts w:ascii="Times New Roman;sans-serif" w:hAnsi="Times New Roman;sans-serif"/>
          <w:b w:val="false"/>
          <w:color w:val="000000"/>
          <w:sz w:val="20"/>
        </w:rPr>
        <w:t>segment consists of our operations in Japan, Australia and New Zealand. In Japan, the National Health Insurance regulates the pricing of pharmaceutical products to healthcare providers. The Company sells products in Japan primarily through a network of wholesalers who then sell the products to doctors, hospitals and pharmacies. In Australia, the healthcare system is a mix of public and private healthcare sectors, with Medicare, Australia’s public healthcare system, covering most of the country’s medical costs. The Department of Health oversees healthcare governance, law, and policy while the various state and territory governments administer the system. Most prescription pharmaceutical products are subsidized under the pharmaceutical benefits scheme by the federal government. Pricing of reimbursed pharmaceutical products is regulated by the government and funded via the Medicare levy and through company and patient contributions. The Company sells products primarily through the wholesale system, while promoting its products to both physicians and pharmacists.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products within the JANZ segment include AMITIZA®, Effexor®, Lipacreon®, Lyrica®, and EpiPen® Auto-Injector.</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Emerging Markets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Emerging Markets segment encompasses our presence in more than 125 countries with developing markets and emerging economies including in Asia, Africa, Eastern Europe, Latin America and the Middle East as well as the Company’s ARV franchise. With healthcare at various stages of development across these markets, we believe we are positioned to not only leverage our large geographical footprint to maximize the similarities between these markets, but also tailor solutions to meet local need. There is demand in this segment for better healthcare to serve a growing population and economic expansion. Many countries in this segment are brand-conscious with generic penetration rates lower than developed markets.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Among Viatris products sold in the segment are Lipitor®, Lyrica®, Norvasc®, Celebrex®, and ARVs.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Refer to Note 15 </w:t>
      </w:r>
      <w:r>
        <w:rPr>
          <w:rFonts w:ascii="Times New Roman;sans-serif" w:hAnsi="Times New Roman;sans-serif"/>
          <w:b w:val="false"/>
          <w:i/>
          <w:color w:val="000000"/>
          <w:sz w:val="20"/>
        </w:rPr>
        <w:t>Segment Information</w:t>
      </w:r>
      <w:r>
        <w:rPr>
          <w:color w:val="000000"/>
        </w:rPr>
        <w:t xml:space="preserve"> </w:t>
      </w:r>
      <w:r>
        <w:rPr>
          <w:rFonts w:ascii="Times New Roman;sans-serif" w:hAnsi="Times New Roman;sans-serif"/>
          <w:b w:val="false"/>
          <w:color w:val="000000"/>
          <w:sz w:val="20"/>
        </w:rPr>
        <w:t>included in Part II, Item 8 of this Form 10-K for more information about the Company’s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Regulation by governmental authorities is a significant factor in the R&amp;D, production, marketing, sales and distribution of pharmaceuticals. Viatris’ products are subject to robust developmental studies which include analytical determinations of strength, quality, purity as well as rigorous safety and efficacy determinations using preclinical, pharmacokinetic studies and clinical evaluations to gather data to support regulatory review and approval. This body of work results in extensive data and scientific information that is incorporated into a given product’s regulatory dossier. Manufacturing is conducted under exacting conditions governed by extensive regulation including strict in-process and finished pharmaceutical products specifications and controls. Post-approval activities, such as advertising and promotion, pharmacovigilance, post-marketing regulatory commitments, and pharmacopeial monographs, are also subject to extensive regulation and controls.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lengthy process of developing products and obtaining required approvals and the continuing need for post-approval compliance with applicable statutes and regulations require the expenditure of substantial resources. Regulatory approval, if and when obtained, may be limited in scope. Further, approved drugs, as well as their manufacturers, are subject to ongoing post-marketing review and inspection, which can lead to the discovery of previously unknown attributes of the products or the manufacturing or quality control procedures used in their production, which may impact the marketing of the products or result in restrictions on their manufacture, sale or use or in their withdrawal from the market.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or delay by Viatris, its suppliers of manufactured drug product, collaborators or licensees, in obtaining and maintaining regulatory approvals could adversely affect the marketing of our products and our ability to receive product revenue, license revenue or profit-sharing payments.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Regulatory Requirements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is subject to a wide range of various other federal, state, national, regional, provincial, non-governmental, and local agency rules and regulations. They focus on fraud and corruption, pricing and reimbursement, data privacy, and the environment, among many other considerations. For more information about certain of these regulations and the associated risks the Company faces, see Part I, Item 1A Risk Factors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R&amp;D organization, which includes developers and regulatory and clinical experts, works collaboratively across the Company’s different R&amp;D centers around the world, which include technology-focused development sites and global R&amp;D centers.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research, development and clinical platform, which includes regulatory activities, seeks to deliver new product opportunities across all of the Company’s categories and markets and to evaluate opportunities to expand the scope of our existing product portfolio with a focus on development activities. The Company’s product pipeline includes a variety of dosage forms, including oral solid dosage forms, transdermals, injectables, inhalation, and other delivery systems. While committed to generics and specialty products, over the last several years, a greater portion of the Company’s investments has been focused on complex or difficult-to-formulate products, such as modified release or complex injectables such as glucagon, rather than on commodity products, such as conventional oral solid dosage forms. For example, the Company is working on a number of programs including the potential to be first-to-market for our generics of Abilify Maintena®, Injectafer®, Invega Trinza®, Ozempic®, Venofer® and Wegovy™. The Company is also working with its partners on novel and/or complex products such as our biosimilar to BOTOX® (onabotulinumtoxinA).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As previously mentioned, one of the Company’s strategic pillars is our focus on expanding our innovative portfolio to identify, vet and secure best-in-class, patented-protected assets that address areas of significant unmet medical need. Viatris invests a significant amount of capital and resources in R&amp;D, and this amount is likely to increase as we focus on more complex and innovative products to drive accelerated and durable growth, and build a more durable higher margin portfolio with exclusivity opportunities. In addition to increasing its R&amp;D and IPR&amp;D investment, the Company also expects to inorganically grow via business development through strategic alliances with partners, including through our Global Healthcare Gateway® and agreements with collaboration partners. For additional information, see Part I, Item 1A Risk Factors - </w:t>
      </w:r>
      <w:r>
        <w:rPr>
          <w:color w:val="000000"/>
        </w:rPr>
        <w:t>“</w:t>
      </w:r>
      <w:r>
        <w:rPr>
          <w:rFonts w:ascii="Times New Roman;sans-serif" w:hAnsi="Times New Roman;sans-serif"/>
          <w:b w:val="false"/>
          <w:i/>
          <w:color w:val="000000"/>
          <w:sz w:val="20"/>
        </w:rPr>
        <w:t>We expend a significant amount of resources on R&amp;D efforts that may not lead to successful product introductions.”</w:t>
      </w:r>
      <w:r>
        <w:rPr>
          <w:color w:val="000000"/>
        </w:rPr>
        <w:t xml:space="preserve"> </w:t>
      </w:r>
      <w:r>
        <w:rPr>
          <w:rFonts w:ascii="Times New Roman;sans-serif" w:hAnsi="Times New Roman;sans-serif"/>
          <w:b w:val="false"/>
          <w:color w:val="000000"/>
          <w:sz w:val="20"/>
        </w:rPr>
        <w:t>of this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considers the protection of its intellectual property rights to be extremely valuable, and the Company acts to protect them from infringement by third parties.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has an extensive trademark portfolio totaling more than 28,700 trademarks filed globally and routinely apply to register key brand names, generic names, branded generic names, and trade names in numerous countries around the world. The Company’s registered trademarks are renewable indefinitely, and are maintained in accordance with the laws of the countries in which they are registered.</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Company also has an extensive patent portfolio and actively files for patent protection in various countries to protect its brand-name, generic, branded generic, and remaining OTC products, including processes for making and using them. The Company has more than 2,400 patents filed globally. For additional information, see Part I, Item 1A Risk Factors - “</w:t>
      </w:r>
      <w:r>
        <w:rPr>
          <w:rFonts w:ascii="Times New Roman;sans-serif" w:hAnsi="Times New Roman;sans-serif"/>
          <w:b w:val="false"/>
          <w:i/>
          <w:color w:val="000000"/>
          <w:sz w:val="20"/>
        </w:rPr>
        <w:t xml:space="preserve">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pPr>
      <w:r>
        <w:rPr>
          <w:rFonts w:ascii="Times New Roman;sans-serif" w:hAnsi="Times New Roman;sans-serif"/>
          <w:b w:val="false"/>
          <w:i/>
          <w:color w:val="000000"/>
          <w:sz w:val="20"/>
        </w:rPr>
        <w:t>rely on the effectiveness of our patents, trademarks, confidentiality agreements and other measures to protect our intellectual property rights.</w:t>
      </w:r>
      <w:r>
        <w:rPr>
          <w:color w:val="000000"/>
        </w:rPr>
        <w:t xml:space="preserve">” </w:t>
      </w:r>
      <w:r>
        <w:rPr>
          <w:rFonts w:ascii="Times New Roman;sans-serif" w:hAnsi="Times New Roman;sans-serif"/>
          <w:b w:val="false"/>
          <w:color w:val="000000"/>
          <w:sz w:val="20"/>
        </w:rPr>
        <w:t>of this Form 10-K.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Viatris has well-established safeguards in place to protect our proprietary know-how and trade secrets, both of which the Company considers extremely valuable to its intellectual property portfolio.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looks for intellectual property licensing opportunities to or from third parties, related not only to our existing products, but as a means for expanding our product portfolio.</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relies on the aforementioned types of intellectual property, as well as our copyrights, trade dress, regulatory exclusivities and contractual protections, to establish a broad scope of intellectual property rights for our product portfolio.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Sustainability</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To learn about Viatris’ sustainability work, the Company encourages you to read Viatris’ 2023 Sustainability Report: Building Sustainable Access at Scale</w:t>
      </w:r>
      <w:r>
        <w:rPr>
          <w:rFonts w:ascii="Times New Roman;sans-serif" w:hAnsi="Times New Roman;sans-serif"/>
          <w:b w:val="false"/>
          <w:color w:val="000000"/>
          <w:sz w:val="13"/>
        </w:rPr>
        <w:t>1</w:t>
      </w:r>
      <w:r>
        <w:rPr>
          <w:rFonts w:ascii="Times New Roman;sans-serif" w:hAnsi="Times New Roman;sans-serif"/>
          <w:b w:val="false"/>
          <w:color w:val="000000"/>
          <w:sz w:val="20"/>
        </w:rPr>
        <w:t>, published in May 2024. The report highlights Viatris’ actions and initiatives across multiple areas of focus in support of the Company’s efforts to continue to be a model for sustainable access to medicine and to make an impact in the communities it serves. It also reports on how the Company progressed in 2023 on its companywide sustainability goals in the areas of: access and global health; workplace culture; and environment (climate, water, and waste). This includes the Company’s scope 1 &amp; 2, as well as its scope 3 emission reduction targets validated and approved by the Science Based Targets initiative (SBTi).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recent accolades include inclusion on TIME’s inaugural list of World’s Most Sustainable Companies, USA Today’s list of America’s Climate Leaders, Forbes’ World’s Best Employers, and TIME’s World’s Top Companies for Women.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highlights Viatris’ systematic efforts and progress across key areas: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Access and Global Health</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Access is fundamental to Viatris’ mission. It begins with the Company’s ability to sustainably deliver quality medicines to people, regardless of geography or circumstance.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focused on striving to meet individual needs, whether with a generic medicine, a trusted brand, an improved version of an existing medicine, or a truly novel therapeutic solution.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goes beyond developing, manufacturing, and distributing quality medicines. With the needs of people at the center, Viatris often works to help find solutions that support resilient healthcare systems. The Company has designed its global operations and supply chain to be a reliable and flexible partner for access across the world, constantly adapting to an ever-evolving landscape.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pursues holistic approaches to prevention, diagnosis, treatment, and disease management. The Company works to build public health awareness, to support and implement research, to deliver access to health education, and to advocate for public policies that advance sustainable access at scale, globally.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is keenly aware that no one can meet this high aspiration alone. Partnerships and collaborations are critical, as are policies and strong healthcare systems that allow for healthy competitive environments. The need is universal, and Viatris works with an array of both public and private organizations, globally, regionally, and locally, to support sustainable access to quality medicines at consistent quality standards.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Environmental Stewardship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minimizing our impact on the environment while working to safeguard a reliable supply of medicine. Our commitment entails systematic and continuous work, and a global integrated approach to managing our impact on and from climate change, energy efficiency and renewable energy, water and waste reduction, and air emissions.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Please note that our website, Sustainability Report and their respective contents are not incorporated by reference into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having our scope 1 &amp; 2, and scope 3 emission reduction targets validated and approved by SBTi, SBTi classified Viatris’ scope 1 &amp; 2 targets as being aligned with the 1.5°C trajectory. Further, we have updated our initial climate scenario analysis, a key recommendation of the Task Force on Climate-Related Financial Disclosures, to reflect recent divestiture activity. The analysis is global in scope and helps us to continue to understand the risk and uncertainties in different hypothetical scenarios and confirm areas of focus. Key actions and strategies for making progress toward our SBTi climate targets include increasing renewable energy usage, implementing energy-efficiency projects, preventing refrigerant leaks and transitioning to greener refrigerants, using alternative fuels and technologies, and leveraging infrastructure upgrades and utility replacement projects. While it is very hard to predict accurately the future costs associated with compliance with environmental laws, this is not expected to require significant capital expenditures and has not had, and is not expected to have, a material adverse effect on our operations or competitive position.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remains engaged in promoting environmentally responsible supply chains, including through the Company’s compliance with the AMR Industry Alliance’s Common Antibiotic Manufacturing Standard in its operations and its commitment to the standard’s implementation across Viatris’ external supply chain. Viatris’ manufacturing for all dosages of the antibiotic Ciprofloxacin at the Company’s facility in Aurangabad, India, became the first at Viatris to receive British Standards Institute (BSI) Certification under the Antibiotic Manufacturing Standard. Furthermore, Viatris is leveraging its membership in the Pharmaceutical Supply Chains Initiative in external supplier sustainability engagement.</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Community Engagement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seeks to foster healthy communities around the world by supporting education, health and disease awareness efforts that, in particular, promote empowering patients and creating access to care. The Company works via in-kind and monetary donations, volunteering time and talents and engaging with partners to find solutions. The Company’s work addresses common global themes and leverages Viatris colleagues’ collective capabilities, while addressing unique local needs.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has continued its humanitarian support for emergency response to assist victims of armed conflicts, disasters and extreme weather. Together with long-term partners including but not limited to, Direct Relief, Save the Children, SBP, World Central Kitchen, and the American Red Cross, the Company has supported medical relief shipments, access to food and long-term rebuilding efforts. Furthermore, Viatris colleagues across the globe have done beach cleanups, community fundraisers, and participated in volunteer opportunities to raise money and awareness for patients living with diseases as a part of a larger global initiative called Building Healthier Communities.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Business partnerships, collaboration within and across sectors, memberships, and philanthropic collaborations help us serve patients, healthcare systems and communities worldwide.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Our people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approximately 32,000 colleagues are passionate about our mission, and together we are building a performance-driven, highly engaging and inclusive culture where diverse perspectives drive access, innovation and our ability to make an impact in the world.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the Company received several recognitions, such as inclusion on Forbes’ World’s Top Companies for Women list, Forbes’ World’s Best Employers list, TIME’s World’s Most Sustainable Companies list, USA Today’s America’s Climate Leaders list, National Association for Business Resources’ Nation’s Best &amp; Brightest in Wellness list and Newsweek’s America’s Greenest Companies list.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previous years, Viatris has also been included on Forbes’ World’s Best Employers list, USA Today’s America’s Climate Leaders list, 3BL 100 Best Corporate Citizens list, TIME’s World’s Best Companies list, Fast Company’s Most Innovative Companies list, Fortune’s Change the World list, and Newsweek’s America’s Most Responsible Companies list. Viatris has also received several local accolades in 2024 and previous years, such as Great Place to Work® and Top Employers certifications in multiple countries, among many others.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colleagues are dedicated to our mission and we continue to build our culture with a focus on colleague experience and engagement; learning and development; career progression; workplace culture; talent attraction and our deep commitment to the health, safety and wellbeing of our colleagues, their families and the communities we serve.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remain committed to building upon our foundations, harmonizing our processes and programs and initiating many firsts for Viatris. Our commitment to wellbeing has grown with the launch of our Elevate program focused on the health, purpose and growth of our colleagues. This program is fully supported by an active and engaged employee-led group of ambassadors through the Viatris Elevate Champions network. We are living the Viatris mission internally by providing 100% of all colleagues globally access to Elevate tools and resources including many local programs to further support health and wellbeing, with a focus on mental health through employee assistance programs and our new partnership with Unmind.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expanded our professional development opportunities, including a focus on executive and management development, and we have continued to build core programming to support colleagues at all stages of life and career. Viatris has successfully introduced new and differentiated core capabilities to enhance our performance and growth aligned with the Company’s strategy moving forward. We believe we have a deep talent bench of core generics and expanding innovative capabilities to help drive our future forward. Through regular annual objective setting and talent assessment practices, the Company believes it provides tools and resources that enable high performance.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Viatris, diverse perspectives drive innovation and our ability to make an impact in the world. The workplace culture we foster can be one of our greatest strengths in achieving breakthroughs that help empower people to live healthier at every stage of life.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Employee Resource Groups have expanded to include EmpoWer advocating for an ecosystem that empowers women to reach their full potential; VIVID supporting LGBTQ+ employees and allies; RISE supporting our colleagues of African descent; and Care, advocating for caregivers. The insights from our employee listening strategy guide our efforts as we continually strive to create a work environment where people can learn, grow, feel appreciated and make an impact in the world.</w:t>
      </w:r>
    </w:p>
    <w:p>
      <w:pPr>
        <w:pStyle w:val="TextBody"/>
        <w:bidi w:val="0"/>
        <w:spacing w:before="0" w:after="0"/>
        <w:jc w:val="left"/>
        <w:rPr/>
      </w:pPr>
      <w:r>
        <w:rPr/>
      </w:r>
    </w:p>
    <w:p>
      <w:pPr>
        <w:pStyle w:val="TextBody"/>
        <w:bidi w:val="0"/>
        <w:spacing w:lineRule="auto" w:line="276"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Health and Safety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Protecting the health and safety of our colleagues is essential at Viatris. We have a global Environmental, Health and Safety Management System, technical requirements, processes and systems that establish the foundation of our health and safety program. This focus, along with our deep commitment to wellbeing, applies to all locations and guides us in cultivating a culture of health and safety throughout our global workforce.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Exchange Act Reports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maintains a website at Viatris.com where you can find certain reports and associated amendments that the Company files with the SEC in accordance with the Exchange Act. These filings will include our annual reports on Form 10-K, quarterly reports on Form 10-Q, current reports on Form 8-K and any amendments to those reports.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this information available on our website free of charge, as soon as reasonably practicable after we electronically file such material with, or furnish it to, the SEC. The contents of our website are not incorporated by reference in this Annual Report on Form 10-K and shall not be deemed “filed” under the Exchange Act.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SEC also maintains a website (www.sec.gov) that contains reports, proxy and information statements, and other information regarding issuers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complex and rapidly changing environment that involves risks, many of which are beyond our control. Our business, financial condition, results of operations, cash flows, ability to pay dividends or repurchase shares, and/or stock price could be materially affected by any of these risks, if they occur, or by other factors not currently known to us, or not currently considered to be material. These risk factors should be read in conjunction with the other information in this Form 10-K, as well as our other filings with the SEC. </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risk factors are organized into five categories: Strategic, Operational, Compliance, Finance and General.</w:t>
      </w:r>
    </w:p>
    <w:p>
      <w:pPr>
        <w:pStyle w:val="TextBody"/>
        <w:bidi w:val="0"/>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Summary</w:t>
      </w:r>
    </w:p>
    <w:p>
      <w:pPr>
        <w:pStyle w:val="TextBody"/>
        <w:bidi w:val="0"/>
        <w:spacing w:before="0" w:after="0"/>
        <w:jc w:val="both"/>
        <w:rPr/>
      </w:pPr>
      <w:r>
        <w:rPr/>
      </w:r>
    </w:p>
    <w:p>
      <w:pPr>
        <w:pStyle w:val="TextBody"/>
        <w:bidi w:val="0"/>
        <w:spacing w:lineRule="auto" w:line="256"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summary of some of the more significant risks and uncertainties we face. This summary is not exhaustive and is qualified by reference to the full set of risk factors set forth in this Part I, Item 1A.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Strategic Risks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may not realize the intended benefits of, or achieve the intended goals or outlooks with respect to, our strategic initiatives and priorities, including divestitures, acquisitions or other potential transactions.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There are ongoing risks and uncertainties associated with our recent divestitures, one or more of which could have a material adverse effect on our business, financial condition, results of operations, cash flows, ability to pay dividends or repurchase shares, and/or stock price.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integration of acquired businesses as well as restructuring programs have presented and may in the future present significant challenges.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and may continue to experience pressure on the pricing of and reimbursements for certain of our products due to pricing controls, social or government pressure to lower the cost of drugs, and consolidation across the supply chain.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significant operations globally, which exposes us to the risks inherent in conducting our business internationally.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Charges to earnings resulting from acquisitions could have a material adverse effect on our business, financial condition, results of operations, cash flows, ability to pay dividends or repurchase shares, and/or stock price.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Operational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Current and changing economic conditions, including inflation, may adversely affect our industry, business, partners and suppliers.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pharmaceutical industry is heavily regulated, and we face significant costs and uncertainties associated with our efforts to comply with applicable laws and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we are unable to successfully introduce new products in a timely manner, our future revenue and profitability may be adversely affected.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expend a significant amount of resources on R&amp;D efforts that may not lead to successful product introductions.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Even if our products in development receive regulatory approval, such products may not achieve expected levels of market acceptance.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a limited number of manufacturing facilities and certain third-party suppliers produce a substantial portion of our API and products, some of which require a highly exacting and complex manufacturing process.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success is highly dependent on our ability to attract, motivate and retain key personnel.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 xml:space="preserve">Compliance Risks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are subject to the U.S. Foreign Corrupt Practices Act, U.S. Foreign Extortion Prevention Act, the U.K. Bribery Act, Chinese anti-corruption laws and similar worldwide anti-corruption laws, which impose restrictions on certain conduct and may carry substantial fines and penalties.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Our competitors, including branded pharmaceutical companies, and/or other third parties, may allege that we or our suppliers are infringing upon their intellectual property, including in an “at risk launch” situation,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which could result in substantial monetary damages, impact our ability to launch a product and/or our ability to continue marketing a product, and/or force us to expend substantial resources in resulting litigation, the outcome of which is uncertain.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are involved in various legal proceedings and certain government inquiries and may experience unfavorable outcomes of such proceedings or inquiries.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are increasingly dependent on IT and information systems and our systems and infrastructure face certain risks, including cybersecurity and data leakage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 xml:space="preserve">Finance Risks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There can be no guarantee that we will continue to pay dividends or repurchase shares under our share repurchase program.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may not be able to maintain competitive financial flexibility and our corporate tax rate which could adversely affect us and our shareholders.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Currency fluctuations and changes in exchange rates have impacted and could continue to adversely affect our business, financial condition, results of operations, cash flows, ability to pay dividends or repurchase shares, and/or stock price.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Viatris has suffered and in the future could suffer additional losses due to impairment charges.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Strategic Risks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realize the intended benefits of, or achieve the intended goals or outlooks with respect to, our strategic initiatives and priorities, including divestitures, acquisitions or other potential transactions.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announced various strategic initiatives and priorities, transactions and business arrangements. As the Company moves forward, it will look to accelerate its growth by building on the strength of its base business with an expanding portfolio of innovative, best-in-class, patent-protected assets and will focus on three strategic pillars: 1) diversified and growing base business, 2) financial strength and significant cash flow and 3) expanding innovative portfolio.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Implementing these and other strategic initiatives and priorities has included and may in the future include divestitures, acquisitions, asset purchases, partnerships, collaborations, joint ventures, product rationalization and other investments. Certain of these transactions and arrangements have been and may in the future be material both from a strategic and financial perspective. These strategic initiatives and priorities have been, and may continue to be, complex, time-consuming or expensive, may divert management’s and employees’ attention, and expose us to operational ineffectiveness. We may miscalculate the risks associated with our strategic initiatives and priorities at the time they are made or not have the resources or ability to access all the relevant information to evaluate them properly, including with regard to the potential of R&amp;D pipelines, manufacturing issues, compliance issues, or the outcome of ongoing legal and other proceedings.</w:t>
      </w:r>
      <w:r>
        <w:rPr>
          <w:color w:val="000000"/>
        </w:rPr>
        <w:t xml:space="preserve"> </w:t>
      </w:r>
      <w:r>
        <w:rPr>
          <w:rFonts w:ascii="Times New Roman;sans-serif" w:hAnsi="Times New Roman;sans-serif"/>
          <w:b w:val="false"/>
          <w:color w:val="000000"/>
          <w:sz w:val="20"/>
        </w:rPr>
        <w:t xml:space="preserve">Innovative assets are more difficult, costly and time-consuming to develop, receive regulatory approval for and bring to market. There can be no assurance that we will be able to achieve all of our intended goals or outlooks with respect to such strategies and priorities within the anticipated timeframes or at all, fully realize the expected benefits of any such transactions or arrangements, or successfully manage base business erosion or grow in future periods. </w:t>
      </w:r>
    </w:p>
    <w:p>
      <w:pPr>
        <w:pStyle w:val="TextBody"/>
        <w:bidi w:val="0"/>
        <w:spacing w:before="0" w:after="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Divestitures, product rationalizations or asset sales have resulted and could in the future result in asset impairments, or reductions to the size or scope of our business, our market share in particular markets or our opportunities and ability to compete with respect to certain markets, therapeutic areas or products. We may not be successful in separating divested businesses or assets, which could negatively impact our ongoing operations, future earnings and future goals and outlooks. Please also refer to “</w:t>
      </w:r>
      <w:r>
        <w:rPr>
          <w:rFonts w:ascii="Times New Roman;sans-serif" w:hAnsi="Times New Roman;sans-serif"/>
          <w:b w:val="false"/>
          <w:i/>
          <w:color w:val="000000"/>
          <w:sz w:val="20"/>
        </w:rPr>
        <w:t>There are ongoing risks and uncertainties associated with our recent divestitures, one or more of which could have a material adverse effect on our business, financial condition, results of operations, cash flows, ability to pay dividends or repurchase shares, and/or stock price.”</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entered into strategic alliances with partners, including through our Global Healthcare Gateway®, to develop, manufacture, market and/or distribute certain products, and/or certain components of our products, in various markets. We have entered into and may in the future enter into agreements with our collaboration partners that provide for certain services, as well as cross manufacturing, development and licensing arrangements. We commit substantial efforts and other resources to these various alliances and collaborations. In addition, as the Company looks to accelerate its growth by building on the strength of its base business with an expanding portfolio of innovative, best-in-class, patent-protected assets, it expects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use more capital resources and has entered into, and may in the future enter into, financial commitments in connection with these alliances and collaborations. For example, our acquisition of the development programs for selatogrel and cenerimod, which are currently in Phase 3 development. There is a risk that the investments made by us in these and other alliances and collaborative arrangements will not generate financial returns. While we believe our relationships with our collaboration partners generally are successful, our collaboration partners’ financial situation, or disputes or conflicting priorities and regulatory or legal intervention has been or could in the future be a source of delay or uncertainty as to the expected benefits of our strategic alliances and collaborations. For example, on February [25], 2025, in order to preserve the ongoing continuity of the development programs for selatogrel and cenerimod considering certain capital structuring steps announced by Idorsia to secure its ongoing operations, Viatris and Idorsia entered into a letter agreement to amend certain terms of the original agreements described in Part I, Item 1 Business - </w:t>
      </w:r>
      <w:r>
        <w:rPr>
          <w:rFonts w:ascii="Times New Roman;sans-serif" w:hAnsi="Times New Roman;sans-serif"/>
          <w:b w:val="false"/>
          <w:i/>
          <w:color w:val="000000"/>
          <w:sz w:val="20"/>
        </w:rPr>
        <w:t>About Viatris - Business Strategy</w:t>
      </w:r>
      <w:r>
        <w:rPr>
          <w:color w:val="000000"/>
        </w:rPr>
        <w:t xml:space="preserve"> </w:t>
      </w:r>
      <w:r>
        <w:rPr>
          <w:rFonts w:ascii="Times New Roman;sans-serif" w:hAnsi="Times New Roman;sans-serif"/>
          <w:b w:val="false"/>
          <w:color w:val="000000"/>
          <w:sz w:val="20"/>
        </w:rPr>
        <w:t>of this Form 10-K.</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overall execution of our strategic initiatives and priorities may result in material unanticipated problems, expenses, liabilities, competitive responses, operational inefficiencies, adverse tax consequences, impairment or restructuring charges, loss of customer relationships, difficulty attracting and retaining qualified employees, and diversion of management’s and/or employee’s attention, among other potential adverse consequences. In addition, we may have to terminate a strategic alliance, agreement or arrangement, or our partners may be unable to fulfill their operational or other obligations due to their financial condition or otherwise.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 risks described above could have a material adverse effect on our reputation, business, financial condition, results of operations, cash flows, ability to pay dividends or repurchase shares, and/or stock price.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There are ongoing risks and uncertainties associated with our recent divestitures, one or more of which could have a material adverse effect on our business, financial condition, results of operations, cash flows, ability to pay dividends or repurchase shares, and/or stock price.</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recent years, the Company has completed several divestitures, including the Biocon Biologics Transaction, the OTC Transaction and other divestitures. These divestitures have resulted and may in the future result in continued financial and operational exposure to the divested assets or businesses, such as through guarantees or other financial arrangements, indemnification, continued supply and transition services obligations to the divested businesses, stranded costs, or potential litigation.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For instance, in connection with our recently completed divestitures, we have entered into transition services and manufacturing and supply agreements pursuant to which we have agreed to provide certain specified services to the respective purchasers, including manufacturing, quality, supply chain, pricing and procurement, regulatory, product safety and risk management, medical affairs, IT, finance, human resources, real estate, commercial development and local commercial operations services. In addition, in connection with the OTC Transaction and the divestitures of our women’s healthcare business, we entered into distribution agreements. Our obligations under these agreements have resulted and may in the future result in additional expenses that are borne by us and have diverted and may continue to divert our focus and resources that would otherwise be invested into maintaining or growing our retained business. In connection with our API business divestiture, we entered into a manufacturing and supply agreement pursuant to which we are purchasing a significant amount of API from the purchaser in that transaction. Our obligations under the manufacturing and supply agreement may make us more vulnerable to API supply shortages and price volatility. Please also refer to “</w:t>
      </w:r>
      <w:r>
        <w:rPr>
          <w:rFonts w:ascii="Times New Roman;sans-serif" w:hAnsi="Times New Roman;sans-serif"/>
          <w:b w:val="false"/>
          <w:i/>
          <w:color w:val="000000"/>
          <w:sz w:val="20"/>
        </w:rPr>
        <w:t>We have a limited number of manufacturing facilities and certain third-party suppliers produce a substantial portion of our API and products, some of which require a highly exacting and complex manufacturing process.”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Biocon Biologics Transaction, a significant portion of the consideration that we received, valued at approximately $1.3 billion on our balance sheet at December 31, 2024, is in the form of equity in Biocon Biologics, which is currently a privately held Indian company. Although we have negotiated certain “downside” protection regarding the value of that equity in the Biocon Agreement and related documents, such protection does not guarantee any particular liquidity event or our ability to monetize our equity and, even if we are able to successfully liquidate our equity, the downside protection may be inadequate to guarantee a minimum return that we or investors expect. In addition, we believe the success of the Biocon Biologics business will be highly dependent upon the successful transition of the business to, and ongoing operation of the business by, Biocon Biologics. If the ongoing operation of the business is not successful, it could have a significant impact on the value of the equity we will own in Biocon Biologics and could negatively impact our business or financial condition.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agreed to indemnify Biocon Biologics and certain of its representatives against certain losses suffered as a result of certain breaches of our representations, warranties, covenants and agreements in the Biocon Agreement and related documents. Any event that results in a right for Biocon Biologics to seek indemnity from us could result in substantial liability to us and could adversely affect our financial position and results of operations.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realize the anticipated benefits from our divestitures, such as realizing the anticipated proceeds or utilizing the net proceeds for our strategic initiatives and priorities. We may also face other challenges as a result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divestitures, including maintaining employee morale and retaining key management and other employees to provide the transition services and to operate our retained business, and managing stranded costs.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Biocon Biologics Transaction and our recently completed divestitures, our results of operations, including but not limited to total revenues and cash flows, have been reduced. Because the businesses or assets we have divested were commingled with Viatris’ other businesses, their financial information must be carved-out of Viatris’ financial and other systems, and this process has increased or will continue to increase the risk of errors in the presentation of our financial results in conformity with U.S. GAAP.</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 xml:space="preserve">Any of the risks described above could have a material adverse effect on our business, financial condition, results of operations, cash flows, ability to pay dividends or repurchase shares, and/or stock price. Refer to Note 5 </w:t>
      </w:r>
      <w:r>
        <w:rPr>
          <w:rFonts w:ascii="Times New Roman;sans-serif" w:hAnsi="Times New Roman;sans-serif"/>
          <w:b w:val="false"/>
          <w:i/>
          <w:color w:val="000000"/>
          <w:sz w:val="20"/>
        </w:rPr>
        <w:t>Divestitures</w:t>
      </w:r>
      <w:r>
        <w:rPr>
          <w:color w:val="000000"/>
        </w:rPr>
        <w:t xml:space="preserve"> </w:t>
      </w:r>
      <w:r>
        <w:rPr>
          <w:rFonts w:ascii="Times New Roman;sans-serif" w:hAnsi="Times New Roman;sans-serif"/>
          <w:b w:val="false"/>
          <w:color w:val="000000"/>
          <w:sz w:val="20"/>
        </w:rPr>
        <w:t>included in Part II, Item 8 of this Form 10-K for more information about our recently completed divestitures.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The integration of acquired businesses as well as restructuring programs have presented and may in the future present significant challenges.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combination of two or more independent businesses is a complex, costly and time-consuming process and there is a significant degree of difficulty inherent in the integration process. These difficulties may include:</w:t>
      </w:r>
    </w:p>
    <w:p>
      <w:pPr>
        <w:pStyle w:val="TextBody"/>
        <w:bidi w:val="0"/>
        <w:spacing w:before="0" w:after="0"/>
        <w:ind w:left="0" w:right="0" w:firstLine="72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diversion of management’s and employees’ attention from the ongoing operations of Viatris to integration and restructuring matters;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challenge of integrating the employees and business cultures;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retaining existing customers and suppliers, or obtaining new customers and suppliers;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risks associated with managing a larger and more complex company;</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loss of institutional knowledge or lack of access to IT systems and historical data, including clinical or trial data;</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challenge and cost of integrating manufacturing, logistics, IT, communications and other systems;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potential difficulty transitioning acquired assets to the Company and retaining key personnel and other employees;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challenges in reducing reliance on transition services, including difficulties in hiring employees or finding suitable replacements, prior to the expiration of any period in which such services are provided; and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reducing costs associated with transition services, including managing the amount for replacement costs.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also in the past undertaken and may in the future undertake restructuring programs in order to achieve synergies and ensure the Company is optimally structured and efficiently resourced. The process of integrating operations and implementing restructuring initiatives could cause an interruption of, or loss of momentum in, the activities of one or more of Viatris’ businesses. These integration and restructuring processes have in the past and may in the future require Viatris’ senior management to devote considerable amounts of time to these processes, which has in the past and could in the future decrease the time they have to manage and service Viatris’ businesses, and develop new products or strategies. Even if integration activities and restructuring programs are successful, we may not achieve anticipated synergies, growth opportunities and other financial and operating benefits within the timeline we anticipate, or at all. </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integration activities or restructuring programs are unsuccessful, if the estimated costs are higher than anticipated, or if we are unable to realize the anticipated synergies and other benefits, there could be a material adverse effect on Viatris’ business, financial condition, results of operations, cash flows, ability to pay dividends or repurchase shares, and/or stock price.</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and may continue to experience pressure on the pricing of and reimbursements for certain of our products due to pricing controls, social or government pressure to lower the cost of drugs, and consolidation across the supply chain.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challenging environment, with significant pressures on the pricing of our products and on our ability to obtain and maintain satisfactory rates of reimbursement for our products by governments, insurers and other payors. We face numerous cost-containment measures by governments and other payors, including certain government-imposed industry-wide price reductions, caps on price increases, mandatory rebates or pricing, international reference pricing (i.e., the practice of a country linking its regulated medicine prices to those of other countries), VBP, tender systems, shifting of the payment burden to patients through higher co-payments, and requirements for increased transparency on pricing, all of which may have an adverse impact on the pricing of our products. In addition, rates of inflation have increased and may continue to increase pressure on governments, insurers and other payors to implement additional cost containment measures. There is no guarantee that these cost containment measures will be rolled back in the event that inflation rates decrease in the future.</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markets in which we operate have implemented or may implement tender systems for generic pharmaceuticals in an effort to lower prices. Under such tender systems, manufacturers submit bids which establish prices for generic pharmaceutical products. Upon winning the tender, the winning company will receive a preferential reimbursement for a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time. If our bids do not win, we may not be able to participate in the given market or may lose out on market share. While criteria other than price can be included in tenders, tender systems often select the lowest bid, which often results in companies underbidding one another by proposing low pricing in order to win the tender. Other markets may also consider the implementation of a tender system, and even if a tender system or other price controls are ultimately not implemented, the anticipation of such could result in price reductions. </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EU, U.K. and some other international markets, the government provides healthcare at low cost to consumers and regulates pharmaceutical prices, patient eligibility and/or reimbursement levels to control costs for the government-sponsored healthcare system. These systems of price regulations may lead to inconsistent and lower prices. The availability of our products in some markets at lower prices undermines our sales in other markets with higher prices. Additionally, certain countries set prices by reference to the prices in other countries where our products are marketed. Thus, our inability to secure adequate prices in a particular country may also impair our ability to obtain acceptable prices in existing and potential new markets and may create the opportunity for third party cross-border trade. In addition to the impacts of these government-sponsored healthcare systems, in the EU, U.K. and other international markets, certain governmental agencies have enacted, or are considering enacting, further measures to decrease the costs of providing healthcare, including government mandated price reductions and/or other forms of price controls, including retrospective “clawback” price reductions.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China, pricing pressures have increased in recent years, and the Chinese government has also increased its focus on patient access and reimbursement for pharmaceutical medicines. For example, in 2013, China began to implement a QCE process for post-LOE products to improve the quality of domestically manufactured generic drugs, primarily by requiring such drugs to pass a test to assess their bioequivalence to a qualified reference drug (typically the originator drug). Effective January 1, 2024, China implemented measures that aim to further improve quality management of drugs, including, among other things, stipulating additional responsibilities of marketing authorization holders and medical institutions to have a robust quality management system with respect to drug purchase, storage and use. In addition, since 2018, China's National Healthcare Security Administration, in conjunction with relevant departments, has been promoting a centralized VBP policy for drugs, which has become standard practice and subjects many drugs to a competitive bidding process. Molecules subject to the VBP bidding process have seen significant price cuts, with some bidders reducing the price of their products by as much as 96% as they attempt to secure volumes on the Chinese pharmaceutical market. We expect pricing pressures on our products included in the VBP bidding process to continue to increase as a result of this policy. We have failed, and may continue to fail, to win bids due to various factors, including uncompetitive bidding prices. In addition, the URP policy will cap reimbursement of molecules at their VBP tender winning price. URP will create additional pricing and volume pressure for pharmaceutical products that are subject to the program and is expected to negatively impact our results of operations.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products also depends in part on the extent to which reimbursements are available. In the U.S., third-party payors increasingly challenge the pricing of pharmaceutical products. These trends and other trends toward managed healthcare, the vertical consolidation among insurers, PBMs and pharmacies, and legislative healthcare reform create significant uncertainties regarding the future levels of payment, price or reimbursement for pharmaceutical products. Further, any payment, price or reimbursement may be reduced in the future to the point that market demand for our products and/or our profitability declines. Changes to Medicare and/or state Medicaid programs, or changes required in the way in which Medicare payment rates are set, the design of the Medicare Part D and Part B benefits, and/or the way Medicare or Medicaid rebates are calculated, could adversely affect the payment we receive for our products. In order to control expenditures on pharmaceuticals, most member states in the EU regulate the pricing of products and, in some cases, limit the range of different forms of pharmaceuticals available for prescription by national health services. These controls can result in considerable price differences between member states.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also been increasing U.S. federal and state legislative and enforcement interest with respect to drug pricing, as well as from international organizations like the United Nations, WHO and OECD, in addition to intense publicity and scrutiny regarding such matters, including publicity and pressure resulting from prices charged by competitors and peer companies for new products as well as price increases by competitors and peer companies on older products that some have deemed excessive.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have been executive orders, legislation, and legislative and regulatory proposals, including in connection with government programs such as Medicare, concerning drug prices and related issues, including the perceived need to bring more transparency to drug pricing, reviewing the relationship between pricing and manufacturer patient programs, and reforming government program reimbursement methodologies for drugs. Some states have also signed into law programs that compel manufacturers to provide certain medicines at free or reduced costs to certain patients, and additional states are exploring such programs. Although we continue to expect to see focus on regulating pricing, we cannot predict what, if any, additional changes in legislative or regulatory priorities and personnel may transpire at the state or federal level, particularly given that there is a new presidential administration and change in control of Congress, or what the ultimate impact may be.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pPr>
      <w:r>
        <w:rPr>
          <w:rFonts w:ascii="Times New Roman;sans-serif" w:hAnsi="Times New Roman;sans-serif"/>
          <w:b w:val="false"/>
          <w:color w:val="000000"/>
          <w:sz w:val="20"/>
        </w:rPr>
        <w:t>In the U.S., certain of these pressures are further compounded by increasing consolidation among wholesalers, retailer drug chains, PBMs, private insurers, managed care organizations and other private payors, which can increase their negotiating power. Please also refer to “</w:t>
      </w:r>
      <w:r>
        <w:rPr>
          <w:rFonts w:ascii="Times New Roman;sans-serif" w:hAnsi="Times New Roman;sans-serif"/>
          <w:b w:val="false"/>
          <w:i/>
          <w:color w:val="000000"/>
          <w:sz w:val="20"/>
        </w:rPr>
        <w:t>A significant portion of our revenues is derived from sales to a limited number of customers.”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numerous cost-containment measures by governments and other payors, failing to win tenders, the implementation of price control systems, adverse legislation and regulation, the consolidation of our customers, or continued social or government pressure to lower the cost of pharmaceutical products could have a material adverse impact on our business, reputation,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Healthcare reform legislation could have a material adverse effect on our business.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recent years, there have been numerous initiatives on the federal and state levels for comprehensive reforms affecting the payment for, the availability of and reimbursement for, healthcare services in the U.S., and it is likely that Congress and state legislatures and health agencies will continue to focus on healthcare reform in the future. </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then-President Biden signed into law the Inflation Reduction Act, which includes numerous Medicare reforms that will affect reimbursement for certain pharmaceuticals covered by Medicare and modify the Part D and Part B program structure, including shifting the liability for certain prescription drug costs shared between Medicare, pharmaceutical manufacturers, and Part D plans. These reforms include government price negotiation for certain high-spend, single-source Medicare drugs, out-of-pocket caps for Medicare beneficiaries using insulin products, and the application of inflation-based rebates for certain Medicare drugs. The implementation of the Inflation Reduction Act, including the drug price negotiation provision, inflation penalties, and Part D redesign is currently underway and could negatively affect certain Viatris portfolio products based on future pricing decisions, changes in the Consumer Price Index for All Urban Consumers (CPI-U), and the potential for shifting payor preferences based on the Part D redesign and requirements to cover drugs selected for negotiation.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unable to predict the future course of federal or state healthcare legislation in the U.S. or reform</w:t>
      </w:r>
      <w:r>
        <w:rPr>
          <w:color w:val="000000"/>
        </w:rPr>
        <w:t xml:space="preserve"> </w:t>
      </w:r>
      <w:r>
        <w:rPr>
          <w:rFonts w:ascii="Times New Roman;sans-serif" w:hAnsi="Times New Roman;sans-serif"/>
          <w:b w:val="false"/>
          <w:color w:val="000000"/>
          <w:sz w:val="20"/>
        </w:rPr>
        <w:t>or the outcome of challenges to such laws or reforms once passed, particularly given that there is a new presidential administration and change in control of Congress. Significant additional reforms to the U.S. healthcare system, including changes to the ACA, Medicare and Medicaid, modifications to the Inflation Reduction Act, or changes to other laws or regulatory frameworks in other markets in which we operate, that reduce our revenues or increase our costs could have a material adverse effect on our business, financial condition, results of operations, cash flows, ability to pay dividends or repurchase shares, and/or stock price.</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have significant operations globally, which exposes us to the risks inherent in conducting our business internationally.</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extend to numerous countries globally and therefore are subject to the risks inherent in this geographic scope. These risks include, but are not limited to:</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compliance with the national and local laws, regulations and customs of countries in which we do business, including, but not limited to, data privacy and protection, environmental and social regulations, import/export and enforcement of intellectual property rights;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less established legal and regulatory regimes in certain jurisdictions, including China, where the interpretation and enforcement of laws, rules and regulations may involve uncertainties and can be inconsistent;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litigation, administrative and court proceedings may be protracted, expensive and unpredictable;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governments in certain jurisdictions may favor local businesses and make it more difficult for foreign businesses to operate on an equal footing, including but not limited to by promoting or requiring the local manufacture of pharmaceutical products and API or the establishment of local sites and offices;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increased uncertainties related to the enforcement of contracts with certain parties;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compliance with a variety of U.S. laws including, but not limited to, trade controls or sanctions, regulations put forth by the U.S. Treasury’s Office of Foreign Assets Control, the Iran Threat Reduction and Syria Human Rights Act of 2012 and rules relating to the use of certain “conflict minerals” under Section 1502 of the Dodd-Frank Wall Street Reform and the Consumer Protection Act;</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sanctions and our interpretation of those sanctions, trade controls, supply chain and staffing challenges as a result of the ongoing conflict between Russia and Ukraine that have impacted and may continue to impact our ability to market or sell pharmaceuticals in either country or subject us to increased government scrutiny, and a significant escalation or expansion of the conflict’s current scope may have a negative impact on our operations and financial results in future periods;</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instability in the Middle East, especially the ongoing conflict in Israel and Gaza, has impacted and may continue to impact our and our partners’ ability to develop and manufacture products in the region and to transport those products to other markets, and has impacted and may continue to impact the ability of regulators to conduct required inspections at our or our partners’ manufacturing facilities in the region. The conflict has also impacted our and our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ability to market or sell pharmaceutical products in the area, and has caused and may continue to cause other disruptions to the supply chain. A significant escalation or expansion of the conflict’s current scope may have a negative impact on our operations and financial results in future periods;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laws, regulations, and practices that impact the pharmaceutical industry and/or healthcare systems, including but not limited to imports, exports, manufacturing, quality, cost, pricing, reimbursement, approval, inspection, and delivery of healthcare;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policies designed to promote foreign investment, including significant tax incentives, liberalized import and export duties, and preferential rules on foreign investment and repatriation;</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differing local product preferences and product requirements;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adverse changes in the economies in which we or our partners and suppliers operate as a result of a slowdown in overall growth;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government or economic policies, elections, or financial, political, or social change or instability that affects the markets or countries in which we or our partners operate;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reductions in funding by U.S. governmental agencies for certain products in our Emerging Markets region;</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employment or labor laws, or wage increases in the countries in which we or our partners and suppliers operate;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local, regional and global restrictions on banking and commercial activities in certain markets, especially emerging markets;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longer payment cycles and increased exposure to counterparty risk;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volatility in international financial markets and increased foreign currency risk;</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inflation or hyperinflation in certain markets, including Turkey and Egypt;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supply disruptions and increases in energy and transportation costs;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increased tariffs on the import or export of our products, ingredients or inputs into our products, or API, including potentially significant reciprocal tariffs on products sold between the U.S. and other countries as a result of recent trade policy shifts in the U.S.;</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changes in U.S. government procurement laws for pharmaceutical products related to compliance with the Trade Agreements Act or country of origin policies, or changes in U.S. agency procurement policies for pharmaceutical products manufactured in India or China;</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burdens to comply with multiple, changing and potentially conflicting laws, regulations and disclosure requirements, including those relating to environmental, social and governance matters, carbon emissions, health and safety, labor and human rights;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natural or man-made disasters, including droughts, floods, earthquakes, hurricanes, wildfires and the impact of climate change in the countries in which we or our partners and suppliers operate; and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local disturbances, the outbreak of highly contagious diseases or other health epidemics or pandemics, terrorist attacks, riots, social disruption, wars, or regional hostilities in the countries in which we or our partners and suppliers operate and that could affect the economy, our operations and employees by disrupting operations and communications, making travel and the conduct of our business more difficult, and/or causing our customers to be concerned about our ability to meet their needs.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the risk that some of our competitors have more experience with operations in such countries or with international operations generally and may be able to manage unexpected crises more easily. Moreover, the internal political stability of, or the relationship between, any country or countries where we conduct business operations may deteriorate. Changes in a country’s political stability or the state of relations between any such countries are difficult to predict and the political or social stability in and/or diplomatic relations between any countries in which we or our partners and suppliers do business could meaningfully deteriorate.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or more of the above risks could have a material adverse effect on our business, financial condition, results of operations, cash flows, ability to pay dividends or repurchase shares, and/or stock price.</w:t>
      </w:r>
    </w:p>
    <w:p>
      <w:pPr>
        <w:pStyle w:val="TextBody"/>
        <w:bidi w:val="0"/>
        <w:spacing w:lineRule="auto" w:line="276" w:before="0" w:after="0"/>
        <w:jc w:val="both"/>
        <w:rPr/>
      </w:pPr>
      <w:r>
        <w:rPr>
          <w:rFonts w:ascii="Times New Roman;sans-serif" w:hAnsi="Times New Roman;sans-serif"/>
          <w:b/>
          <w:i/>
          <w:color w:val="000000"/>
          <w:sz w:val="20"/>
        </w:rPr>
        <w:t>Charges to earnings resulting from acquisitions could have a material adverse effect on our business, financial condition, results of operations, cash flows, ability to pay dividends or repurchase shares, and/or stock price</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U.S. GAAP provisions relating to business acquisition accounting standards, we recognize the identifiable assets acquired, the liabilities assumed, and any noncontrolling interests in acquired companies generally at their acquisition date fair values and, in each case, separately from goodwill. Goodwill as of the acquisition date is measured as the excess amount of consideration transferred, which is also generally measured at fair value, and the net of the acquisition date amounts of the identifiable assets acquired and the liabilities assumed.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costs incurred to combine the operations of companies we acquire, such as transitional employee expenses and employee retention, redeployment or relocation expenses;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liabilities assumed in purchase accounting;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impairment of goodwill or intangible assets, including acquired IPR&amp;D;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amortization of intangible assets acquired;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 reduction in the useful lives of intangible assets acquired;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identification of or changes to assumed contingent liabilities, including, but not limited to, litigation reserves, contingent purchase price consideration including fair value adjustments, income tax contingencies and other non-income tax contingencies, after our final determination of the amounts for these contingencies or the conclusion of the measurement period (generally up to one year from the acquisition date), whichever comes first;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significant costs to restructure our operations and to reduce our cost structure, including cost related to severance payments, plant shutdowns and costs to achieve anticipated synergies; and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charges to our operating results resulting from expenses incurred to effect the acquisition.</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these adjustments could be accounted for as expenses that will decrease our net income and earnings per share for the periods in which those costs are incurred.</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amount of goodwill and identifiable intangible assets in our consolidated balance sheets is significant as a result of our acquisitions and other transactions, and may increase further following future potential acquisitions, and we have in the past and may in the future decide to sell assets that we determine are not critical to our strategy or execution. These and other future events or decisions have in the past and may in the future lead to asset impairments and/or related charges. Certain impairments may also result from a change in our strategic goals, business direction or other factors relating to the overall business environment. Any such charges could cause a material adverse effect on our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illegal distribution and sale by third parties of counterfeit or IP-infringing versions of our products or of diverted or stolen products could have a negative impact on our reputation and our business.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drug supply is vulnerable to illegal counterfeiting and the presence of counterfeit or IP-infringing products in a growing number of markets, including widespread sales over the internet.</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illegally distribute and sell counterfeit or IP-infringing versions of our products that do not meet our rigorous manufacturing and testing standards. Counterfeit products are frequently unsafe or ineffective and can be potentially life-threatening. Counterfeit medicines may contain harmful substances, the wrong API, an incorrect dose of API or no API at all, depriving patients of the therapeutic benefit of such medicines. However, to distributors and users, counterfeit products may be visually indistinguishable from the authentic version.</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Reports of adverse reactions to counterfeit or IP-infringing drugs or increased levels of counterfeiting could materially affect patient confidence in the authentic product. It is possible that adverse events caused by unsafe counterfeit products will mistakenly be attributed to the authentic product. In addition, unauthorized diversions of products or thefts of inventory at warehouses, plants, or while in-transit could result in improper storage or compromise product integrity and therefore adversely impact patient safety, our reputation, and our business.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Loss of sales or revenues, as well as public loss of confidence in the integrity of pharmaceutical products as a result of counterfeiting, diversion, or theft could have a material adverse effect on our business, reputation, financial condition, results of operations, cash flows, ability to pay dividends or repurchase shares, and/or stock price.</w:t>
      </w:r>
    </w:p>
    <w:p>
      <w:pPr>
        <w:pStyle w:val="TextBody"/>
        <w:bidi w:val="0"/>
        <w:spacing w:lineRule="auto" w:line="276" w:before="0" w:after="0"/>
        <w:jc w:val="both"/>
        <w:rPr/>
      </w:pPr>
      <w:r>
        <w:rPr>
          <w:rFonts w:ascii="Times New Roman;sans-serif" w:hAnsi="Times New Roman;sans-serif"/>
          <w:b/>
          <w:i/>
          <w:color w:val="000000"/>
          <w:sz w:val="20"/>
        </w:rPr>
        <w:t>We face vigorous competition that threatens the commercial acceptance and pricing of our products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industry is highly competitive. We face competition from other pharmaceutical manufacturers globally, some of whom are significantly larger than us and have stronger, more well-established reputations than us. Our competitors may be able to develop products and processes competitive with or superior to our own for many reasons, including but not limited to the possibility that they may have: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proprietary processes or delivery systems;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larger or more productive R&amp;D and marketing staff;</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larger or more efficient production capabilities in a particular therapeutic area;</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more experience in preclinical testing and human clinical trials;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more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more experience in developing new drugs; or</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greater financial resources.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products are not protected by patent rights or have limited patent life and will soon lose patent protection. Loss of patent protection for a product typically is followed promptly with the launch of generic products. As a result, sales of many of these products decline or stop growing over time, and decline faster than projected once patent protection is lost. In addition, certain products have experienced or may experience generic competition prior to the expiration of patent terms or associated extensions. We may not be successful in managing competition from non-branded generics or other alternatives, or in generally managing revenues after loss of exclusivity, and our business may be materially adversely affected.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increasing competition from lower-cost generic products and other branded products. As we focus on developing or acquiring innovative, best-in-class, patent-protected assets, competition from manufacturers of generic or biosimilar drugs, including from generic versions of competitors’ branded products that lose their market exclusivity, has been and will continue to be a major challenge for our patent-protected and branded products. Generic competitors are also becoming more aggressive in terms of pricing in many of the regions in which Viatris operates. In China, for example, we face strong competition from certain generic manufacturers, which have resulted and may in the future result in price cuts and volume loss on some of Viatris’ branded products. In many emerging markets, we face increased competition and contracting markets for certain of our ARV products, primarily related to competing therapies. We also face competition in the U.S., the EU and other mature markets that have a robust generics market and favorable regulatory conditions for generics. In addition, legislative proposals emerge from time to time in various jurisdictions to further encourage the early and rapid approval of generic drugs. Any such proposal that is enacted into law could increase competition and worsen this negative effect on our branded sales.</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products also face potential competition from products that may be developed in the future that could render our products uncompetitive or obsolete. For example, Viatris or other companies may develop medicines that treat the same indications targeted by our current products, and these medicines could be more effective than our current products or patients and physicians could prefer these medicines over our current medicines. The introduction of these new competing products could also have a negative impact on product sales.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related factors that could affect our business include: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Competitors’ products may be safer, more effective, more effectively marketed or sold, or have lower prices or better performance features than ours;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PBMs and other pharmaceutical manufacturers may utilize contracting strategies that could decrease utilization of or otherwise negatively impact our products;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Vertical integration of pharmacies and large purchasing organizations or consolidation among distribution outlets; and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sales have suffered and may suffer in the future as a result of changes in consumer demand for our products, including those related to fluctuations in consumer buying patterns tied to seasonality or other factors, willingness of customers to switch among products of different pharmaceutical manufacturers, importation by consumers or the introduction of new products by competitors.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 above risks could have an adverse effect on our business,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 relatively small group of products may represent a significant portion of our revenues, net sales, gross profit, or net earnings from time to time.</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limited number of our products from time to time represent a significant portion of our revenues, net sales, gross profit, and net earnings. For each of the years ended December 31, 2024 and 2023, Viatris’ top ten products in terms of sales, in the aggregate, represented approximately 33% of the Company’s net sales. If the volume or pricing of our largest selling products declines in the future, our business, financial condition, results of operations, cash flows, and/or share price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Operational Risks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Current and changing economic conditions, including inflation, may adversely affect our industry, business, partners and suppliers.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economy continues to experience significant volatility, and the economic environment may become less favorable. For example, if the U.S. government defaults on its debt, or the U.S. Treasury takes measures to avoid such a default, or if there is an assumption that such an event may occur, this could have a negative impact on general economic conditions, including the liquidity of and access to the capital markets. A sovereign debt default, economic volatility, governmental financial restructuring efforts and evolving deficit and spending reduction programs could negatively impact the global economy and the pharmaceutical industry. This has led, or could lead, to reduced consumer and customer spending, reduced or eliminated governmental or third-party payor coverage or reimbursement or reduced spending on healthcare, including but not limited to pharmaceutical products. While generic drugs present an alternative to higher-priced branded products, our sales could be negatively impacted if patients forego obtaining healthcare, patients and customers reduce spending or purchases, or if governments or third-party payors reduce or eliminate coverage or reimbursement amounts for pharmaceuticals or impose price or other controls adversely impacting the price or availability of pharmaceuticals (whether for generics, branded products or both). Reduced consumer and customer spending, reduced government or third-party payor coverage or reimbursement, or new government controls, may drive us and our competitors to decrease prices, may reduce the ability of customers to pay, or may result in reduced demand for our products.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In addition, higher rates of inflation over the past few years have resulted, and may continue to result, in increased costs of labor, raw materials, other supplies and freight and distribution costs, among others.</w:t>
      </w:r>
      <w:r>
        <w:rPr>
          <w:color w:val="000000"/>
        </w:rPr>
        <w:t xml:space="preserve"> </w:t>
      </w:r>
      <w:r>
        <w:rPr>
          <w:rFonts w:ascii="Times New Roman;sans-serif" w:hAnsi="Times New Roman;sans-serif"/>
          <w:b w:val="false"/>
          <w:color w:val="000000"/>
          <w:sz w:val="20"/>
        </w:rPr>
        <w:t>While inflationary and other macroeconomic pressures have somewhat eased more recently, we do not expect to see a corresponding reduction in these higher costs and expect such higher costs to negatively impact our results of operations. For the pharmaceutical industry and the healthcare systems in the markets in which we participate, regulatory restrictions and the pricing dynamics of our products generally make it difficult to pass on such costs to customers. Inflation has also resulted and may continue to result in higher interest rates and increased costs of capital. In particular, the global economy has recently been impacted by high levels of inflation and rising energy costs, which has resulted in significant economic volatility and central banks tightening their monetary policies and increasing interest rates. These macroeconomic pressures combined with the volatility in foreign exchange rates, including the strengthening of the U.S. dollar versus the other currencies in which we operate, has in the past and may in the future, negatively impact our results of operations.</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 above risks could have a material adverse effect on our industry, business,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Failure to comply with applicable environmental and occupational health and safety laws and regulations worldwide could adversely impact our business, financial condition, results of operations, cash flows, ability to pay dividends or repurchase shares, and/or stock price.</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globally to various laws and regulations concerning, among other things, the environment, climate change, water, waste, chemicals and employee health and safety. These requirements include regulation of the handling, manufacture, transportation, storage, use and disposal of materials and wastes, including the discharge of regulated materials and emissions into the environment. We are also subject to related permitting, record-keeping, reporting and registration requirements. In the normal course of our business, we are exposed to risks relating to possible releases of hazardous substances into the environment, which could cause environmental or property damage or personal injuries, and which could result in (i) our noncompliance with such environmental and occupational health and safety laws, regulations and permits and (ii) regulatory enforcement actions or claims for personal injury and property damage against us. If environmental discharge occurs, or to the extent we discover contamination caused by third parties, including by prior owners and operators of properties we acquire or lease, or by neighboring properties or other offsite sources, we could be liable for cleanup or remediation obligations, damages and fines or have relevant permits, authorizations or registrations modified or revoked, regardless of our responsibility for such contamination. In addition, any non-compliance with environmental and occupational health and safety laws and regulations and permits, or emissions into the environment, whether actual or perceived, may result in significant reputational damage. The substantial unexpected costs we may incur could have a material adverse effect on our business, financial condition, results of operations, cash flows, ability to pay dividends or repurchase shares, and/or stock price. Environmental and occupational health and safety laws and regulations are also complex and subject to change, and our related capital expenditures and costs for compliance may increase substantially in the future as a result of such changes, the development and manufacturing of a new product or increased development or manufacturing activities at any of our facilities. We may be required to expend significant funds and our manufacturing activities could be delayed or suspended or we may lose the ability to purchase or use certain materials, or face restrictions on the amounts of materials we may use or purchase, which could have a material adverse effect on our business, financial condition, results of operations, cash flows, ability to pay dividends or repurchase shares, and/or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pharmaceutical industry is heavily regulated, and we face significant costs and uncertainties associated with our efforts to comply with applicable laws and regulations.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industry is subject to regulation by various governmental authorities in the jurisdictions in which we operate, including the U.S., EU, China and India. For instance, we must comply with applicable laws and requirements of the FDA and other regulatory agencies, including foreign authorities, with respect to the research, development, manufacture, quality, safety, effectiveness, approval, labeling, tracking, tracing, authentication, storage, record-keeping, reporting, pharmacovigilance, sale, distribution, import, export, marketing, advertising, and promotion of pharmaceutical products. We are committed to conducting our business, including the sale and marketing of our products, in compliance with all applicable laws and regulations. These laws and regulations, however, are numerous, complex and continue to evolve, and it is possible that a governmental authority may challenge our activities, or that an employee or agent could violate these laws and regulations without our knowledge. Failure to comply with these laws, regulations or expectations could result in a range of consequences, including, but not limited to, fines, penalties, disgorgement, exclusion from U.S. federal healthcare reimbursement programs, unanticipated compliance expenditures, suspension of review of applications or other submissions, rejection or delay in approval of applications, recall or seizure of products, total or partial suspension of production and/or distribution, our inability to sell products, the return by customers of our products, injunctions, and/or criminal prosecution. Under certain circumstances, a regulator may also have the authority to revoke or vary previously granted drug approvals.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safety profile of any product will continue to be closely monitored by the FDA and comparable foreign regulatory authorities after approval. If such regulatory authorities become aware of new safety information about any of our marketed or investigational products, those authorities may require further inspections, enhancements to manufacturing controls, labeling changes, establishment of a risk evaluation and mitigation strategy or similar strategy, restrictions on a product’s indicated uses or marketing, or post-approval studies or post-market surveillance. In addition, we are subject to regulations in various jurisdictions, including the Federal Drug Supply Chain Security Act in the U.S., the Falsified Medicines Directive in the EU and several other such regulations in other countries that require us to develop electronic systems to serialize, track, trace and authenticate units of our products through the supply chain and distribution system. Compliance with these regulations has in the past and may in the future result in increased expenses for us or impose greater administrative burdens on our organization, and failure to meet these requirements could result in fines or other penalties.</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the regulatory framework in China regarding the pharmaceutical industry has undergone significant changes and Chinese authorities have become increasingly vigilant in enforcing laws in the pharmaceutical industry. We believe that Viatris’ strategies regarding pharmaceutical research, development, manufacturing and commercialization in China are currently aligned with the Chinese government’s policies, but they may in the future diverge, requiring a change in such strategies. For example, in order to comply with foreign ownership restrictions and meet regulatory, licensing, and cybersecurity requirements, we conduct some of our business in China through variable interest entities. Although we believe these structures and activities related to our VIEs comply with existing laws and regulations in China, they involve unique risks and uncertainties, including that China may from time to time consider and implement additional changes in their legislative, regulatory, licensing, or other requirements that could subject us to penalties and impact these structures and activities. Any such change may result in increased compliance costs to us or cause delays in or prevent the successful research, development, manufacturing or commercialization of our products in China, result in the loss of required licenses and permits or the suspension or termination of Viatris’ activities in China.</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comparable foreign regulatory authorities also regulate the facilities and operational procedures that we use to manufacture our products. We must register our facilities with the FDA and similar regulators in other countries. Products must be manufactured in our facilities in accordance with cGMP or similar standards in each territory in which we manufacture. Compliance with such regulations and with our own quality standards requires substantial expenditures of time, money, and effort in multiple areas, including training of personnel, record-keeping, production, and quality control and quality assurance. The FDA and other comparable regulatory authorities, including foreign authorities, periodically inspect our manufacturing facilities for compliance with cGMP or similar standards in the applicable territory. Regulatory approval to manufacture a drug is granted on a site-specific basis. Failure to comply with cGMP and other regulatory standards at one of our or our partners’ or suppliers’ manufacturing facilities could result in an adverse action brought by the FDA or other regulatory authorities, which has resulted and could in the future result in the receipt of an untitled or warning letter, fines, penalties, disgorgement, unanticipated compliance expenditures, rejection or delay in approval of applications, suspension of review of applications or other submissions, suspension of ongoing clinical trials, recall or seizure of products, total or partial suspension of production and/or distribution, our inability to sell products, the return by customers of our products, orders to suspend, vary, or withdraw marketing authorizations, injunctions, consent decrees, requirements to modify promotional materials or issue corrective information to healthcare practitioners, refusal to permit import or export, criminal prosecution and/or other adverse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established internal quality and regulatory compliance programs and policies, there is no guarantee that these programs and policies, as currently designed, will meet regulatory agency standards in the future or will prevent instances of non-compliance with applicable laws and regulations. Additionally, despite our compliance efforts, we or our partners have in the past and may in the future receive notices of manufacturing and quality-related observations following inspections by regulatory authorities around the world, as well as official agency correspondence regarding compliance. For example, in December 2024 the FDA issued a warning letter and import alert related to our oral finished dose manufacturing facility in Indore, India. The warning letter and import alert restrict our ability to distribute certain products into the U.S. and have also negatively impacted our ability to sell products made at this facility to customers in other regions. We currently expect a negative impact from the Indore actions on our financial condition, results of operations and cash flows in fiscal year 2025, and, if we are unable to resolve any such observations and address regulatory concerns in a timely fashion, our business, financial condition, results of operations, cash flows, ability to pay dividends or repurchase shares, and/or stock price could be materially adversely affected in 2025 as well as future periods.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Our business could be adversely affected if any regulatory body were to delay, withhold, or withdraw approval of an application; require a recall or other adverse product action; require one of our manufacturing facilities to cease or limit production; or suspend, vary, or withdraw related marketing authorization. Reductions in personnel at the FDA or other health agencies as a result of changing legislative or regulatory priorities could result in </w:t>
      </w:r>
      <w:r>
        <w:rPr>
          <w:rFonts w:ascii="Times New Roman;sans-serif" w:hAnsi="Times New Roman;sans-serif"/>
          <w:b w:val="false"/>
          <w:color w:val="000000"/>
          <w:sz w:val="20"/>
          <w:shd w:fill="FFFFFF" w:val="clear"/>
        </w:rPr>
        <w:t>slower response times or reduced resources and, as a result, review of regulatory submissions, inspections, resolution of warning letters or import alerts, approval of new products and other timelines important to our business may be materially impacted, which could have a material adverse effect on our business.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Regulators and policymakers globally are also increasingly focused on addressing drug shortages and expanding transparency across supply chains.</w:t>
      </w:r>
      <w:r>
        <w:rPr>
          <w:color w:val="000000"/>
        </w:rPr>
        <w:t xml:space="preserve"> </w:t>
      </w:r>
      <w:r>
        <w:rPr>
          <w:rFonts w:ascii="Times New Roman;sans-serif" w:hAnsi="Times New Roman;sans-serif"/>
          <w:b w:val="false"/>
          <w:color w:val="000000"/>
          <w:sz w:val="20"/>
        </w:rPr>
        <w:t xml:space="preserve">In the U.S., Congress has recently considered measures to enhance supply chain resiliency and ensure the quality of pharmaceutical products, including expansion of reporting requirements to include API and finished dose manufacturing locations and expanded communication with regulators regarding demand spikes for pharmaceutical products. Compliance with any such requirements may be burdensome or costly. </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controlled substances in certain of our current products and products in development, and therefore must meet the requirements of the Controlled Substances Act of 1970 and the related regulations administered by the DEA in the U.S., as well as those of similar laws in other countries where we operate. These laws relate to the manufacture, shipment, storage, sale, and use of controlled substances. The DEA and other regulatory agencies limit the availability of the controlled substances used in certain of our current products and products in development and, as a result, our procurement quota of these active ingredients may not be sufficient to meet commercial demand or complete clinical trials. We must apply to the DEA and similar regulatory agencies for procurement quotas in order to obtain these substances. Any delay or refusal by the DEA or such similar agencies in establishing our procurement quota for controlled substances could delay or stop our clinical trials or product launches, or could cause trade inventory disruptions for those products that have already been launched. In addition, some states have passed laws and regulations imposing assessments on the sale or distribution of certain controlled substances, and other states are considering and may implement similar laws and regulations in the future. </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 above risks could have a material adverse effect on our business, financial condition, results of operations, cash flows, ability to pay dividends or repurchase shares, and/or stock price.</w:t>
      </w:r>
    </w:p>
    <w:p>
      <w:pPr>
        <w:pStyle w:val="TextBody"/>
        <w:bidi w:val="0"/>
        <w:spacing w:lineRule="auto" w:line="276" w:before="0" w:after="0"/>
        <w:jc w:val="both"/>
        <w:rPr/>
      </w:pPr>
      <w:r>
        <w:rPr>
          <w:rFonts w:ascii="Times New Roman;sans-serif" w:hAnsi="Times New Roman;sans-serif"/>
          <w:b/>
          <w:i/>
          <w:color w:val="000000"/>
          <w:sz w:val="20"/>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both branded and generic, often pursue strategies that could prevent or delay generic alternatives to branded products. These strategies include, but are not limited to:</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entering into agreements whereby other generic companies will begin to market an authorized generic, which is the approved brand-name drug without the brand-name on its label, at the same time or after generic competition initially enters the market;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launching their own authorized generic product prior to or at the same time or after generic competition initially enters the market;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pricing a branded product at a discount equivalent to generic pricing;</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filing frivolous petitions with the FDA or other regulatory bodies seeking to prevent or delay approvals, including timing the frivolous filings so as to thwart generic competition by causing delays of our product approvals;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contracting strategies among pharmaceutical manufacturers and PBMs that could decrease generic or biosimilar utilization and negatively impact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seeking to establish regulatory and legal obstacles that would make it more difficult to demonstrate bioequivalence or to meet other requirements for approval, and/or to prevent regulatory agency review of applications;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initiating legislative or other efforts to limit the substitution of generic versions of brand pharmaceuticals;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filing suits for patent infringement and other claims that may delay or prevent regulatory approval, manufacture, and/or sale of generic products;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introducing “next-generation” products prior to the expiration of market exclusivity for the reference product, which often materially reduces the demand for the generic or the reference product for which we seek regulatory approval;</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persuading regulatory bodies to withdraw the approval of brand-name drugs for which the patents are about to expire and converting the market to another product of the brand company on which longer patent protection exists;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obtaining extensions of market exclusivity by conducting clinical trials of brand drugs in pediatric populations or by other methods; and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seeking to obtain new patents on drugs for which patent protection is about to expire.</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U.S., some companies have lobbied Congress for amendments to Hatch-Waxman Act that would give them additional advantages over generic competitors. For example, although the term of a company’s drug patent can be extended to reflect a portion of the time an NDA (which is filed in the U.S. with the FDA when approval is sought to market a newly developed branded product and, in certain instances, for a new dosage form, a new delivery system or a new indication for a previously approved drug) is under regulatory review, some companies have proposed extending the patent term by a full year for each year spent in clinical trials rather than the one-half year that is currently permitted. Additionally, some companies have lobbied Congress to amend legislation related to patent eligible subject matter that would limit generic drug patent challenges to a single forum (inter partes review or district court). These lobbying efforts, if successful, could discourage the use of inter partes review and limit the ability of generic drug companies to efficiently invalidate improperly granted brand drug patents.</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proposals like these in the U.S., EU, or in other countries where we or our partners and suppliers operate were to become effective, or if any other actions by our competitors and other third parties to prevent or delay activities necessary to the approval, manufacture, or distribution of our products are successful, our entry into the market and our ability to generate revenues associated with new products may be delayed, reduced, or eliminated, which could have a material adverse effect on our business,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successfully introduce new products in a timely manner, our future revenue and profitability may be adversely affected.</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revenues and profitability will depend, in part, upon our ability to successfully and timely develop, license, or otherwise acquire and commercialize new products. Product development is inherently risky, especially for new drugs for which safety and efficacy have not been established and/or the market is not yet fully developed as well as for complex generic drugs and biosimilars. Likewise, product licensing involves inherent risks, including, among others, uncertainties due to matters that may affect the achievement of milestones, as well as the possibility of contractual disagreements with regard to whether the supply of product meets certain specifications or terms such as license scope or termination rights. As we look to accelerate our growth by building on the strength of our base business with an expanding portfolio of innovative, best-in-class, patent-protected assets, the development and commercialization process of such products requires substantial time, effort and financial resources. We, or a collaboration partner, may not have sufficient capital or finances to develop or commercialize a potential product, may not be successful in developing or commercializing such products on a timely basis, or at all, and such products may be less likely or take longer to receive regulatory approval, which could adversely affect our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Before any prescription drug product, including generic drug products, can be marketed, marketing authorization approval is required by the relevant regulatory authorities and/or national regulatory agencies (for example, the FDA in the U.S., the EMA in the EU and other regulatory authorities). The process of obtaining regulatory approval to manufacture and market new branded and generic pharmaceutical products is rigorous, time consuming, costly, and inherently unpredictable. In addition, these regulatory agencies may be delayed in reviewing and approving products as a result of lapsed or insufficient funding, insufficient staffing, travel or work restrictions, or other factors beyond our control. Any delay in regulatory approval could impact the commercial or financial success of a product.</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U.S., the approval process may be more or less rigorous, depending on the country, and the time required for approval may be longer or shorter than that required in the U.S. Bioequivalence, clinical, or other studies conducted in one country may not be accepted in other countries, the requirements for approval may differ among countries, and the approval of a pharmaceutical product in one country does not necessarily mean that the product will be approved in another country. We, or a partner or supplier, may be unable to obtain requisite approvals on a timely basis, or at all, for new products that we may develop, license or otherwise acquire. Moreover, if we obtain regulatory approval for a drug, it may be limited, for example, with respect to the indicated uses and delivery methods for which the drug may be marketed, or may include warnings,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precautions or contraindications in the labeling, which could restrict our potential market for the drug. A regulatory approval may also include post-approval study or risk management requirements that may substantially increase the resources required to market the drug. Also, for products pending approval, we may obtain raw materials or produce batches of inventory to be used in efficacy and bioequivalence testing, as well as in anticipation of the product’s launch. If regulatory approval is denied or delayed, we could be exposed to the risk of this inventory becoming obsolete.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process for generic pharmaceutical products often results in the relevant regulatory agency granting final approval to a number of generic pharmaceutical products at the time a patent claim for a corresponding branded product or other market exclusivity expires. This often forces us to face immediate competition when we introduce a generic product into the market. Additionally, further generic approvals often continue to be granted for a given product subsequent to the initial launch of the generic product. These circumstances generally result in significantly lower prices, as well as reduced margins, for generic products compared to branded products. New generic market entrants generally cause continued price, margin, and sales erosion over the generic product life cycle.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 Hatch-Waxman Act provides for a period of 180 days of generic marketing exclusivity for a “first applicant,” that is the first submitted ANDA (which is filed in the U.S. with the FDA when approval is sought to market a generic equivalent of a drug product previously approved under an NDA and listed in the FDA publication entitled Approved Drug Products with Therapeutic Equivalence Evaluations, popularly known as the “Orange Book” or for a new dosage strength for a drug previously approved under an ANDA) containing a certification of invalidity, non-infringement or unenforceability related to a patent listed with the ANDA’s reference drug product, commonly referred to as a Paragraph IV certification. During this exclusivity period, which under certain circumstances may be shared with other ANDAs filed on the same day, the FDA cannot grant final approval to later-submitted ANDAs for the same generic equivalent. If an ANDA is awarded 180-day exclusivity, the applicant generally enjoys higher market share, net revenues, and gross margin for that generic product. However, our ability to obtain 180 days of generic marketing exclusivity may be dependent upon our ability to obtain FDA approval or tentative approval within an applicable time period of the FDA’s acceptance of our ANDA. If we are unable to obtain approval or tentative approval within that time period, we may risk forfeiture of such marketing exclusivity. By contrast, if we are not a “first applicant” to challenge a listed patent for such a product, we may lose significant advantages to a competitor with 180-day exclusivity, even if we obtain FDA approval for our generic drug product. The same would be true in situations where we are required to share our exclusivity period with other ANDA sponsors with Paragraph IV certifications.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EU and other countries and regions, there is no exclusivity period for the first generic product. The European Commission or national regulatory agencies may grant marketing authorizations to any number of generics.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navigate our products through the approval process in a timely manner, there could be an adverse effect on our product introduction plans, business,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expend a significant amount of resources on R&amp;D efforts that may not lead to successful product introductions.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Much of our development effort is focused on technically difficult-to-formulate products and/or products that require advanced manufacturing technology. We conduct R&amp;D primarily to enable us to gain approval for, manufacture, and market pharmaceuticals in accordance with applicable laws and regulations. We also partner with third parties to develop products, including, for instance, our acquisition of the development programs for selatogrel and cenerimod, which are currently in Phase 3 development. In such cases, successful product introductions have in the past and may in the future significantly rely on such partners, including with respect to their financial condition. Typically, expenses related to the development of innovative or complex compounds and the filing of marketing authorization applications for innovative and complex compounds (such as NDAs in the U.S.) are significantly greater than those expenses associated with the development of and filing of marketing authorization applications for most generic products (such as ANDAs in the U.S. and abridged applications in Europe). As we look to accelerate our growth by building on the strength of our base business with an expanding portfolio of innovative, best-in-class, patent-protected assets, our related expenses have increased and will likely continue to increase. Because of the inherent risk associated with R&amp;D efforts in our industry, including the high cost and uncertainty of conducting clinical trials (where required) particularly with respect to new and/or complex or innovative drugs, our, or a partner’s, R&amp;D and Acquired IPR&amp;D expenditures may not result in the successful introduction of new pharmaceutical products approved by the relevant regulatory bodies. In addition, we have incurred and may in the future incur asset impairment charges related to such programs if they are not successful. Also, after we submit a marketing authorization application for a new compound or generic product, the relevant regulatory authority may change standards and/or request that we conduct additional studies or evaluations and, as a result, we may incur approval delays as well as R&amp;D costs in excess of what we anticipated. For example, we are currently working with Mapi to determine appropriate next steps with respect to a Complete Response letter from the FDA regarding the NDA for GA Depot 40mg.</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testing, particularly with respect to new and/or complex or innovative drugs, is expensive and can take many years to complete, and its outcome is inherently uncertain. Failure can occur at any time during the clinical trial process. We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collaboration partners may experience delays in our ongoing or future clinical trials, and we do not know whether planned clinical trials will begin or enroll subjects on time, need additional financing, need to be redesigned, or be completed on schedule, if at all.</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Clinical trials are complex to administer and outcomes are often unpredictable, particularly with respect to new and/or complex or innovative products. Clinical trials may be delayed, suspended or prematurely terminated for a variety of reasons. If we experience delays in the completion of, or the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Finally, we cannot be certain that any investment made in developing products will be recovered, even if we are successful in commercialization. To the extent that we expend significant resources on R&amp;D efforts and are not able, ultimately, to introduce successful new and/or complex or innovative products as a result of those efforts, there could be a material adverse effect on our business, financial condition, results of operations, cash flows, ability to pay dividends or repurchase shares, and/or stock price.</w:t>
      </w:r>
    </w:p>
    <w:p>
      <w:pPr>
        <w:pStyle w:val="TextBody"/>
        <w:bidi w:val="0"/>
        <w:spacing w:lineRule="auto" w:line="276" w:before="0" w:after="240"/>
        <w:jc w:val="both"/>
        <w:rPr/>
      </w:pPr>
      <w:r>
        <w:rPr>
          <w:rFonts w:ascii="Times New Roman;sans-serif" w:hAnsi="Times New Roman;sans-serif"/>
          <w:b/>
          <w:i/>
          <w:color w:val="000000"/>
          <w:sz w:val="20"/>
        </w:rPr>
        <w:t>Even if our products in development receive regulatory approval, such products may not achieve expected levels of market acceptance</w:t>
      </w:r>
      <w:r>
        <w:rPr>
          <w:rFonts w:ascii="Times New Roman;sans-serif" w:hAnsi="Times New Roman;sans-serif"/>
          <w:b w:val="false"/>
          <w:color w:val="000000"/>
          <w:sz w:val="20"/>
        </w:rPr>
        <w:t>.</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able to obtain regulatory approvals for our new products, the success of those products is dependent upon market acceptance. Levels of market acceptance for our products could be impacted by several factors, including but not limited to:</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availability, perceived advantages, and relative safety and efficacy of alternative products from our competitors;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degree to which the approved labeling supports promotional initiatives for commercial success;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prices of our products relative to those of our competitors;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timing of our market entry;</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effectiveness of our marketing, sales, and distribution strategy and operations; and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other competitor actions, including legal actions.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studies of the proper utilization, safety, and efficacy of pharmaceutical products are being conducted by the industry, government agencies, and others. Such studies, which increasingly employ sophisticated methods and techniques, can call into question the utilization, safety, and efficacy of previously marketed as well as future products. In some cases, such studies have resulted, and may in the future result, in the discontinuation or variation of product marketing authorizations or requirements for risk management programs, such as a patient registry. Any of these events could adversely affect our profitability, business,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Market perceptions of us are very important to our business, especially market perceptions of our company, products, brands and the safety and quality of our products and brands. Viatris believes that maintaining and enhancing certain of its brands is important and often provides certain competitive advantages. If we, our partners and suppliers, or our products or brands suffer from negative publicity, are subject to market withdrawal or recall or are proven to be, or are claimed to be, ineffective or harmful to consumers, then this could have a material adverse effect on our reputation and business. Negative publicity related to the receipt of a warning letter, import alert, or similar restrictions from the FDA or other regulatory authorities, such as the recent restrictions at our Indore facility, have damaged and could continue to damage our reputation among customers, lead customers to seek other suppliers of our products, or lead to additional inquiries from other regulatory authorities. In addition, if customers, patients or regulatory authorities mistake us, our partners and suppliers, or our products and brands for other companies, products or brands, this could lead to brand confusion, unanticipated regulatory inquiries or proceedings and have a negative impact on our reputation and business. </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sales and marketing efforts are anchored by promoting its products to physicians, pharmacists, eye care and other healthcare professionals, clinics and hospitals. Therefore, Viatris’ sales and marketing force, whether in-house sales representatives or third-party commercial partners, must possess a relatively high level of technical knowledge, up-to-date understanding of industry trends and expertise in the relevant therapeutic areas and products, as well as promotion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communication skills. Marketing, advertising and promotions may be expensive and may not achieve their intended benefits. If Viatris is unable to effectively train its in-house sales representatives and third-party commercial partners or monitor and evaluate their marketing performances, our sales and marketing may be less successful than desired. In addition, fewer in-person sales and marketing efforts, or other similar limitations, may result in less successful sales and marketing activities.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Given our dependence on market perception and sales and marketing efforts, negative publicity associated with product or brand quality, patient illness, or other adverse effects resulting from, or perceived to be resulting from, our products or brands, or our partners’ and suppliers’ manufacturing facilities, or an inability to increase or maintain the effectiveness and efficiency of our sales and marketing activities could have a material adverse effect on our reputation, business,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 significant portion of our revenues is derived from sales to a limited number of customers.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is derived from sales to a limited number of customers. For the years ended December 31, 2024 and 2023, Viatris’ top three customers in terms of net sales, in the aggregate, represented approximately 26% and 25%, respectively, of the Company’s consolidated total net sales. If we were to experience a significant reduction in or loss of business with one or more such customers, or if one or more such customers were to experience difficulty in paying us on a timely basis, our business, financial condition, results of operations, cash flows, ability to pay dividends or repurchase shares, and/or stock price could be materially adversely affected.</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significant amount of our sales are to a relatively small number of drug wholesalers and retail drug chains. These customers represent an essential part of the distribution chain of pharmaceutical products. Drug wholesalers and retail drug chains have undergone, and are continuing to undergo, significant consolidation. This consolidation has resulted in these groups gaining additional purchasing leverage and, consequently, increasing the product pricing pressures facing our business. We expect this trend of increased pricing pressures to continue. Additionally, the emergence of large buying groups representing retail and wholesale pharmacies and the prevalence and influence of managed care organizations and similar institutions increases the negotiating power of these groups, enabling them to attempt to extract price discounts, rebates, and other restrictive pricing terms on our products. These factors could have a material adverse effect on our business,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have a limited number of manufacturing facilities and certain third-party suppliers produce a substantial portion of our API and products, some of which require a highly exacting and complex manufacturing process.</w:t>
      </w:r>
    </w:p>
    <w:p>
      <w:pPr>
        <w:pStyle w:val="TextBody"/>
        <w:bidi w:val="0"/>
        <w:spacing w:before="0" w:after="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A substantial portion of our manufacturing capacity, as well as our current production, is attributable to a limited number of manufacturing facilities and certain third-party suppliers. In recent years, we have closed, downsized and divested a number of our manufacturing facilities globally, which further limits our internal manufacturing capacity and increases our dependence on third-party suppliers. A significant disruption at any facilities within our internal or third-party supply chain, even on a short-term basis, whether due to the failure of a third-party supplier to fulfill the terms of their agreement with us, labor disruption, adverse quality or compliance observation, other regulatory action, infringement of brand or other third-party intellectual property rights, natural disaster, civil or political unrest, export or import restrictions, or other events could impair our ability to produce and ship products to the market on a timely basis and could, among other consequences, subject us to exposure to claims from customers. Any of these events could also result in a loss of confidence from our customers, loss of existing or potential business, and have a material adverse effect on our reputation, business, financial condition, results of operations, cash flows, ability to pay dividends or repurchase shares, and/or stock price. If we or our third-party suppliers face significant manufacturing issues, this could lead to shutdowns, delays or product shortages, or to our being entirely unable to supply certain products to customers for an extended period of time. In addition, our facilities or the facilities of our third-party suppliers may be required to close for periods of time, be required to staff at reduced capacity, or suffer other manufacturing delays as the result of an outbreak of disease, epidemic or pandemic, in or near any of our facilities. Such shortages, delays or shutdowns have led and could continue to lead to significant losses of sales revenue, third-party litigation, or negative publicity. See also “</w:t>
      </w:r>
      <w:r>
        <w:rPr>
          <w:rFonts w:ascii="Times New Roman;sans-serif" w:hAnsi="Times New Roman;sans-serif"/>
          <w:b w:val="false"/>
          <w:i/>
          <w:color w:val="000000"/>
          <w:sz w:val="20"/>
        </w:rPr>
        <w:t>The pharmaceutical industry is heavily regulated, and we face significant costs and uncertainties associated with our efforts to comply with applicable laws and regulations.”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certain API and other materials and supplies that we use in our manufacturing operations, as well as certain finished products, from many different foreign and domestic suppliers. The price of API and other materials and supplies is subject to volatility, including as a result of global supply chain disruptions and rates of inflation. In certain cases, we have listed only one supplier in our applications with regulatory agencies. There is no guarantee that we will always have timely, sufficient or affordable access to critical raw materials or finished product supplied by third parties, even when we have more than one supplier, which could lead to our or our partners’ and suppliers’ inability to supply sufficient quantities of our products to meet market demand. In connection with our API business divestiture, we entered into a manufacturing and supply agreement pursuant to which we purchase a significant amount of API from the purchaser in that transaction. Our obligations under this manufacturing and supply agreement have made us more dependent on the purchaser of our API business and the success of their business, and made us more vulnerable to API supply shortages and price volatility. In addition, actual or alleged quality deficiencies in the products which we or our suppliers provide, or at our or their manufacturing facilities, including with respect to the recent warning letter and import alert at our Indore facility, have in the past and could in the future adversely impact our manufacturing and supply capabilities, cause supply interruptions, or lead to voluntary market withdrawals or product recalls. The EU has implemented particularly stringent regulations with respect to manufacturing standards for API imported into Europe that place the certification requirement on the regulatory bodies of the exporting countries. An increase in the price, or an interruption in the supply, of a single-sourced or any other raw material, including the relevant API, or in the supply of finished product, could have a material adverse effect on our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manufacture of some of our products is a highly exacting and complex process, due in part to strict regulatory requirements. Problems may arise during manufacturing at our or our third-party suppliers’ facilities for a variety of reasons, including, among others, equipment malfunction, failure to follow specific protocols and procedures, problems with raw materials, natural disasters, power outages, labor disputes or other civil unrest, cybersecurity or compliance issues, and environmental, health and safety issues, laws, regulations and permits. If problems arise during the production of a batch of product, that batch of product may have to be discarded. This could, among other things, lead to increased costs, contractual penalties,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or one of our suppliers experience any of the problems described above, such problems could have a material adverse effect on our reputation, business,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future success is highly dependent on our ability to attract, motivate and retain key personnel.</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size, complexity and global reach of our business, it is important that we attract, motivate and retain qualified management and other key employees in order to develop and commercialize new products, manage our business, and compete effectively. Our ability to do so also depends in part on how well we maintain a strong, diverse and inclusive workplace culture that is attractive to employees. Competition for qualified personnel in the pharmaceutical industry is intense. Current or prospective Viatris employees may have changing expectations around workplace flexibility, and a failure to meet these evolving expectations may result in reduced ability to attract and retain talent. In addition, current or prospective Viatris employees may experience uncertainty about their future roles at the Company as a result of our strategic initiatives, acquisitions, divestitures, integration activities or restructuring programs. As a result, we may lose key personnel or may be unable to attract, retain and motivate qualified individuals, or the associated costs may increase. If we fail to attract, develop, incentivize and retain key scientific, technical, commercial, regulatory, information security/privacy, or management personnel, this could lead to loss of customers, business disruption, and a decline in revenues, adversely affect the progress of pipeline products, or otherwise adversely affect our operations.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we work to ensure that we have effective plans in place for management succession throughout the organization, any anticipated or unanticipated management transition could create uncertainty, which could disrupt or result in changes to our strategy and have a negative impact on our business. If we are unsuccessful in retaining our key employees or enforcing certain post-employment contractual provisions such as confidentiality provisions, it may have a material adverse impact on our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Compliance Risks</w:t>
      </w:r>
    </w:p>
    <w:p>
      <w:pPr>
        <w:pStyle w:val="TextBody"/>
        <w:bidi w:val="0"/>
        <w:spacing w:before="0" w:after="0"/>
        <w:jc w:val="both"/>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subject to the U.S. Foreign Corrupt Practices Act, U.S. Foreign Extortion Prevention Act, the U.K. Bribery Act, Chinese anti-corruption laws and similar worldwide anti-corruption laws, which impose restrictions on certain conduct and may carry substantial fines and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U.S. Foreign Corrupt Practices Act, the U.K. Bribery Act, Chinese anti-corruption laws and similar anti-corruption laws in other jurisdictions. These laws generally prohibit companies and their intermediaries from engaging in bribery or making other prohibited payments to government officials or others for the purpose of obtaining or retaining business, and some have record keeping requirements. The failure to comply with these laws could result in substantial criminal and/or monetary penalties, or subject us to costly and time consuming government investigations and oversight. Likewise, we are impacted by the U.S. Foreign Extortion Prevention Act that criminalizes a foreign government official’s solicitation of improper payments from U.S. companies or individuals in exchange for conferring an improper advantage. While this law targets improper demands by foreign officials, in many countries in which we operate hospitals are owned and operated by the government, and doctors and other hospital employees with which we do business would be considered foreign officials under these regulations. In addition, the U.S. Foreign Extortion Prevention Act may increase enforcement of the U.S. Foreign Corrupt Practices Act and other applicable anti-corruption laws and amplify exposure for U.S. companies.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jurisdictions that have experienced corruption, bribery, pay-offs and other similar practices from time-to-time and, in certain circumstances, such practices may be local custom. We have implemented and trained relevant employees and third-party agents regarding internal control policies and procedures that mandate compliance with these anti-corruption laws. However, we cannot be certain that these policies and procedures will protect us against liability. There can be no assurance that our employees or other agents will not engage in such conduct for which we might be held responsible. If our employees or agents are found to have engaged in such practices, we could suffer severe criminal or civil penalties, reputational harm and other consequences that could have a material adverse effect on our business, financial condition, results of operations, cash flows, ability to pay dividends or repurchase shares, and/or stock price.</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Companies that produce branded pharmaceutical products and other patent holders routinely bring litigation against entities selling or seeking regulatory approval to manufacture and market generic forms of their branded products, as well as other entities involved in the manufacture, supply, and other aspects relating to API and finished pharmaceutical products. These companies and other patent holders may allege patent infringement or other violations of intellectual property rights as the basis for filing suit against an applicant for a generic product as well as others who may be involved in some aspect of research, supply, production, distribution, testing, packaging or other processes. Litigation often involves significant expense and can delay or prevent introduction or sale of our generic products. If patents are held valid and infringed by our products in a particular jurisdiction, we and/or our supplier(s) or partner(s) may need to cease manufacturing and other activities, including but not limited to selling in that jurisdiction. We may also need to pay damages, surrender or withdraw the product, or destroy existing stock in that jurisdiction.</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also may be situations where we use our business judgment and decide to market and sell products directly or through third parties, notwithstanding the fact that allegations of patent infringement(s) and other third-party rights have not been finally resolved by the courts (i.e., an “at-risk launch”). The risk involved in doing so can be substantial because the remedies available to the owner of a patent for infringement may include, among other things, a reasonable royalty on sales, damages measured by the profits lost by the patent holder, or by profits earned by the infringer. If there is a finding by a court of willful infringement, the definition of which is subjective, such damages may be increased by up to three times. An adverse decision in a case such as this, or a judicial order preventing us or our suppliers and partners from manufacturing, marketing, selling, and/or other activities necessary to the manufacture and distribution of our products, could result in substantial penalties, and/or have a material adverse effect on our business,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the effectiveness of our patents, trademarks, confidentiality agreements and other measures to protect our intellectual property rights.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commercialize any branded product successfully will largely depend upon our or any partner’s or supplier’s ability to obtain, maintain and enforce intellectual property rights of sufficient scope to lawfully prevent third parties from developing and/or marketing infringing products. This will be of particular importance as we will look to accelerate our growth by building on the strength of our base business with an expanding portfolio of innovative, best-in-class, intellectual property-protected assets. In the absence of adequate intellectual property or other protections, competitors may adversely affect our branded products business by independently developing and/or marketing substantially equivalent products. It is also possible that we could incur substantial costs if we initiate litigation against others to protect or enforce our intellectual property rights.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submit patent applications covering the API, formulation, methods of making, and/or methods of use for our branded products and branded product candidates. We may not be issued patents based on patent applications already filed or that we file in the future. Further, due to other factors that affect patentability, and if patents are issued, they may be insufficient in scope to protect our branded products from generic competition, as generics may be able to design around our patents. Patents are national in scope and therefore the issuance of a patent in one country does not ensure the issuance of a patent in any other country. Furthermore, the patent position of companies in the pharmaceutical industry generally involves complex legal and factual questions and has been and remains the subject of significant litigation. Legal standards relating to scope and validity of patent claims are evolving and may differ in various countries. Any patents we have obtained, or obtain in the future, may be challenged, invalidated or circumvented. Moreover, the U.S. Patent and Trademark Office or any other governmental agency may commence or institute post-grant review, inter partes review, interference proceedings, or other challenges to our patents or patent applications. Although many of our products do not have patent protection, we continue to take steps to defend our patents for certain of our products. </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branded products often have market viability based upon the goodwill of the product name, which typically is the subject of a trademark registration or filing. Our branded products may therefore also be subject to risks related to the loss of a trademark or patent or to competition from generic or other branded products. Challenges can come from other businesses, individuals or governments, and governments could require compulsory licensing of our intellectual property. Any challenge to, or invalidation, opposition or circumvention of, our intellectual property (including patents or patent applications, trademarks or trademark applications, trade dress and copyrights) would be costly, would require significant time and attention of our management, and could cause a material adverse effect on our business, financial condition, results of operations, cash flows, ability to pay dividends or repurchase shares, and/or stock price.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unpatented proprietary know-how, proprietary designs, trade dress, regulatory exclusivity and continuing technological innovation that we seek to protect, in part by confidentiality agreements with licensees, suppliers, employees and consultants. These measures may not provide adequate protection for our unpatented technology. If these agreements are breached, it is possible that we will not have adequate remedies. Disputes may arise concerning the ownership of intellectual property or the applicability of confidentiality agreements. Furthermore, our trade secrets and proprietary technology may otherwise become known or be independently developed by our competitors or we may not be able to maintain the confidentiality of information relating to such products.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enforce intellectual property rights also depends on the laws of individual countries, each country’s practices with respect to enforcement of intellectual property rights, and the extent to which certain countries may seek to engage in policies or practices that may weaken its intellectual property framework (e.g., a policy of routine compulsory licensing, or threat of compulsory licensing, of pharmaceutical intellectual property). If we are unable to adequately protect our technology, trade secrets or proprietary know-how, or enforce our intellectual property rights, this could cause a material adverse effect on our business,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reporting and payment obligations related to our participation in U.S. federal healthcare programs, including Medicare, Medicaid and the VA, are complex and often involve subjective decisions that could change as a result of new business circumstances, new laws, regulations or agency guidance, or advice of legal counsel. Any failure to comply with those obligations could subject us to investigation, penalties, and sanctions.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 federal laws regarding reporting and payment obligations with respect to a pharmaceutical company’s participation in federal healthcare programs, including Medicare, Medicaid and the VA, are complex.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and it is possible that such reviews could result in changes that may have material adverse legal, regulatory, or economic consequences.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governmental agencies or authorities that have commenced, or may commence, an investigation of us relating to the sales, marketing, pricing, quality, or manufacturing of pharmaceutical products could seek to impose, based on a claim of violation of anti-fraud and false claims laws or otherwise, civil and/or criminal sanctions, including fines, penalties, and possible exclusion from federal healthcare programs, including Medicare, Medicaid and/or the VA. Some of the applicable laws may impose liability even in the absence of specific intent to defraud. Furthermore, should there be ambiguity with regard to how to properly calculate and report payments—and even in the absence of any such ambiguity—a governmental authority may take a position contrary to a position we have taken, and may impose or pursue civil and/or criminal sanctions. Governmental agencies may also make changes in program interpretations, requirements or conditions of participation, some of which may have implications for amounts previously estimated or paid. There can be no assurance that our submissions will not be found by Centers for Medicare &amp; Medicaid Services or the VA to be incomplete or incorrect. Any failure to comply with the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laws and regulations, and any such penalties or sanctions could have a material adverse effect on our business,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are involved in various legal proceedings and certain government inquiries and may experience unfavorable outcomes of such proceedings or inquiries. </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 may be involved in various legal proceedings and certain government inquiries or investigations, including, but not limited to, patent infringement, product liability, personal injury, securities fraud, claims with respect to the manufacture, sale, marketing and distribution of opioid products, antitrust matters, breach of contract, consumer protection matters, and claims involving Medicare, Medicaid and/or VA reimbursements, or laws relating to sales, marketing, and pricing practices. These proceedings may involve claims for, or the possibility of, fines, penalties, or damages involving substantial amounts of money or other relief, including but not limited to civil or criminal fines and penalties and exclusion from participation in various government healthcare-related programs. </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Viatris is subject to investigations and extensive regulation by government agencies in the U.S., China and other developed and emerging markets in which we operate. Criminal charges, substantial fines and/or civil penalties, limitations on Viatris’ ability to conduct business in applicable jurisdictions, as well as reputational harm and increased public interest in the matter could result from government investigations. With respect to government enforcement of state and federal laws, including antitrust laws, as well as private plaintiff litigation of antitrust claims, including so-called “pay for delay” patent settlements, large verdicts, settlements or government fines are possible, especially in the U.S. and EU. Additionally, some state legislatures have enacted, and the U.S. federal government or additional state legislatures could enact, legislation to limit patent settlements between pharmaceutical companies and deem such patent agreements as anticompetitive. These changes could impact our ability to launch generic products prior to the originator’s patent expiry.</w:t>
      </w:r>
    </w:p>
    <w:p>
      <w:pPr>
        <w:pStyle w:val="TextBody"/>
        <w:bidi w:val="0"/>
        <w:spacing w:lineRule="auto" w:line="276" w:before="0" w:after="240"/>
        <w:ind w:left="0" w:right="0" w:firstLine="720"/>
        <w:jc w:val="both"/>
        <w:rPr/>
      </w:pPr>
      <w:r>
        <w:rPr>
          <w:rFonts w:ascii="Times New Roman;sans-serif" w:hAnsi="Times New Roman;sans-serif"/>
          <w:b w:val="false"/>
          <w:color w:val="000000"/>
          <w:sz w:val="20"/>
          <w:shd w:fill="FFFFFF" w:val="clear"/>
        </w:rPr>
        <w:t>In connection with the Combination, the Company has generally assumed liability for, and control of, pending and threatened legal matters relating to the Upjohn Business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r>
        <w:rPr>
          <w:color w:val="000000"/>
        </w:rPr>
        <w:t xml:space="preserve"> </w:t>
      </w:r>
      <w:r>
        <w:rPr>
          <w:rFonts w:ascii="Times New Roman;sans-serif" w:hAnsi="Times New Roman;sans-serif"/>
          <w:b w:val="false"/>
          <w:color w:val="000000"/>
          <w:sz w:val="20"/>
          <w:shd w:fill="FFFFFF" w:val="clear"/>
        </w:rPr>
        <w:t xml:space="preserve">If Pfizer were to successfully dispute its retention of these matters, or if there is an adverse outcome in the matters that Pfizer has agreed to retain, this could have an adverse impact on Viatris. </w:t>
      </w:r>
      <w:r>
        <w:rPr>
          <w:rFonts w:ascii="Times New Roman;sans-serif" w:hAnsi="Times New Roman;sans-serif"/>
          <w:b w:val="false"/>
          <w:color w:val="000000"/>
          <w:sz w:val="20"/>
        </w:rPr>
        <w:t xml:space="preserve">In addition, Viatris has agreed to pay Pfizer an amount equal to 57% of any losses actually incurred or suffered by Viatris, its predecessors or subsidiaries, since July 29, 2019, arising out of third-party actions relating to the manufacture, distribution, marketing, promotion or sale of opioids by or on behalf of Viatris, its predecessors or subsidiaries. If any of these legal proceedings or inquiries were to result in an adverse outcome, the impact could have a material adverse effect on our business, financial condition, results of operations, cash flows, ability to pay dividends or repurchase shares, and/or stock price. </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Emerging developments in the U.S. legal landscape relative to the liability of pharmaceutical manufacturers for certain product liabilities claims could increase our exposure to litigation costs and damages, including in connection with third party defense and indemnification demands. Moreover, although we maintain a combination of self-insurance and commercial insurance, no reasonable amount of insurance can fully protect against all risks because of the potential liability inherent in the business of producing pharmaceuticals for human consumption. To the extent that a loss occurs, depending on the nature of the loss and the level of insurance coverage maintained, it could have a material adverse effect on our business, financial condition, results of operations, cash flows, ability to pay dividends or repurchase shares, and/or stock price.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limited circumstances, entities that we have acquired are party to litigation in matters under which we are, or may be, entitled to indemnification by the previous owners. Even in the case of indemnification, there are risks inherent in such indemnities and, accordingly, there can be no assurance that we will receive the full benefits of such indemnification, or that we will not experience an adverse result in a matter that is not indemnified, which could have a material adverse effect on our business, financial condition, results of operations, cash flows, ability to pay dividends or repurchase shares, and/or stock price.</w:t>
      </w:r>
    </w:p>
    <w:p>
      <w:pPr>
        <w:pStyle w:val="TextBody"/>
        <w:bidi w:val="0"/>
        <w:spacing w:lineRule="auto" w:line="276" w:before="0" w:after="240"/>
        <w:ind w:left="0" w:right="0" w:firstLine="720"/>
        <w:jc w:val="both"/>
        <w:rPr/>
      </w:pPr>
      <w:r>
        <w:rPr>
          <w:rFonts w:ascii="Times New Roman;sans-serif" w:hAnsi="Times New Roman;sans-serif"/>
          <w:b w:val="false"/>
          <w:color w:val="000000"/>
          <w:sz w:val="20"/>
        </w:rPr>
        <w:t xml:space="preserve">Refer to Note 19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included in Part II, Item 8 in this Form 10-K for further discussion of certain proceedings and litigation matters.</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increasingly dependent on IT and information systems and our systems and infrastructure face certain risks, including cybersecurity and data leakage risks.</w:t>
      </w:r>
    </w:p>
    <w:p>
      <w:pPr>
        <w:pStyle w:val="TextBody"/>
        <w:bidi w:val="0"/>
        <w:spacing w:before="0" w:after="0"/>
        <w:jc w:val="both"/>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disruptions to our IT and information systems or breaches of information security could adversely affect our business. We are increasingly dependent on sophisticated IT and information systems and infrastructure to operate our business. The number of new vulnerabilities identified to these systems combined with the increased number of systems that reach end of life each year creates an opportunity for successful malicious attacks. Such attacks are increasingly sophisticated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are made by groups and individuals with a wide range of motives and expertise, including state and quasi-state actors, criminal groups, “hackers” and others. Evolving work conditions, including work from home protocols, may be less secure and have introduced operational risk, including increased cybersecurity risk. For example, groups and individuals have sought to exploit remote working environments to initiate hacking, phishing, and social engineering attempts and malware attacks.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suppliers, partners, customers and vendors have in the past experienced and will in the future likely continue to experience cybersecurity threats and incidents, including attacks on and compromises of our systems. Although we do not believe such cybersecurity threats or incidents have had a significant impact on us to date, there is no guarantee that a future cybersecurity threat or incident will be detected and remediated to not have a material adverse impact on our business, reputation, financial conditions, cash flows or results of operations. Any security breach or other disruption to our or our vendors’ IT or information systems infrastructure could also interfere with or disrupt our business operations, including our manufacturing, distribution, R&amp;D, sales and/or marketing activities. While we continue to invest in the monitoring, protection and resilience of our information and data security systems, there can be no assurances that our efforts will detect, prevent, or fully recover systems or data from all breakdowns, service interruptions, cybersecurity threats and incidents, attacks and/or breaches.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outsource significant elements of our operations to third parties and provide IT, information and security services to some partners under transition services agreements. Some of these third parties are outside the U.S., including significant elements of our IT and information systems infrastructure, and as a result we are managing many independent vendor relationships with third parties who may or could have access to our confidential information. The overall increase in supply chain attacks on companies generally, and our interdependency on third party suppliers increases the potential for supply disruptions and service IT and information system outages. In addition to our reliance upon third parties to provide IT and information system and security services, the market for such services continues to contract and converge, increasing both the challenges in identifying competent providers and the impact of a breach incident with any single vendor. In the ordinary course of business, we and our vendors collect, store and transmit large amounts of confidential information (including trade secrets or other intellectual property, proprietary business information and personal information), and it is critical that we do so in a secure manner to maintain the confidentiality and integrity of such confidential information. The size and complexity of our and our vendors’ systems and the large amounts of confidential information that is present on them also makes them vulnerable to security breaches from inadvertent or intentional actions by our employees, partners or vendors, or from attacks by malicious third parties. Maintaining our access to and the security, confidentiality and integrity of this confidential information (including trade secrets or other intellectual property, proprietary business information and personal information) is important to our competitive business position. However, such information can be difficult and costly to protect. While we have taken steps to identify and protect such information, and to ensure that the third-party vendors’ on which we rely have taken adequate steps to protect such information, there can be no assurance that our or our vendors’ efforts will prevent service interruptions or security breaches in our systems or the unauthorized or inadvertent wrongful use or disclosure of confidential or material non-public information that could adversely affect our business operations or result in the loss, misappropriation, and/or unauthorized access, use or disclosure of, or the prevention of access to, confidential information.</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breach of our or our vendors’ security measures or the accidental loss, inadvertent disclosure, unapproved dissemination, misappropriation or misuse of trade secrets, proprietary information, or other confidential information, whether as a result of a cybersecurity threat or incident, theft, hacking, fraud, trickery, phishing or other forms of deception, or for any other cause, could enable others to produce competing products, use our proprietary technology or information, and/or adversely affect our business position. Further, any such interruption, security breach, or loss, misappropriation, and/or unauthorized access, use or disclosure of confidential information, including personal information regarding our patients and employees, could result in financial, legal, business, and reputational harm to us and could have a material adverse effect on our business, financial condition, results of operations, cash flows, ability to pay dividends or repurchase shares, and/or stock price.</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Insurance may be insufficient or may not cover the financial, legal, business or reputational losses that may result from a breakdown, breach, cybersecurity threat or incident or other compromise of or interruption to our IT and information systems or confidential and other sensitive information. We also cannot ensure that any limitation of liability or indemnity provisions in our contracts, including with vendors and service providers, for a cybersecurity threat or incident, security lapse or breach or other security incident would be enforceable or adequate or would otherwise protect us from any liabilities or damages with respect to any particular claim. Refer to Part I, Item 1C “Cybersecurity” of this Form 10-K for additional information about the Company’s risk management and strategy and governance with respect to cybersecurity threats and incidents.</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data privacy and security laws and regulations in many different jurisdictions and countries where we do business, and our or our vendors’ inability to comply could result in fines, penalties, or reputational damage, and could impact the way we operate our business.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international data privacy and security laws and regulations governing the collection, use, disclosure, transmission and protection of personal information, including health-related information. As the legislative and regulatory landscape for data privacy and security continues to evolve around the world, there has been an increasing focus on data privacy and security matters that may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U.S., federal laws include HIPAA, which governs the use, disclosure, and security of protected health information by HIPAA covered entities and business associates. Several U.S. states have enacted or proposed broad data privacy laws and regulations governing the confidentiality, security, use and disclosure of personal information, which may impose greater restrictions than federal data privacy and security laws and regulations and provide transparency and privacy rights for their citizens. We may also be subject to other state data privacy and security breach notification laws, state health information privacy laws, and federal and state consumer protection laws such as the federal Controlling the Assault of Non-Solicited Pornography and Marketing (CAN-SPAM) Act, which impose requirements for the collection, use, disclosure, transmission and protection of personal information. Each of these laws are subject to varying interpretations by courts and regulatory or government agencies, creating complex compliance issues for us. If we, or the third-party vendors on which we rely, fail to comply with applicable laws and regulations we could be subject to fines, penalties or sanctions, including criminal penalties.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EU’s and U.K.’s GDPR and local implementing regulations also impose significant compliance obligations on our organization. The GDPR contains data protection requirements in the EU and U.K. and imposes a framework of obligations and restrictions governing the collection, processing, and the transmission of personal information to jurisdictions outside of the EU and U.K. The GDPR affords individuals with a series of privacy rights related to the collection, processing, and transmission of their personal information. The GDPR imposes significant compliance obligations, including required processes and policies governing our collection, transmission, processing and use of individuals personal information. In addition, the GDPR includes significant penalties for non-compliance, with fines up to the higher of €20 million or 4% of total annual worldwide revenue. In general, GDPR, and other data protection laws and regulations, could require adaptation of our technologies or practices to satisfy local country data protection requirements and standards.</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China, the laws and regulations relating to cybersecurity, data privacy and personal information continue to evolve. In 2021 and 2022, China amended and, in some cases, adopted new laws and regulations governing the collection, transmission, processing and use of individual personal information, including the Data Security Law, the Cybersecurity Review Measures, the Personal Information Protection Law and the Data Export Security Review Measures. These laws and regulations restrict our ability to collect, transfer and use certain personal data, absent an application to and, in some cases, approval from relevant governmental authorities in China. Additional regulations, guidelines, and measures relating to data privacy and data protection are expected to be adopted, including more guidance from industry sector regulators on the catalogues of important data and publication of implementation rules for certifications for cross-border transfers of personal information out of China, which may contain additional requirements for transferring personal information out of mainland China.</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countries in which we operate have, or are developing, laws and regulations governing the collection, use, securing and transmission of personal information as well that may affect our business or require us to adapt our technologies or practices. If we, or the third-party vendors on which we rely, fail to comply with applicable laws and regulations we could be subject to fines, penalties or sanctions, including criminal penalties.</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initiatives could increase the cost of developing, implementing or maintaining our IT systems, require us to allocate more resources to compliance initiatives or increase our costs. </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AI-based solutions, including generative AI, are increasingly being used in the pharmaceutical industry, including by us, and we expect to use other systems and tools that incorporate AI-based technologies in the future. The use of AI solutions by our employees or third parties on which we rely could lead to the public disclosure of confidential information (including personal data or proprietary information) in contravention of our internal policies, data protection or other applicable laws, or contractual requirements. The misuse of AI solutions could also result in unauthorized access and use of personal data of our employees, clinical trial participants, collaborators, or other third parties. In addition, the legal and regulatory landscape surrounding AI technologies is rapidly evolving and uncertain, including in the areas of intellectual property, cybersecurity, and privacy and data protection. Compliance with new or changing laws, regulations or industry standards relating to AI may impose significant operational costs and may limit our ability to develop, deploy or use AI technologies. Failure to appropriately respond to this evolving landscape may result in legal liability, regulatory action, loss of trade secrets or other intellectual property, brand and reputational harm, or lead to outcomes with unintended biases or other consequences.</w:t>
      </w:r>
    </w:p>
    <w:p>
      <w:pPr>
        <w:pStyle w:val="TextBody"/>
        <w:bidi w:val="0"/>
        <w:spacing w:before="0" w:after="0"/>
        <w:ind w:left="0" w:right="0" w:firstLine="720"/>
        <w:jc w:val="left"/>
        <w:rPr/>
      </w:pPr>
      <w:r>
        <w:rPr/>
      </w:r>
    </w:p>
    <w:p>
      <w:pPr>
        <w:pStyle w:val="TextBody"/>
        <w:bidi w:val="0"/>
        <w:spacing w:lineRule="auto" w:line="25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failure by us, or our third-party vendors, to comply with applicable data privacy and security laws may lead to government enforcement actions and private litigation, which could result in financial, legal, business, and reputational harm to us and could have a material adverse effect on the way we operate our business, our financial condition, results of operations, cash flows, ability to pay dividends or repurchase shares, and/or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Increasing scrutiny and evolving expectations from customers, regulators, governments, investors, lenders, employees, and other stakeholders with respect to our environmental, social and governance practices may impose additional costs on us or expose us to new or additional risks.</w:t>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Companies are facing increasing expectations and scrutiny from customers, regulators, governments, investors, lenders, employees and other stakeholders</w:t>
      </w:r>
      <w:r>
        <w:rPr>
          <w:color w:val="000000"/>
        </w:rPr>
        <w:t xml:space="preserve"> </w:t>
      </w:r>
      <w:r>
        <w:rPr>
          <w:rFonts w:ascii="Times New Roman;sans-serif" w:hAnsi="Times New Roman;sans-serif"/>
          <w:b w:val="false"/>
          <w:color w:val="000000"/>
          <w:sz w:val="20"/>
        </w:rPr>
        <w:t>related to their environmental, social and governance practices and disclosures. Investor advocacy groups, investment funds and influential investors are also focused on these practices, including those related to the environment, climate change, health and safety, supply chain management, diversity, labor conditions and human rights, both in our own operations and in our supply chain. New or evolving government regulations, including in the EU, have resulted and could continue to result in new or more stringent forms of environmental, social and governance oversight and related costs, including increased greenhouse gas limitations, and the expansion of mandatory and voluntary reporting, due diligence, and disclosure regarding environmental, social and governance matters, which could materially negatively impact our business and operations. In parallel, environmental, social and governance initiatives have become increasingly controversial, and we may also face scrutiny, reputational risk, lawsuits or market access restrictions as a result of our initiatives and disclosures. Complying with new and changing regulations will likely require us to modify or update certain of our practices, processes, and manufacturing systems, which could require additional investment of time and resources or result in significant costs. Failure to adapt to or comply with government regulations, regulatory requirements or investor or stakeholder expectations and standards could negatively impact our reputation, ability to do business with certain partners, access to investors and capital, and our stock price, and could lead to novel forms of litigation, including shareholder litigation and governmental investigations or enforcement actions, sanctions or fines related to environmental, social and governance matters.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evolving “extended producer responsibility” regulations now require companies that manufacture pharmaceutical products to pay a significant portion of the cost of treating urban wastewater to eliminate micropollutants. These regulations may significantly increase the cost of producing our pharmaceutical products, limit our ability to supply certain products in certain markets, or may limit our competitiveness, which may adversely impact our market share, business and operations.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growing number of our customers, including certain government purchasers, have adopted, or may adopt, procurement policies that include social and environmental requirements, including, for example, requirements to monitor and conduct third party audits, or these customers may seek to include such provisions in their procurement contract terms and conditions. These social and environmental responsibility provisions and initiatives are subject to change, vary from jurisdiction to jurisdiction, and certain elements may be difficult and/or cost prohibitive for us to comply with given the inherent complexity of our external supply chain and the global scope of our operations. In certain circumstances, in order to meet the requirements or standards of our customers, we may be obligated to implement additional processes, modify our sourcing practices or make other operational choices which may require additional investments of time and resources, increase our costs or result in inefficiencies. Alternatively, we may be ineligible to participate in bids or tenders in certain markets, which may result in lost sales and revenues or decrease patient access to medicine.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Viatris has company wide sustainability goals in the areas of access; workplace culture; and the environment: climate change, water and waste. Achievement of these goals depends on our development and execution of various operational strategies. The development and execution of these strategies and achievement of our goals, including our near-term science based emissions reductions targets for scope 1, 2 and 3, are subject to risk and uncertainties, many of which are outside of our control. There are no assurances that we will be able to successfully develop or execute our strategies and achieve our environmental, social and governance goals.</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factors mentioned above, or the perception that we or our suppliers or contract manufacturers have not responded appropriately to the growing concern for such issues, regardless of whether we are legally required to do so, may damage our reputation and have a material adverse effect on our business, employee relations, access to investors and capital, financial condition, results of operations, cash flows, ability to pay dividends or repurchase shares, and/or stock price.</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and operations are subject to risks related to climate change.</w:t>
      </w:r>
    </w:p>
    <w:p>
      <w:pPr>
        <w:pStyle w:val="TextBody"/>
        <w:bidi w:val="0"/>
        <w:spacing w:before="0" w:after="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effects of global climate change present risks to our business. Extreme weather, natural disasters, power outages, or other conditions caused by climate change could adversely impact our supply chain and the availability and cost of raw materials, water supply, and other components required for the operation of our business, or result in the delay and/or disruption of our ability to deliver products. Such conditions could also result in physical damage to our or our partners’ products, plants and distribution centers, our ability to operate in certain areas, as well as the infrastructure and facilities of hospitals, medical care facilities and other customers. Our programs to plan for and mitigate risk and build resilience to the impacts of climate change may not be successful, and the cost of implementing such programs may be significant. Current or future insurance arrangements may not provide protection for costs that may arise from such events, particularly if such events are catastrophic in nature or occur in combination. In addition, regulations intended to limit greenhouse gas emissions or water usage, such as greenhouse gas emission reduction obligations, carbon pricing, and taxes on emissions, fuel and energy, or to mitigate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impacts of climate change may become more prevalent, which could increase our operating costs and the costs charged by suppliers. These events could have a material adverse effect on the way we operate our business, including the resiliency of our supply chain, our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Finance Risks</w:t>
      </w:r>
    </w:p>
    <w:p>
      <w:pPr>
        <w:pStyle w:val="TextBody"/>
        <w:bidi w:val="0"/>
        <w:spacing w:before="0" w:after="0"/>
        <w:jc w:val="both"/>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There can be no guarantee that we will continue to pay dividends or repurchase shares under our share repurchase program.</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Viatris currently intends to continue to pay quarterly dividends to its shareholders, there is no assurance that Viatris will declare and pay, or have the ability to declare and pay, any dividends on its common stock in the future. Whether dividends will be paid, and the amount and frequency of any such dividend payments, will depend upon a number of factors, including Viatris’ results of operations, cash flows, financial position, competitive or commercial developments, contractual or statutory restrictions and any other factors considered relevant by the Viatris Board. Such payments, and the amount and frequency thereof, are also subject to the other risks set forth in these risk factors. In addition, while the Board of Directors has authorized a $2 billion share repurchase program, of which $1.5 billion remains available as of February 27, 2025, there is no guarantee with respect to the timing or amount of any future share repurchases, or that we will repurchase the full amount authorized under our current share repurchase program. Other factors, including changes in tax or securities laws, such as the U.S. Inflation Reduction Act of 2022 which imposes a corporate excise tax of 1% on net stock repurchases, could also impact our share repurchases. A share repurchase program could affect our stock price and increase volatility, and any announcement of a pause in, or termination of, a share repurchase program may result in a decrease in our stock price. Payment of a cash dividend or share repurchases will reduce the amount of cash available to the Company for other activities, including repayment of debt, investment in the business, R&amp;D, business development activities, or other capital expenditures. If we are unable to, or choose not to, pay a quarterly dividend or repurchase shares under our share repurchase program, this may have a negative impact on the perception of the Company as an investment opportunity by shareholders or investment analysts, which may in turn negatively impact our stock price.</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If the intercompany terms of cross border arrangements that we have among our subsidiaries are determined to be inappropriate or ineffective, our tax liability may increase.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potential tax exposures resulting from the varying application of statutes, regulations, and interpretations which include exposures on intercompany terms of cross-border arrangements among our subsidiaries (including intercompany loans, licenses, sales, and services agreements) in relation to various aspects of our business, including manufacturing, marketing, sales, and delivery functions. Although we believe our cross-border arrangements among our subsidiaries are based upon internationally accepted standards and applicable law, tax authorities in various jurisdictions may disagree with and subsequently challenge the amount of profits taxed in their country, which may result in increased tax liability, including accrued interest and penalties, which would cause our tax expense to increase and could have a material adverse effect on our business, financial condition, results of operations, cash flows, ability to pay dividends or repurchase shares, and/or stock price.</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not be able to maintain competitive financial flexibility and our corporate tax rate which could adversely affect us and our shareholders.</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structure and operations give us the ability to achieve competitive financial flexibility and a competitive worldwide effective corporate tax rate. We must make material assumptions underlying our expected tax rates, including regarding the effect of certain internal reorganization transactions, intercompany transactions, and divestitures. We cannot give any assurance as to what our effective tax rate will be, however, because of, among other reasons, uncertainty regarding the tax policies of the jurisdictions where we operate, potential changes of laws and interpretations thereof, and the potential for tax audits or challenges. Our actual effective tax rate may vary from our expectation and that variance may be material. For example, in 2022 the U.S. Inflation Reduction Act was signed into law which, among other things, provides for a corporate alternative minimum tax of 15% on adjusted financial statement income and an excise tax of 1% on corporate share repurchases. Moreover, the rate of tax we pay in other jurisdictions may increase significantly upon the adoption and implementation of the OECD Pillar Two Global Anti-Base Erosion rule, which provides for a minimum 15% tax rate in jurisdictions where adopted. We are continuing to evaluate the impact of these laws, and other proposed changes in corporate tax laws, which may significantly increase our global tax liabilities. In addition, the tax laws of other jurisdictions could change in the future, and such changes could cause a material change in our effective tax rate.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factors discussed above could materially increase our overall effective income tax rate, income tax expense and cash taxes paid and could have a material adverse effect on our business, financial condition, results of operations, cash flows, ability to pay dividends or repurchase shares, and/or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Unanticipated changes in our tax provisions or exposure to additional income tax liabilities and changes in income tax laws and tax rulings may have a significant adverse impact on our effective tax rate and income tax expense.</w:t>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We are subject to income taxes in many jurisdictions. Significant analysis and judgment are required in determining our worldwide provision for income taxes.</w:t>
      </w:r>
      <w:r>
        <w:rPr>
          <w:color w:val="000000"/>
        </w:rPr>
        <w:t xml:space="preserve"> </w:t>
      </w:r>
      <w:r>
        <w:rPr>
          <w:rFonts w:ascii="Times New Roman;sans-serif" w:hAnsi="Times New Roman;sans-serif"/>
          <w:b w:val="false"/>
          <w:color w:val="000000"/>
          <w:sz w:val="20"/>
        </w:rPr>
        <w:t>In the ordinary course of business, there are many transactions and calculations where the ultimate tax determination is uncertain. We are currently subject to tax audits, investigations and litigations in several jurisdictions, and may be subject to other audits, investigations or litigations in the future. The final determination of any tax audits or related litigation could be materially different from our income tax provisions and accruals.</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changes in the effective tax rate as a result of a change in the mix of earnings in countries with differing statutory tax rates, changes in our overall profitability, changes in the valuation of deferred tax assets and liabilities, changes in tax laws or in their application, the results of audits and the examination of previously filed tax returns and related challenges and assessments by taxing authorities, and continuing assessments of our tax exposures could impact our tax liabilities, income tax expense and cash taxes paid, which could have a material adverse effect on our business,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Viatris may be subject to significant U.S. tax liabilities or be obligated to indemnify Pfizer for any such tax liability imposed on Pfizer in connection with the Combination.</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Combination, Pfizer received a private letter ruling and opinion of counsel, each to the effect that, for U.S. federal income tax purposes, the Distribution, together with certain related transactions, would qualify as a tax-free “reorganization” and the Distribution would qualify as a tax-free distribution. If the Distribution were determined not to have qualified for tax-free treatment, Pfizer would generally be subject to tax as if it sold the Viatris common stock in a transaction taxable to Pfizer, which could result in a material tax liability that, under certain circumstances, Viatris may be required to indemnify Pfizer against pursuant to the Tax Matters Agreement. If Viatris was required to indemnify Pfizer for taxes resulting from the Distribution or certain aspects of the Separation, that indemnification obligation could be substantial and could have a material adverse effect on Viatris, including with respect to our business, financial condition and results of operations. </w:t>
      </w:r>
    </w:p>
    <w:p>
      <w:pPr>
        <w:pStyle w:val="TextBody"/>
        <w:bidi w:val="0"/>
        <w:spacing w:before="0" w:after="0"/>
        <w:ind w:left="0" w:right="0" w:firstLine="720"/>
        <w:jc w:val="both"/>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Currency fluctuations and changes in exchange rates have impacted and could continue to adversely affect our business, financial condition, results of operations, cash flows, ability to pay dividends or repurchase shares, and/or stock price.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report our financial results in U.S. Dollars, a significant portion of our revenues, indebtedness and other liabilities and our costs are denominated in non-U.S. currencies, including among others the Chinese Renminbi, Euro, Swedish Krona, Indian Rupee, Korean Won, Japanese Yen, Australian Dollar, Canadian Dollar, and British Pound Sterling. Our financial condition, results of operations and cash flows, have in the past been and may in the future be adversely affected by certain movements in currency exchange rates. Defaults or restructurings in other countries could have a similar adverse impact on our financial condition, results of operations and cash flows. In addition, there remains significant international pressure on the Chinese government to adopt a more flexible currency policy, including from the U.S. government, which designated China as a “currency manipulator” in August 2019 and subsequently removed such designation in January 2020, which could result in greater fluctuation of the Renminbi against the U.S. dollar. From time to time, we may implement currency hedges intended to reduce our exposure to changes in foreign currency exchange rates. However, our hedging strategies may not be successful, and any of our unhedged foreign exchange exposures will continue to be subject to market fluctuations. </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Viatris also faces risks arising from currency devaluations and the imposition of cash repatriation restrictions and exchange controls. Currency devaluations result in a diminished value of funds denominated in the currency of the country instituting the devaluation. Cash repatriation restrictions and exchange controls may limit our ability to convert foreign currencies into U.S. dollars or to remit dividends and other payments by our foreign subsidiaries or businesses located in or conducted within a country imposing restrictions or controls. For example, in China the conversion of currency in the “capital account” (e.g., capital items such as direct investments or loans) requires the approval of, or registration or filing with, relevant governmental authorities in China, which could materially and adversely affect the ability of our Chinese operating subsidiaries and affiliated companies to obtain foreign currencies through equity or debt financing or for capital expenditures, therefore impeding our overall business operations in China. Should we determine the need to repatriate or convert cash held in countries that have significant restrictions or controls in place, including in China, we may be unable to repatriate or convert such cash, or be unable to do so without incurring substantial costs.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 above risks could cause a material adverse effect on our business, financial condition, results of operations, cash flows, ability to pay dividends or repurchase shares, and/or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pPr>
      <w:r>
        <w:rPr>
          <w:rFonts w:ascii="Times New Roman;sans-serif" w:hAnsi="Times New Roman;sans-serif"/>
          <w:b/>
          <w:i/>
          <w:color w:val="000000"/>
          <w:sz w:val="20"/>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r>
        <w:rPr>
          <w:rFonts w:ascii="Times New Roman;sans-serif" w:hAnsi="Times New Roman;sans-serif"/>
          <w:b w:val="false"/>
          <w:color w:val="000000"/>
          <w:sz w:val="20"/>
        </w:rPr>
        <w:t>.</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level of indebtedness could have important consequences, including but not limited to:</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increasing our vulnerability to general adverse economic and industry conditions;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requiring us to dedicate a substantial portion of our cash flow from operations to make debt service payments, or repay debt, thereby reducing the availability of cash flow to fund working capital, capital expenditures, acquisitions and investments, dividend payments or share repurchases, and other general corporate purposes;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limiting our flexibility in planning for, or reacting to, challenges and opportunities, and changes in our businesses and the markets in which we operate;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limiting our ability to obtain additional financing to fund our working capital, capital expenditures, acquisitions and debt service requirements and other financing needs;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increasing our vulnerability to increases in interest rates in general related to any of our indebtedness that bears interest at floating rates or when refinancing maturing debt at higher rates;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increasing our exposure to currency fluctuations, since a significant portion of our indebtedness is denominated in currencies other than the U.S. dollar, such as our Euro and Japanese yen denominated debt; and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placing us at a competitive disadvantage to our competitors that have less debt.</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service our indebtedness will depend on our future operating performance and financial results, which will be subject, in part, to factors beyond our control, including interest rates and general economic, financial and business conditions. If we do not have sufficient cash flow to service our indebtedness, including the repayment of significant near-term indebtedness, we may need to refinance all or part of our existing indebtedness, borrow more money or sell securities or assets, some or all of which may not be available to us at acceptable terms or at all. In addition, we may need to incur additional indebtedness in the future in the ordinary course of business. Although the terms of our credit agreements and our bond indentures allow us to incur additional debt, this is subject to certain limitations which may preclude us from incurring the amount of indebtedness we otherwise desire.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downgrade in the credit rating of Viatris or any indebtedness of Viatris or its subsidiaries could increase the cost of further borrowings or refinancings of such indebtedness, limit access to sources of financing in the future or lead to other adverse consequences. We have in the past been and may in the future be subject to ratings downgrades or negative outlooks by ratings agencies, which could negatively impact our ability to raise debt or borrow funds in amounts or on terms that are favorable to us, if at all.</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facilities, senior unsecured notes, commercial paper program, other outstanding indebtedness and any additional indebtedness we incur in the future impose, or may impose, significant operating and financial restrictions on us. These restrictions limit our ability to, among other things, incur additional indebtedness, make investments, pay certain dividends, prepay other indebtedness, sell assets, incur certain liens, enter into agreements with our affiliates, or restrict our subsidiaries’ ability to pay dividends, merge or consolidate. In addition, our credit facilities require us to maintain specified financial ratios. A breach of any of these covenants or our inability to maintain the required financial ratios could result in a default under the related indebtedness. If a default occurs, the relevant lenders could elect to declare our indebtedness, together with accrued interest and other fees, to be immediately due and payable. These factors could have a material adverse effect on our business, financial condition, results of operations, cash flows, ability to pay dividends or repurchase shares, and/or stock price.</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incur additional debt, the risks described above could intensify. If global credit markets contract, future debt financing may not be available to us when required or may not be available on acceptable terms or at all, and as a result we may be unable to grow our business, take advantage of business opportunities, respond to competitive pressures or satisfy our obligations under our indebtedness. Any of the foregoing could have a material adverse effect on our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and condensed consolidated financial statements included in the periodic reports we file with the SEC are prepared in accordance with U.S. GAAP. The preparation of financial statements in accordance with U.S. GAAP involves making estimates, judgments and assumptions that affect reported amounts of assets, liabilities, revenues,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income. Estimates, judgments and assumptions are inherently subject to change in the future and any necessary revisions to prior estimates, judgments or assumptions could lead to a restatement. Furthermore, although we have recorded reserves for certain critical accounting estimates, including litigation related contingencies based on estimates of probable future costs, actual costs in the future could be substantially in excess of those reserves. Also, any new or revised accounting standards may require adjustments to previously issued financial statements. Any such changes could result in corresponding changes to the amounts of liabilities, revenues, expenses and income and could have a material adverse effect on our business, financial condition, results of operations, cash flows, ability to pay dividends or repurchase shares, and/or stock price.</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We must maintain adequate internal controls and be able to provide an assertion as to the effectiveness of such controls on an annual basis.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are necessary for us to provide reasonable assurance with respect to our financial reports. We spend a substantial amount of management and other employee time and resources to comply with laws, regulations and standards relating to corporate governance and public disclosure. In the U.S., such regulations include the Sarbanes-Oxley Act of 2002, SEC regulations and the NASDAQ listing standards. In particular, Section 404 of the Sarbanes-Oxley Act of 2002 requires management’s annual review and evaluation of our internal control over financial reporting and attestation as to the effectiveness of these controls by our independent registered public accounting firm. Additionally,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this could have a material adverse effect on our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Viatris has suffered and in the future could suffer additional losses due to impairment charges.</w:t>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 xml:space="preserve">Viatris has significant amounts of goodwill, IPR&amp;D and intangible assets on its balance sheet. Viatris tests goodwill for impairment during the second quarter of every fiscal year, and on an interim date should events or changes in circumstances indicate the carrying value of goodwill may not be recoverable in accordance with ASC 350, </w:t>
      </w:r>
      <w:r>
        <w:rPr>
          <w:rFonts w:ascii="Times New Roman;sans-serif" w:hAnsi="Times New Roman;sans-serif"/>
          <w:b w:val="false"/>
          <w:i/>
          <w:color w:val="000000"/>
          <w:sz w:val="20"/>
        </w:rPr>
        <w:t>Goodwill and Other Intangible Assets</w:t>
      </w:r>
      <w:r>
        <w:rPr>
          <w:rFonts w:ascii="Times New Roman;sans-serif" w:hAnsi="Times New Roman;sans-serif"/>
          <w:b w:val="false"/>
          <w:color w:val="000000"/>
          <w:sz w:val="20"/>
        </w:rPr>
        <w:t>. If the fair value of a reporting unit is revised downward due to declines in business performance or other factors, an impairment under ASC 350 could result and a non-cash charge could be required. Viatris tests intangible assets with indefinite lives for impairment on an annual basis and intangible assets and IPR&amp;D with finite lives for impairment whenever events or changes in circumstances indicate the carrying amount of an asset may not be recoverable. This assessment of the recoverability of intangible assets could result in an impairment and a non-cash charge could be required. In addition, we have incurred and may in the future incur significant impairment charges or losses. For instance, during the year ended December 31, 2024, the Company recorded significant goodwill and other long-lived asset impairment charges. Such impairments or losses have in the past and could in the future materially affect Viatris’ reported net earnings, business, financial condition, results of operations, cash flows, ability to pay dividends or repurchase shares, and/or stock price.</w:t>
      </w:r>
    </w:p>
    <w:p>
      <w:pPr>
        <w:pStyle w:val="TextBody"/>
        <w:bidi w:val="0"/>
        <w:spacing w:before="0" w:after="0"/>
        <w:ind w:left="0" w:right="0" w:firstLine="720"/>
        <w:jc w:val="both"/>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Viatris may be adversely affected by disruptions in the credit markets, including disruptions that reduce customers’ access to credit and increase the costs to customers of obtaining credit.</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markets have historically been volatile and therefore it is not possible to predict the ability of Viatris’ customers to access short-term financing and other forms of capital. If a disruption in the credit markets were to occur, Viatris could be unable to refinance its outstanding indebtedness on reasonable terms or at all. Such a disruption could also pose a risk to Viatris’ business if customers or suppliers are unable to obtain financing to meet their payment or delivery obligations. In addition, customers may decide to downsize, defer or cancel contracts which could negatively affect our revenue.</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Recently, interest rates have increased above historical rates paid by Viatris. As such, any debt we refinance in the future may increase, even substantially, our interest expense in future periods. Further, Viatris had approximately $257 million of floating rate debt as of December 31, 2024. A one percentage point increase in the average interest rate of this debt would increase the combined interest expense by approximately $2.6 million per year. Accordingly, a spike in interest rates could adversely affect our results of operations and cash flows.</w:t>
      </w:r>
    </w:p>
    <w:p>
      <w:pPr>
        <w:pStyle w:val="TextBody"/>
        <w:bidi w:val="0"/>
        <w:spacing w:before="0" w:after="0"/>
        <w:ind w:left="0" w:right="0" w:firstLine="720"/>
        <w:jc w:val="both"/>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Viatris has certain material obligations relating to defined benefit pension and termination benefit programs.</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Viatris has certain material pension and post-employment benefit obligations associated with acquired businesses in both the U.S. and foreign countries. Our obligations under these plans are significant and future funding obligations are subject to increased interest rates on asset and liability calculations. Each of these liabilities and the related future payment obligations could restrict cash available for Viatris’ operations, capital expenditures, acquisitions, dividend payments, share repurchases, and other requirements, and may materially affect Viatris’ financial condition and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General Risks</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 market price of our common stock has been and may continue to be volatile, and the value of your investment could materially decline.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Investors who hold shares of Viatris common stock may not be able to sell their shares at or above the price at which they acquired them. The price of Viatris’ common stock has in the past and may continue to fluctuate materially from time to time, including as a result of the other risks described herein, and we cannot predict the price of our common stock at any given time. In addition, the stock market in general, including the market for pharmaceutical companies, has experienced significant price and volume fluctuations which may materially harm the market price of our common stock, regardless of our operating performance. In addition, the price of our common stock may be affected by the valuations and recommendations of the analysts who cover us, and if our results do not meet the analysts’ forecasts and expectations, the price of our common stock could decline as a result of analysts lowering their valuations and recommendations or otherwise. Following periods of volatility in the market and/or in the price of a company’s stock, securities class-action litigation actions have been instituted against companies (including Viatris) and may be instituted against us in the future. Such litigation has in the past and may in the future result in substantial costs and diversion of management’s attention and resources, which could have a material adverse effect on our business, financial condition, results of operations, cash flows, ability to pay dividends or repurchase shares, and/or stock price. In addition, if we or our stockholders offer or sell shares of our common stock or securities convertible into or exchangeable or exercisable for shares of our common stock, this or the possibility thereof, may depress the future trading price of our common stock and the voting power of our then existing stockholders may be diluted if such a transaction were to occur.</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 expansion of social media platforms presents new risks and challenges.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seek to use social media tools as a means to communicate about our products and/or business, there are uncertainties as to the rules that apply to such communications, or as to the interpretations that authorities will apply to the rules that exist. As a result, despite our efforts to monitor evolving social media communication guidelines and comply with applicable rules, there is risk that our use of social media for such purposes may cause us to be found in violation of them. Our employees may knowingly or inadvertently make use of social media tools in ways that may not be aligned with our social media strategy, may give rise to liability, or could lead to the loss of material non-public information, trade secrets or other intellectual property, or public exposure of personal information (including sensitive personal information) of our employees, clinical trial patients, customers, and others. In addition, negative posts or comments about us on any social media website could damage our reputation. Any of the above risks could have a material adverse effect on our business, reputation, financial condition, results of operations, cash flows, ability to pay dividends or repurchase shares, and/or stock price.</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Provisions in the Viatris Charter and Viatris Bylaws and of applicable law may prevent or delay an acquisition of Viatris, which could decrease the trading price of Viatris common stock.</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Viatris Charter, Viatris Bylaws and Delaware law contain provisions that may have the effect of deterring takeovers by making such takeovers more expensive to the acquiror and by encouraging prospective acquirors to negotiate with the Viatris Board rather than to attempt a hostile takeover. These provisions include rules regarding how stockholders may present proposals or nominate directors for election at shareholder meetings and the right of the Viatris Board to issue preferred stock without shareholder approval. Delaware law also imposes some restrictions on mergers and other business combinations between Viatris and any holder of 15% or more of Viatris’ outstanding common stock.</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are intended to protect Viatris’ stockholders from coercive or otherwise unfair takeover tactics by requiring potential acquirors to negotiate with the Viatris Board and by providing the Viatris Board with more time to assess any acquisition proposal. These provisions are not intended to make Viatris immune from takeovers. However, these provisions apply even if the offer may be considered beneficial by some stockholders and could delay or prevent an acquisition that the Viatris Board determines is not in the best interests of Viatris and its stockholders. Accordingly, if the Viatris Board determines that a potential business combination transaction is not in the best interests of Viatris and its stockholders, but certain stockholders believe that such a transaction would be beneficial to Viatris and its stockholders, such stockholders may elect to sell their shares in Viatris and the trading price of Viatris common stock could decrease. These and other provisions of the Viatris Charter, the Viatris Bylaws and the DGCL could have the effect of delaying, deferring or preventing a proxy contest, tender offer, merger or other change in control, which may have a material adverse effect on Viatris’ business, financial condition, results of operations, cash flows, ability to pay dividends or repurchase shares, and/or stock price.</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 exclusive forum provisions in the Viatris Charter could discourage lawsuits against Viatris and its directors and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Viatris Charter provides that unless Viatris, through approval of the Viatris Board, otherwise consents in writing, the Court of Chancery of the State of Delaware or, if and only if the Court of Chancery of the State of Delaware dismisses such action for lack of subject matter jurisdiction, another state court sitting in the State of Delaware (or, if no state court located within the State of Delaware has jurisdiction, the federal district court for the District of Delaware), will be the sole and exclusive forum for any derivative action or proceeding brought on behalf of Viatris, any action or proceeding asserting a claim of breach of a fiduciary duty owed by any director or officer or other employees of Viatris to Viatris or its stockholders, creditors or other constituents, any action asserting a claim against Viatris or any of its directors, officers or other employees arising pursuant to, or seeking to enforce any right, obligation or remedy under, any provision of the DGCL or the Viatris Charter or the Viatris Bylaws, as each may be amended from time to time, any action or proceeding asserting a claim against Viatris or any of its directors, officers or other employees governed by the internal affairs doctrine or any action or proceeding as to which the DGCL (as it may be amended from time to time) confers jurisdiction on the Court of Chancery of the State of Delaware. The Viatris Charter also provides that unless Viatris (through approval of the Viatris Board) consents in writing to the selection of an alternative forum, the federal district courts of the United States of America, to the fullest extent permitted by law, shall be the sole and exclusive forum for the resolution of any action asserting a cause of action arising under the Securities Act.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provisions contained in the Viatris Charter to be inapplicable or unenforceable.</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exclusive forum provisions may limit the ability of Viatris’ stockholders to bring a claim in a judicial forum that such stockholders find favorable for disputes with Viatris or its directors or officers, which may discourage such lawsuits against Viatris or its directors or officers. Alternatively, if a court were to find these exclusive forum provisions inapplicable to, or unenforceable in respect of, one or more of the specified types of actions or proceedings described above, Viatris may incur additional costs associated with resolving such matters in other jurisdictions or forums, which could materially and adversely affect Viatris’ business, financial condition, results of operations, cash flows, ability to pay dividends or repurchase shares,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and operations could be negatively affected by pressures from outside of the control of the company, including, but not limited to, shareholder actions, government regulations and disclosure requirements, and other market dynamics, which could cause us to incur significant expenses, hinder execution of our business strategy and negatively impact our share price.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 actions, government regulations and disclosure requirements, and other market dynamics involving corporate governance, environmental and social matters, human capital, strategic direction and operations have become increasingly prevalent. Shareholder challenges, extensive government regulation, and the potential for additional intervention in these areas, may create a significant distraction or burden for our management and employees, increase our costs, negatively impact our ability to execute our business plans, require our management to expend significant time and resources, create uncertainties with respect to our financial position and operations, adversely affect our ability to attract and retain key employees or result in loss of potential business opportunities with our current and potential customers and business partners. In addition, such actions, regulation and intervention may cause significant fluctuations in our share price based on temporary or speculative market perceptions, uncertainties or other factors that do not necessarily reflect the underlying fundamentals and prospects of our business, which could cause the market value of our common stock to decline.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1B.Unresolved Staff Comments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1C.Cybersecurity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operates in a complex and rapidly changing environment that involves many potential risks, including IT and cybersecurity risks. Risk management is an enterprise-wide objective and is subject to oversight by the Viatris Board and its committees. It is the responsibility of Viatris’ management and employees to identify material risks to our business and to implement and administer risk management and mitigation processes and programs, while also maintaining reasonable flexibility in how we operate. Our internal audit function coordinates cross functionally to maintain the Company’s enterprise risk assessment, including the identification of key and emerging risks, and reviews and refreshes this analysis quarterly with executive management. For each key or emerging risk identified, the Company establishes risk monitoring ownership, from which quarterly updates are collected for executive management and the Viatris Board’s Compliance and Risk Oversight Committee.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IT and cybersecurity risks, Viatris maintains an information security program that is aligned with the National Institute of Standards and Technology Cybersecurity Framework, and which is designed to govern, identify, protect, detect, respond to and recover from cybersecurity threats. Viatris’ information security program includes policies, procedures, cybersecurity awareness communications, testing, and training for employees (including mandatory training programs for system users), system monitoring, risk reduction, vulnerability and patch management and monitoring of external developments. The information security team is responsible for defining and overseeing the execution of the Company’s information security program and strategy. The Viatris IT team, led by the Chief Information Officer, is responsible for ongoing security operations such as maintaining firewalls and patch management. In addition, the delivery of many information security programs relies on IT resources to execute the selection, delivery and implementation of security solutions, such as end-point protection and end-of-life protocols.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Information Security Officer &amp; Head of Global Security, under the direction of the Company’s Chief Compliance Officer, reports quarterly to an internal risk committee of senior management, which includes the CEO, CFO, Chief Legal Officer, Chief People Officer, Chief Corporate Affairs Officer, Chief Information Officer, Chief Compliance Officer, Chief Quality Officer, Chief Supply Officer, Chief R&amp;D Officer and Regional Presidents, as well as the Viatris Board on the progress of the information security program and overall security status. Viatris’ current Chief Information Security Officer &amp; Head of Global Security has over 25 years of experience in information security within the pharmaceutical industry.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its information security program, Viatris has adopted a Cybersecurity Incident Response Plan (CIRP) to establish a guide for Viatris’ leadership and incident response stakeholders through an “incident” – a single event or a set of anomalous and adverse “events” or, for purposes of the CIRP, a change in a system, technology device or environment that could impact the confidentiality, integrity, availability or safety of Viatris’ data, employees or assets, caused by malicious intent or accident and impacting Viatris’ network, computing systems, digital information, employees or assets. The CIRP is managed by the Viatris global information security team and is reviewed at least annually. Viatris tests the CIRP through technical exercises semi-annually, reviews the CIRP with executive management annually, and periodically conducts executive tabletop exercises/scenarios. The CIRP provides an overview of critical actions to take through the incident response lifecycle and contains a severity matrix used to guide the Company’s incident response stakeholders on communication and escalation protocols. The severity of the incident guides the determination of the parties to whom the incident will be escalated, and the Company may decide to seek assistance from a third-party incident response vendor.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Cybersecurity Incident Response Team (CIRT) reports to the Chief Information Security Officer &amp; Head of Global Security and has the role of investigating and executing incident protocols. The CIRT is responsible for determining the potential impacts to the Company, including severity, notifying appropriate parties pursuant to the CIRP and determining whether to engage a third-party incident response vendor, among other responsibilities. Critical incidents require implementation of the global crisis plan and high severity incidents require notification to the executive leadership team once such an incident is confirmed. The Company’s Disclosure Controls and Procedures also require (i) the Company’s Information Security function to monitor and escalate, as appropriate, cybersecurity incidents or series of related incidents (including with respect to any third party provider to the Company of IT services) and (ii) the Disclosure Committee to determine, without unreasonable delay, the materiality of any such escalated cybersecurity incidents or series of related incidents with input from Global Compliance, Information Security, Legal, Finance and other groups, as appropriate.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participates in several industry and third-party threat monitoring and information-sharing services, and these engagements provide insight into vulnerabilities and threats which are incorporated into the security operations and IT remediation. Key aspects of the information security program are also provided by third-party managed security providers, including first- and second-line support for incident response and the Company’s vulnerability assessment process. Our suppliers, subcontractors and third-party service providers, including third-party managed security providers, are subject to cybersecurity obligations and controls. We conduct initial risk assessments of third-party suppliers and service providers 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various factors and then review and monitor these third-party suppliers and service providers based on their relative assessed level of risk. We also require our suppliers, subcontractors and third-party service providers to agree to cybersecurity-related contractual terms and conditions of purchase.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Compliance and Risk Oversight Committee of the Viatris Board is responsible for reviewing management’s exercise of its responsibility to identify, assess, and manage material risks not allocated to the Viatris Board or another Committee of the Viatris Board, including data security programs and cybersecurity and IT. In the event of a severe cybersecurity incident, such as a ransomware attack or other incident that has a severe adverse effect on Viatris’ operations, critical systems or sensitive data, or which may cause severe reputational damage, executive management may determine that it is necessary to notify the Viatris Board or the Compliance and Risk Oversight Committee about such a cybersecurity incident immediately. Otherwise, the Compliance and Risk Oversight Committee receives reports from executive management on data security, cybersecurity and information security-related matters on at least a quarterly basis, including with respect to related risks, risk management, risk reduction programs, and relevant legislative, regulatory, and technical developments. On a biannual basis, the Compliance and Risk Oversight Committee and chairs of each other Committee of the Viatris Board receive an information security update from the Company’s Chief Information Security Officer &amp; Head of Global Security, the Chief Compliance Officer and the Chief Information Officer. The full Viatris Board receives a report on the respective quarterly discussions from the Chair of the Compliance and Risk Oversight Committee each quarter.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and our suppliers, partners, customers and vendors have in the past experienced and will in the future likely continue to experience cybersecurity threats and incidents, including attacks on and compromises of our systems. Although we do not believe such cybersecurity threats or incidents have had a significant impact on us to date, there is no guarantee that a future cybersecurity threat or incident will be detected and remediated to not have a material adverse impact on our business, reputation, financial conditions, cash flows or results of operations. For additional information regarding how cybersecurity threats are reasonably likely to materially affect our business, financial condition, results of operations, cash flows, ability to pay dividends, repurchase shares, and/or stock price, see Part I, Item 1A Risk Factors – “</w:t>
      </w:r>
      <w:r>
        <w:rPr>
          <w:rFonts w:ascii="Times New Roman;sans-serif" w:hAnsi="Times New Roman;sans-serif"/>
          <w:b w:val="false"/>
          <w:i/>
          <w:color w:val="000000"/>
          <w:sz w:val="20"/>
        </w:rPr>
        <w:t xml:space="preserve">We are increasingly dependent on IT and information systems and our systems and infrastructure face certain risks, including cybersecurity and data leakage risks.” </w:t>
      </w:r>
      <w:r>
        <w:rPr>
          <w:rFonts w:ascii="Times New Roman;sans-serif" w:hAnsi="Times New Roman;sans-serif"/>
          <w:b w:val="false"/>
          <w:color w:val="000000"/>
          <w:sz w:val="20"/>
        </w:rPr>
        <w:t>of this Form 10-K.</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2.Properties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properties, refer to Item 1 “Business” in Part I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3.Legal Proceedings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For information regarding legal proceedings, refer to Note 19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included in Part II, Item 8 of this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5.Market for Registrant’s Common Equity, Related Stockholder Matters and Issuer Purchases of Equity Securities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traded on the NASDAQ Stock Market under the symbol “VTRS”.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21, 2025, there were approximately 95,287 holders of record of shares of Viatris common stock.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paid quarterly cash dividends of $0.12 per share on the Company’s issued and outstanding common stock on March 18, 2024, June 14, 2024, September 13, 2024 and December 13, 2024. On February 24, 2025, the Company’s Board of Directors declared a quarterly cash dividend of $0.12 per share on the Company’s issued and outstanding common stock, which will be payable on March 18, 2025 to shareholders of record as of the close of business on March 10, 2025.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 The Company also paid quarterly cash dividends of $0.12 per share on the Company’s issued and outstanding common stock in each of the four quarters of 2023 and 2022.</w:t>
      </w:r>
    </w:p>
    <w:p>
      <w:pPr>
        <w:pStyle w:val="TextBody"/>
        <w:bidi w:val="0"/>
        <w:spacing w:before="0" w:after="240"/>
        <w:jc w:val="center"/>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common stock has been listed on the NASDAQ under the symbol “VTRS” since November 17, 2020. Prior to that time, there was no public market for our common stock. The graph below compares Viatris Inc.’s cumulative total shareholder return on common stock with the cumulative total returns of the S&amp;P 500 index and the Dow Jones US Pharmaceuticals index. The graph tracks the performance of a $100 investment in our common stock and in each index (with the reinvestment of all dividends) from November 16, 2020 to December 31, 2024. </w:t>
      </w:r>
    </w:p>
    <w:p>
      <w:pPr>
        <w:pStyle w:val="TextBody"/>
        <w:bidi w:val="0"/>
        <w:spacing w:before="0" w:after="0"/>
        <w:ind w:left="0" w:right="0" w:firstLine="720"/>
        <w:jc w:val="left"/>
        <w:rPr/>
      </w:pPr>
      <w:r>
        <w:rPr/>
      </w:r>
    </w:p>
    <w:p>
      <w:pPr>
        <w:pStyle w:val="TextBody"/>
        <w:bidi w:val="0"/>
        <w:spacing w:before="0" w:after="0"/>
        <w:ind w:left="0" w:right="0" w:firstLine="720"/>
        <w:jc w:val="center"/>
        <w:rPr/>
      </w:pPr>
      <w:r>
        <w:rPr/>
        <w:drawing>
          <wp:inline distT="0" distB="0" distL="0" distR="0">
            <wp:extent cx="5067300" cy="3905250"/>
            <wp:effectExtent l="0" t="0" r="0" b="0"/>
            <wp:docPr id="5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 descr=""/>
                    <pic:cNvPicPr>
                      <a:picLocks noChangeAspect="1" noChangeArrowheads="1"/>
                    </pic:cNvPicPr>
                  </pic:nvPicPr>
                  <pic:blipFill>
                    <a:blip r:embed="rId5"/>
                    <a:stretch>
                      <a:fillRect/>
                    </a:stretch>
                  </pic:blipFill>
                  <pic:spPr bwMode="auto">
                    <a:xfrm>
                      <a:off x="0" y="0"/>
                      <a:ext cx="5067300" cy="39052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777"/>
        <w:gridCol w:w="682"/>
        <w:gridCol w:w="691"/>
        <w:gridCol w:w="374"/>
        <w:gridCol w:w="361"/>
        <w:gridCol w:w="335"/>
        <w:gridCol w:w="109"/>
        <w:gridCol w:w="109"/>
        <w:gridCol w:w="109"/>
        <w:gridCol w:w="364"/>
        <w:gridCol w:w="360"/>
        <w:gridCol w:w="325"/>
        <w:gridCol w:w="109"/>
        <w:gridCol w:w="109"/>
        <w:gridCol w:w="109"/>
        <w:gridCol w:w="364"/>
        <w:gridCol w:w="360"/>
        <w:gridCol w:w="325"/>
        <w:gridCol w:w="109"/>
        <w:gridCol w:w="109"/>
        <w:gridCol w:w="109"/>
        <w:gridCol w:w="364"/>
        <w:gridCol w:w="360"/>
        <w:gridCol w:w="325"/>
        <w:gridCol w:w="109"/>
        <w:gridCol w:w="109"/>
        <w:gridCol w:w="109"/>
        <w:gridCol w:w="364"/>
        <w:gridCol w:w="360"/>
        <w:gridCol w:w="325"/>
        <w:gridCol w:w="109"/>
        <w:gridCol w:w="109"/>
        <w:gridCol w:w="109"/>
        <w:gridCol w:w="390"/>
        <w:gridCol w:w="332"/>
        <w:gridCol w:w="432"/>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16,</w:t>
              <w:b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w:t>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119.67 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191.72 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 Jones U.S. Pharmaceuticals</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152.31 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6.[Reserved]</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 xml:space="preserve">ITEM 7.Management’s Discussion and Analysis of Financial Condition And Results of Operations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addresses material changes in the financial condition and results of operations of Viatris Inc. and subsidiaries for the periods presented. Unless context requires otherwise, the “Company,” “Viatris,” “our” or “we” refer to Viatris Inc. and its subsidiaries.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and analysis should be read in conjunction with the consolidated financial statements and the related notes to consolidated financial statements included in Part II, Item 8 in this Form 10-K, and our other SEC filings and public disclosures. </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This Form 10-K contains “forward-looking statements”. These statements are made pursuant to the safe harbor provisions of the Private Securities Litigation Reform Act of 1995. Such forward-looking statements may include, without limitation, </w:t>
      </w:r>
      <w:r>
        <w:rPr>
          <w:rFonts w:ascii="Times New Roman;sans-serif" w:hAnsi="Times New Roman;sans-serif"/>
          <w:b w:val="false"/>
          <w:color w:val="000000"/>
          <w:sz w:val="20"/>
          <w:shd w:fill="FFFFFF" w:val="clear"/>
        </w:rPr>
        <w:t>statements about the goals or outlooks with respect to the Company’s strategic initiatives and priorities, including but not limited to divestitures, acquisitions, strategic alliances, collaborations, or other potential transactions;</w:t>
      </w:r>
      <w:r>
        <w:rPr>
          <w:color w:val="000000"/>
        </w:rPr>
        <w:t xml:space="preserve"> </w:t>
      </w:r>
      <w:r>
        <w:rPr>
          <w:rFonts w:ascii="Times New Roman;sans-serif" w:hAnsi="Times New Roman;sans-serif"/>
          <w:b w:val="false"/>
          <w:color w:val="000000"/>
          <w:sz w:val="20"/>
        </w:rPr>
        <w:t xml:space="preserve">the benefits and synergies of such divestitures, acquisitions, </w:t>
      </w:r>
      <w:r>
        <w:rPr>
          <w:rFonts w:ascii="Times New Roman;sans-serif" w:hAnsi="Times New Roman;sans-serif"/>
          <w:b w:val="false"/>
          <w:color w:val="000000"/>
          <w:sz w:val="20"/>
          <w:shd w:fill="FFFFFF" w:val="clear"/>
        </w:rPr>
        <w:t xml:space="preserve">strategic alliances, collaborations, </w:t>
      </w:r>
      <w:r>
        <w:rPr>
          <w:rFonts w:ascii="Times New Roman;sans-serif" w:hAnsi="Times New Roman;sans-serif"/>
          <w:b w:val="false"/>
          <w:color w:val="000000"/>
          <w:sz w:val="20"/>
        </w:rPr>
        <w:t>or other transactions, or restructuring programs; future opportunities for the Company and its products;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possibility that the Company may not realize the intended benefits of, or achieve the intended goals or outlooks with respect to, its strategic initiatives and priorities (including divestitures, acquisitions, </w:t>
      </w:r>
      <w:r>
        <w:rPr>
          <w:rFonts w:ascii="Times New Roman;sans-serif" w:hAnsi="Times New Roman;sans-serif"/>
          <w:b w:val="false"/>
          <w:color w:val="000000"/>
          <w:sz w:val="20"/>
          <w:shd w:fill="FFFFFF" w:val="clear"/>
        </w:rPr>
        <w:t xml:space="preserve">strategic alliances, collaborations, </w:t>
      </w:r>
      <w:r>
        <w:rPr>
          <w:rFonts w:ascii="Times New Roman;sans-serif" w:hAnsi="Times New Roman;sans-serif"/>
          <w:b w:val="false"/>
          <w:color w:val="000000"/>
          <w:sz w:val="20"/>
        </w:rPr>
        <w:t xml:space="preserve">or other potential transactions) or accelerate its growth by building on the strength of its base business with an expanding portfolio of innovative, best-in-class, patent-protected assets;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possibility that the Company may be unable to achieve intended or expected benefits, goals, outlooks, synergies, growth opportunities and operating efficiencies in connection with divestitures, acquisitions, </w:t>
      </w:r>
      <w:r>
        <w:rPr>
          <w:rFonts w:ascii="Times New Roman;sans-serif" w:hAnsi="Times New Roman;sans-serif"/>
          <w:b w:val="false"/>
          <w:color w:val="000000"/>
          <w:sz w:val="20"/>
          <w:shd w:fill="FFFFFF" w:val="clear"/>
        </w:rPr>
        <w:t xml:space="preserve">strategic alliances, collaborations, </w:t>
      </w:r>
      <w:r>
        <w:rPr>
          <w:rFonts w:ascii="Times New Roman;sans-serif" w:hAnsi="Times New Roman;sans-serif"/>
          <w:b w:val="false"/>
          <w:color w:val="000000"/>
          <w:sz w:val="20"/>
        </w:rPr>
        <w:t>or other transactions, or restructuring programs, within the expected timeframes or at all;</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ongoing risks and uncertainties associated with our recent divestitures;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goodwill or impairment charges or other losses;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Company’s failure to achieve expected or targeted future financial and operating performance and results;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potential impact of natural or man-made disasters, public health outbreaks, epidemics, pandemics, or social disruption in regions where we or our partners or suppliers operate;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actions and decisions of healthcare and pharmaceutical regulators;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changes in relevant laws, regulations and policies and/or the application or implementation thereof, including but not limited to tax, healthcare and pharmaceutical laws, regulations and policies globally;</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ability to attract, motivate and retain key personnel;</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Company’s liquidity, capital resources and ability to obtain financing;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any regulatory, legal or other impediments to the Company’s ability to bring new products to market, including but not limited to “at-risk launches”;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success of clinical trials and the Company’s or its partners’ ability to execute on new product opportunities and develop, manufacture and commercialize products;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any changes in or difficulties with the Company’s manufacturing facilities, including with respect to inspections, remediation and restructuring activities, supply chain or inventory or the ability to meet anticipated demand;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scope, timing and outcome of any ongoing legal proceedings, including government inquiries or investigations, and the impact of any such proceedings on the Company;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any significant breach of data security or data privacy or disruptions to our IT systems;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risks associated with having significant operations globally;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ability to protect intellectual property and preserve intellectual property rights;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changes in third-party relationships;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effect of any changes in the Company’s or its partners’ customer and supplier relationships and customer purchasing patterns, including customer loss and business disruption being greater than expected following an adverse regulatory action, acquisition or divestiture;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impacts of competition, including decreases in sales or revenues as a result of the loss of market exclusivity for certain products;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changes in the economic and financial conditions of the Company or its partners;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uncertainties regarding future demand, pricing and reimbursement for the Company’s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uncertainties and matters beyond the control of management, including but not limited to general political and economic conditions, tariffs and trade policies, inflation rates and global exchange rates; and</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more detailed information on the risks and uncertainties associated with Viatris, see the risks described in Part I, Item 1A in this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10-K and shall not be deemed “filed” under the Securities Exchange Act of 1934, as amended. Viatris undertakes no obligation to update any statements herein for revisions or changes after the filing date of this Form 10-K other than as required by law.</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is a global healthcare company whose breadth and scale we believe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approximately 32,000 employees. The Company has 26 manufacturing and packaging sites worldwide, more than 1,400 approved molecules, and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before="0" w:after="0"/>
        <w:ind w:left="0" w:right="0" w:firstLine="720"/>
        <w:jc w:val="left"/>
        <w:rPr/>
      </w:pPr>
      <w:r>
        <w:rPr/>
      </w:r>
    </w:p>
    <w:p>
      <w:pPr>
        <w:pStyle w:val="TextBody"/>
        <w:bidi w:val="0"/>
        <w:spacing w:lineRule="auto" w:line="27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Certain Market and Industry Factors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obtaining regulatory approval to manufacture and market new branded and generic pharmaceutical products is rigorous, time consuming, costly, and inherently unpredictable. Complex products are more difficult, costly and time-consuming to receive regulatory approval for and bring to market. Any delay in regulatory approval could impact the commercial or financial success of a product. Regulatory approval, if and when obtained, may be limited in scope. Even if regulatory approvals for new products are obtained, the success of those products is dependent upon market acceptance.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oversight of healthcare systems in the region. In addition, U.S. governmental agencies provide funding for certain products in our Emerging Markets region. We expect that any reduction in that funding will have a negative impact on our financial condition, results of operations or cash flows.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generic entry may occur for Amitiza® 24 μg in Japan in December 2025 upon expiration of patent exclusivity.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Sales continue to be negatively affected by the impact of tender systems in certain countries.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impact of competition, government pricing actions and other measures designed to reduce healthcare costs, our results of operations, cash flows and financial condition could also be affected by other risks of doing business internationally, including the impact of inflation, elections, geopolitical events, including the ongoing conflicts in the Middle East and between Russia and Ukraine and related trade controls, sanctions, supply chain and staffing challenges and other economic considerations, supply chain disruptions, foreign currency exchange fluctuations, public health epidemics, changes in intellectual property legal protections and other regulatory changes.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Developments</w:t>
      </w:r>
    </w:p>
    <w:p>
      <w:pPr>
        <w:pStyle w:val="TextBody"/>
        <w:bidi w:val="0"/>
        <w:spacing w:lineRule="auto" w:line="25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Lexicon Licensing Agreement</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October 2024, the Company entered into an exclusive licensing agreement with Lexicon for sotagliflozin in all markets outside of the U.S. and Europe in exchange for an upfront payment of $25.0 million, and additional potential contingent payments, including regulatory milestones, sales milestones and tiered royalties ranging from low-double-digit to upper-teens on annual net sales. Viatris will be responsible for all regulatory and commercialization activities for sotagliflozin in the licensed territories. Lexicon will be responsible for providing clinical and commercial supply of sotagliflozin to Viatris. The Company accounted for the transaction as an asset acquisition, with the upfront payment expensed as </w:t>
      </w:r>
      <w:r>
        <w:rPr>
          <w:rFonts w:ascii="Times New Roman;sans-serif" w:hAnsi="Times New Roman;sans-serif"/>
          <w:b w:val="false"/>
          <w:i/>
          <w:color w:val="000000"/>
          <w:sz w:val="20"/>
        </w:rPr>
        <w:t>Acquired IPR&amp;D</w:t>
      </w:r>
      <w:r>
        <w:rPr>
          <w:color w:val="000000"/>
        </w:rPr>
        <w:t xml:space="preserve"> </w:t>
      </w:r>
      <w:r>
        <w:rPr>
          <w:rFonts w:ascii="Times New Roman;sans-serif" w:hAnsi="Times New Roman;sans-serif"/>
          <w:b w:val="false"/>
          <w:color w:val="000000"/>
          <w:sz w:val="20"/>
        </w:rPr>
        <w:t>in the fourth quarter of 2024.</w:t>
      </w:r>
    </w:p>
    <w:p>
      <w:pPr>
        <w:pStyle w:val="TextBody"/>
        <w:bidi w:val="0"/>
        <w:spacing w:before="0" w:after="0"/>
        <w:ind w:left="0" w:right="0" w:firstLine="720"/>
        <w:jc w:val="left"/>
        <w:rPr/>
      </w:pPr>
      <w:r>
        <w:rPr/>
      </w:r>
    </w:p>
    <w:p>
      <w:pPr>
        <w:pStyle w:val="TextBody"/>
        <w:bidi w:val="0"/>
        <w:spacing w:lineRule="auto" w:line="25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Indore Manufacturing Facility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an inspection by the FDA at our oral finished dose manufacturing facility in Indore, India in 2024, the FDA has issued a warning letter, and an import alert related to this facility. The import alert affects 11 actively distributed products that will no longer be accepted into the U.S. until the warning letter is lifted. It makes exceptions, subject to certain conditions, for four products based on shortage concerns. Following recently concluded discussions with the FDA, the Company does not expect additional product exceptions to be granted by the FDA.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substance of FDA’s original inspection observations, the Company immediately implemented a comprehensive remediation plan at the site. The necessary corrective and preventive actions are well underway, including but not limited to related personnel actions. Additionally, we have engaged independent third-party subject matter experts to support the remediation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in regular communication with FDA during this process and will continue to work to ensure that the FDA is satisfied with the steps we have taken to resolve all the points raised. Our responses to the warning letter and import alert were submitted within the required time periods.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product continues to be shipped from the Indore facility to markets outside the U.S., some impact in other markets, including the ARV business in Emerging Markets and select generic products in Europe, is anticipated. The Company currently estimates the negative impact to 2025 total revenues to be approximately $500 million and to 2025 earnings from operations to be approximately $385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take very seriously our continued and comprehensive oversight of our entire manufacturing network. Patient safety remains our primary and unwavering focus. We will work closely with our customers to mitigate any possible supply disruptions and meet the needs of the patients we serve.</w:t>
      </w:r>
    </w:p>
    <w:p>
      <w:pPr>
        <w:pStyle w:val="TextBody"/>
        <w:bidi w:val="0"/>
        <w:spacing w:before="0" w:after="0"/>
        <w:ind w:left="0" w:right="0" w:firstLine="720"/>
        <w:jc w:val="left"/>
        <w:rPr/>
      </w:pPr>
      <w:r>
        <w:rPr/>
      </w:r>
    </w:p>
    <w:p>
      <w:pPr>
        <w:pStyle w:val="TextBody"/>
        <w:bidi w:val="0"/>
        <w:spacing w:lineRule="auto" w:line="25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 of Idorsia Products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March 15, 2024, the Company acquired exclusive global development and commercialization rights to two Phase 3 assets from Idorsia, as well as the potential to add additional innovative assets in the future. Under the terms of the original agreements, the development programs and certain personnel for selatogrel and cenerimod were transferred to Viatris from Idorsia in exchange for an upfront payment to Idorsia of $350 million, potential contingent milestone payments (including $300 million payable upon the achievement of certain development and regulatory milestones, and $2.1 billion payable upon the achievement of certain tiered sales milestones), as well as potential contingent tiered sales royalties. Viatris has worldwide commercialization rights for both selatogrel and cenerimod (excluding, for cenerimod only, Japan, South Korea and certain countries in the Asia-Pacific region). A joint development committee was formed to oversee the development of the ongoing Phase 3 programs through regulatory approval. The agreements also provide Viatris a right of first refusal and a right of first negotiation for certain other assets in Idorsia’s pipeline. Viatris and Idorsia are both contractually obligated to contribute to the development costs for both programs, which are expected to be incurred through 2026. There are risks and uncertainties associated with the timely and successful completion of these programs, including but not limited to the high cost and uncertainty of conducting clinical trials (particularly with respect to new and/or complex or innovative drugs), obtaining approval by relevant regulatory bodies and our partner’s financial condition. Refer to Note 4 </w:t>
      </w:r>
      <w:r>
        <w:rPr>
          <w:rFonts w:ascii="Times New Roman;sans-serif" w:hAnsi="Times New Roman;sans-serif"/>
          <w:b w:val="false"/>
          <w:i/>
          <w:color w:val="000000"/>
          <w:sz w:val="20"/>
        </w:rPr>
        <w:t>Acquisitions and Other Transactions</w:t>
      </w:r>
      <w:r>
        <w:rPr>
          <w:color w:val="000000"/>
        </w:rPr>
        <w:t xml:space="preserve"> </w:t>
      </w:r>
      <w:r>
        <w:rPr>
          <w:rFonts w:ascii="Times New Roman;sans-serif" w:hAnsi="Times New Roman;sans-serif"/>
          <w:b w:val="false"/>
          <w:color w:val="000000"/>
          <w:sz w:val="20"/>
        </w:rPr>
        <w:t>included in Part II, Item 8 of this Form 10-K for more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25, 2025, in order to preserve the ongoing continuity of the development programs for selatogrel and cenerimod considering certain capital structuring steps announced by Idorsia to secure its ongoing operations, Viatris and Idorsia entered into a letter agreement to amend certain terms of the original agreements described above. Under the terms of the letter agreement, Viatris will receive additional territory rights in Japan, South Korea and certain other countries in the Asia-Pacific region for cenerimod, a $250 million reduction in contingent milestone payments, including $200 million of development milestones, and additional personnel to expedite transitioning the development programs to Viatris in exchange for Viatris assuming $100 million of Idorsia’s obligation to contribute to development costs. In addition, the letter agreement provides for the replacement of the joint development committee with a transition committee to oversee the transition of both development programs to Viatris.</w:t>
      </w:r>
    </w:p>
    <w:p>
      <w:pPr>
        <w:pStyle w:val="TextBody"/>
        <w:bidi w:val="0"/>
        <w:spacing w:before="0" w:after="0"/>
        <w:ind w:left="0" w:right="0" w:firstLine="720"/>
        <w:jc w:val="left"/>
        <w:rPr/>
      </w:pPr>
      <w:r>
        <w:rPr/>
      </w:r>
    </w:p>
    <w:p>
      <w:pPr>
        <w:pStyle w:val="TextBody"/>
        <w:bidi w:val="0"/>
        <w:spacing w:lineRule="auto" w:line="25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Divestitures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October 2023, the Company announced it had received an offer for the divestiture of its OTC Business and had entered into definitive agreements to divest its women’s healthcare business, its API business in India, its rights to two women’s healthcare products in certain countries, and commercialization rights in the Upjohn Distributor Markets. The divestiture of the women’s healthcare business was primarily related to our oral and injectable contraceptives and did not include all of our women’s healthcare related products. The transaction to divest the Company’s rights to two women’s healthcare products in certain countries closed in December 2023 (other than in the U.K.), and the divestiture of the women’s healthcare business closed in March 2024. In the third quarter of 2024, the Company closed the divestiture of the product rights in the U.K. The divestitures of the commercialization rights in the majority of the Upjohn Distributor Markets closed during 2023 and 2024, the divestiture of our API business in India closed in June 2024, and the OTC Transaction closed in July 2024. Refer to Note 5 </w:t>
      </w:r>
      <w:r>
        <w:rPr>
          <w:rFonts w:ascii="Times New Roman;sans-serif" w:hAnsi="Times New Roman;sans-serif"/>
          <w:b w:val="false"/>
          <w:i/>
          <w:color w:val="000000"/>
          <w:sz w:val="20"/>
        </w:rPr>
        <w:t>Divestitures</w:t>
      </w:r>
      <w:r>
        <w:rPr>
          <w:color w:val="000000"/>
        </w:rPr>
        <w:t xml:space="preserve"> </w:t>
      </w:r>
      <w:r>
        <w:rPr>
          <w:rFonts w:ascii="Times New Roman;sans-serif" w:hAnsi="Times New Roman;sans-serif"/>
          <w:b w:val="false"/>
          <w:color w:val="000000"/>
          <w:sz w:val="20"/>
        </w:rPr>
        <w:t>included in Part II, Item 8 of this Form 10-K for more information.</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Financial Summary</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is a summary of the Company’s financial results for the year ended December 31, 2024 compared to the prior year period:</w:t>
      </w:r>
    </w:p>
    <w:tbl>
      <w:tblPr>
        <w:tblW w:w="7175" w:type="dxa"/>
        <w:jc w:val="left"/>
        <w:tblInd w:w="0" w:type="dxa"/>
        <w:tblLayout w:type="fixed"/>
        <w:tblCellMar>
          <w:top w:w="28" w:type="dxa"/>
          <w:left w:w="28" w:type="dxa"/>
          <w:bottom w:w="28" w:type="dxa"/>
          <w:right w:w="28" w:type="dxa"/>
        </w:tblCellMar>
      </w:tblPr>
      <w:tblGrid>
        <w:gridCol w:w="1037"/>
        <w:gridCol w:w="910"/>
        <w:gridCol w:w="918"/>
        <w:gridCol w:w="211"/>
        <w:gridCol w:w="871"/>
        <w:gridCol w:w="109"/>
        <w:gridCol w:w="109"/>
        <w:gridCol w:w="109"/>
        <w:gridCol w:w="109"/>
        <w:gridCol w:w="211"/>
        <w:gridCol w:w="871"/>
        <w:gridCol w:w="109"/>
        <w:gridCol w:w="109"/>
        <w:gridCol w:w="109"/>
        <w:gridCol w:w="109"/>
        <w:gridCol w:w="211"/>
        <w:gridCol w:w="691"/>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More information about non-GAAP measures used by the Company as part of this discussion, including adjusted cost of sales, adjusted gross margins, adjusted EBITDA, adjusted net earnings, and adjusted EPS (all of which are defined below) can be found in Part II, Item 7 under </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Results of Operations — Use of Non-GAAP Financial Measures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2024 Compared to 2023</w:t>
      </w:r>
    </w:p>
    <w:tbl>
      <w:tblPr>
        <w:tblW w:w="10205" w:type="dxa"/>
        <w:jc w:val="left"/>
        <w:tblInd w:w="0" w:type="dxa"/>
        <w:tblLayout w:type="fixed"/>
        <w:tblCellMar>
          <w:top w:w="28" w:type="dxa"/>
          <w:left w:w="28" w:type="dxa"/>
          <w:bottom w:w="28" w:type="dxa"/>
          <w:right w:w="28" w:type="dxa"/>
        </w:tblCellMar>
      </w:tblPr>
      <w:tblGrid>
        <w:gridCol w:w="750"/>
        <w:gridCol w:w="396"/>
        <w:gridCol w:w="349"/>
        <w:gridCol w:w="211"/>
        <w:gridCol w:w="871"/>
        <w:gridCol w:w="109"/>
        <w:gridCol w:w="109"/>
        <w:gridCol w:w="109"/>
        <w:gridCol w:w="109"/>
        <w:gridCol w:w="211"/>
        <w:gridCol w:w="871"/>
        <w:gridCol w:w="109"/>
        <w:gridCol w:w="109"/>
        <w:gridCol w:w="109"/>
        <w:gridCol w:w="109"/>
        <w:gridCol w:w="205"/>
        <w:gridCol w:w="205"/>
        <w:gridCol w:w="483"/>
        <w:gridCol w:w="109"/>
        <w:gridCol w:w="109"/>
        <w:gridCol w:w="109"/>
        <w:gridCol w:w="251"/>
        <w:gridCol w:w="732"/>
        <w:gridCol w:w="129"/>
        <w:gridCol w:w="109"/>
        <w:gridCol w:w="109"/>
        <w:gridCol w:w="109"/>
        <w:gridCol w:w="256"/>
        <w:gridCol w:w="1060"/>
        <w:gridCol w:w="132"/>
        <w:gridCol w:w="109"/>
        <w:gridCol w:w="109"/>
        <w:gridCol w:w="109"/>
        <w:gridCol w:w="272"/>
        <w:gridCol w:w="244"/>
        <w:gridCol w:w="724"/>
      </w:tblGrid>
      <w:tr>
        <w:trPr/>
        <w:tc>
          <w:tcPr>
            <w:tcW w:w="7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2024 Currency Impact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Constant Currency % Change </w:t>
            </w:r>
            <w:r>
              <w:rPr>
                <w:rFonts w:ascii="Times New Roman;sans-serif" w:hAnsi="Times New Roman;sans-serif"/>
                <w:b/>
                <w:color w:val="000000"/>
                <w:sz w:val="10"/>
              </w:rPr>
              <w:t>(2)</w:t>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Developed Markets </w:t>
            </w: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Emerging Markets </w:t>
            </w:r>
            <w:r>
              <w:rPr>
                <w:rFonts w:ascii="Times New Roman;sans-serif" w:hAnsi="Times New Roman;sans-serif"/>
                <w:b w:val="false"/>
                <w:color w:val="000000"/>
                <w:sz w:val="13"/>
              </w:rPr>
              <w:t>(3)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14,932.3 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Consolidated total revenues </w:t>
            </w:r>
            <w:r>
              <w:rPr>
                <w:rFonts w:ascii="Times New Roman;sans-serif" w:hAnsi="Times New Roman;sans-serif"/>
                <w:b w:val="false"/>
                <w:color w:val="000000"/>
                <w:sz w:val="13"/>
              </w:rPr>
              <w:t>(3)(5)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Currency impact is shown as unfavorable (favorable).</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The constant currency percentage change is derived by translating net sales or revenues for the current period at prior year comparative period exchange rates, and in doing so shows the percentage change from 2024 constant currency net sales or revenues to the corresponding amount in the prior year.</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Reductions were driven primarily by the inclusion of net sales in the prior year period related to divestitures that have closed during 2023 and 2024.</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For the year ended December 31, 2024, other revenues in Developed Markets, Greater China, JANZ, and Emerging Markets were approximately $32.0 million, $1.3 million, $3.5 million, and $9.7 million, respectively.</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Amounts exclude intersegment revenue which eliminates on a consolidated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the Company reported total revenues of $14.74 billion, compared to $15.43 billion for the comparable prior year period, representing a decrease of $687.6 million, or 4%. Total revenues include both net sales and other revenues from third parties. Net sales for the year ended December 31, 2024 were $14.69 billion, compared to $15.39 billion for the comparable prior year period, representing a decrease of $695.6 million, or 5%. Other revenues for the year ended December 31, 2024 were $46.5 million, compared to $38.5 million for the comparable prior year period.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decreased by approximately $732.2 million, or 5%, due to the inclusion of net sales in the prior year period related to divestitures that have closed during 2023 and 2024. The decrease in net sales was also partially driven by the unfavorable impact of foreign currency translation of approximately $239.5 million, or 2%, primarily reflecting changes in the U.S. Dollar as compared to the currencies of subsidiaries in Japan, China, and countries in Emerging Markets. On a constant currency basis, net sales from the remaining business increased by approximately $276.1 million, or 2%, for the year ended December 31, 2024 compared to the prior year period, driven by new product sales, primarily in Developed Markets, of approximately $582.4 million. New product sales include new products launched in 2024 and the carryover impact of new products, including business development, launched within the last twelve months. The increase was partially offset by base business erosion of approximately $306.3 million.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33% for each of the years ended December 31, 2024 and 2023.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are derived from our four reporting segments: Developed Markets, Greater China, JANZ and Emerging Markets.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Developed Markets Segment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from Developed Markets decreased by $322.5 million, or 3%, for the year ended December 31, 2024 when compared to the prior year. Net sales decreased by approximately $421.1 million, or 5%, due to the inclusion of net sales in the prior year period related to divestitures that have closed during 2023 and 2024. The favorable impact of foreign currency translation was approximately $5.3 million, or less than 1%. Constant currency net sales from the remaining business increased by approximately $93.3 million, or 1%, driven primarily by new product sales throughout Developed Markets, including Breyna™ and lisdexamfetamine in the U.S. This increase was partially offset by anticipated lower net sales of certain existing products within the U.S., including EpiPen® Auto-Injector and Perforomist®, as a result of lower pricing and volumes due to additional competition and increased utilization within government channels. Net sales within North America totaled approximately $3.78 billion and net sales within Europe totaled approximately $5.15 billion.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Greater China Segment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Greater China were essentially flat for the year ended December 31, 2024 when compared to the prior year. The unfavorable impact of foreign currency translation was approximately $47.2 million, or 2%. Constant currency net sales increased by approximately $53.4 million, or 2%, when compared to the prior year, driven primarily by increased volumes of existing products. Divestitures did not have a significant impact on the net sales during the years ended December 31, 2024 and 2023.</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JANZ Segment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JANZ decreased by $78.3 million, or 5%, for the year ended December 31, 2024 when compared to the prior year. This decrease was the result of the unfavorable impact of foreign currency translation of approximately $81.4 million, or 6%. Net sales also decreased by approximately $16.4 million, or 1%, due to the inclusion of net sales in the prior year period related to divestitures that have closed during 2023 and 2024. Constant currency net sales from the remaining business increased by approximately $19.5 million, or 1%, when compared to the prior year, driven primarily by new product sales in Australia. This increase was partially offset by lower net sales of existing products mainly driven by lower pricing in Japan as a result of government price reductions and additional 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Emerging Markets Segment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from Emerging Markets decreased by $300.9 million or 12% for the year ended December 31, 2024 when compared to the prior year. Net sales decreased by approximately $294.6 million, or 12%, due to the inclusion of net sales in the prior year period related to divestitures that have closed during 2023 and 2024. The decrease in net sales was also partially driven by the unfavorable impact of foreign currency translation of approximately $116.2 million, or 5%. Constant currency net sales from the remaining business increased by approximately $109.9 million, or 4%, when compared to the prior year, primarily driven by new products and higher net sales of existing products in certain Latin American, Middle Eastern and Asian countries.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Cost of Sales and Gross Profit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Cost of sales increased from $8.99 billion for the year ended December 31, 2023 to $9.12 billion for the year ended December 31, 2024. The increase in cost of sales was largely driven by IPR&amp;D intangible asset impairment charges of $177.1 million. Refer to Note 8 </w:t>
      </w:r>
      <w:r>
        <w:rPr>
          <w:rFonts w:ascii="Times New Roman;sans-serif" w:hAnsi="Times New Roman;sans-serif"/>
          <w:b w:val="false"/>
          <w:i/>
          <w:color w:val="000000"/>
          <w:sz w:val="20"/>
        </w:rPr>
        <w:t>Goodwill and Intangible Assets</w:t>
      </w:r>
      <w:r>
        <w:rPr>
          <w:color w:val="000000"/>
        </w:rPr>
        <w:t xml:space="preserve"> </w:t>
      </w:r>
      <w:r>
        <w:rPr>
          <w:rFonts w:ascii="Times New Roman;sans-serif" w:hAnsi="Times New Roman;sans-serif"/>
          <w:b w:val="false"/>
          <w:color w:val="000000"/>
          <w:sz w:val="20"/>
        </w:rPr>
        <w:t xml:space="preserve">included in Part II, Item 8 of this Form 10-K for more information. This increase was partially offset by the impact of the decrease in net sales, including as a result of the divestitures that have closed in 2023 and 2024.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for the year ended December 31, 2024 was $5.62 billion and gross margins were 38%. For the year ended December 31, 2023, gross profit was $6.44 billion and gross margins were 42%. The changes in gross profit and gross margins are primarily related to the impact of the divestitures and the IPR&amp;D intangible asset impairment charges. Adjusted gross margins were approximately 58% for the year ended December 31, 2024, essentially flat when compared to the year ended December 31, 2023.</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cost of sales, as reported under U.S. GAAP, and adjusted cost of sales and adjusted gross margin for the year ended December 31, 2024 compared to the year ended December 31, 2023 is as follows:</w:t>
      </w:r>
    </w:p>
    <w:tbl>
      <w:tblPr>
        <w:tblW w:w="7638" w:type="dxa"/>
        <w:jc w:val="left"/>
        <w:tblInd w:w="0" w:type="dxa"/>
        <w:tblLayout w:type="fixed"/>
        <w:tblCellMar>
          <w:top w:w="28" w:type="dxa"/>
          <w:left w:w="28" w:type="dxa"/>
          <w:bottom w:w="28" w:type="dxa"/>
          <w:right w:w="28" w:type="dxa"/>
        </w:tblCellMar>
      </w:tblPr>
      <w:tblGrid>
        <w:gridCol w:w="1728"/>
        <w:gridCol w:w="1514"/>
        <w:gridCol w:w="1528"/>
        <w:gridCol w:w="211"/>
        <w:gridCol w:w="766"/>
        <w:gridCol w:w="271"/>
        <w:gridCol w:w="109"/>
        <w:gridCol w:w="109"/>
        <w:gridCol w:w="109"/>
        <w:gridCol w:w="211"/>
        <w:gridCol w:w="766"/>
        <w:gridCol w:w="316"/>
      </w:tblGrid>
      <w:tr>
        <w:trPr/>
        <w:tc>
          <w:tcPr>
            <w:tcW w:w="172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amortization and other related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divestiture-related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profit </w:t>
            </w:r>
            <w:r>
              <w:rPr>
                <w:rFonts w:ascii="Times New Roman;sans-serif" w:hAnsi="Times New Roman;sans-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margin </w:t>
            </w:r>
            <w:r>
              <w:rPr>
                <w:rFonts w:ascii="Times New Roman;sans-serif" w:hAnsi="Times New Roman;sans-serif"/>
                <w:b w:val="false"/>
                <w:color w:val="000000"/>
                <w:sz w:val="13"/>
              </w:rPr>
              <w:t>(a)</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68" w:before="0" w:after="240"/>
        <w:ind w:left="0" w:right="0" w:hanging="360"/>
        <w:jc w:val="left"/>
        <w:rPr/>
      </w:pPr>
      <w:r>
        <w:rPr>
          <w:rFonts w:ascii="Times New Roman;sans-serif" w:hAnsi="Times New Roman;sans-serif"/>
          <w:b w:val="false"/>
          <w:color w:val="000000"/>
          <w:sz w:val="13"/>
        </w:rPr>
        <w:t>(a)</w:t>
      </w:r>
      <w:r>
        <w:rPr>
          <w:rFonts w:ascii="Times New Roman;sans-serif" w:hAnsi="Times New Roman;sans-serif"/>
          <w:b w:val="false"/>
          <w:color w:val="000000"/>
          <w:sz w:val="20"/>
        </w:rPr>
        <w:t>Adjusted gross profit is calculated as total revenues less adjusted cost of sales. Adjusted gross margin is calculated as adjusted gross profit divided by total revenues.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 for the year ended December 31, 2024 was $808.7 million, essentially flat compared to R&amp;D expense of $805.2 million for the prior year. An increase in spend on the selatogrel and cenerimod programs was partially offset by lower spending on base business programs. We expect R&amp;D expense to increase in excess of $100 million in 2025 as compared to 2024 primarily as a result of increased expenses for the selatogrel and cenerimod development programs.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Acquired IPR&amp;D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 expense for the year ended December 31, 2024 was $28.3 million, compared to $105.5 million for the prior year, a decrease of $77.2 million. The decrease was primarily due to upfront licensing payments to Mapi of $75.0 million related to additional products under development recorded during the prior year. This was partially offset by an upfront licensing payment of $25.0 million to Lexicon related to sotagliflozin recorded during the fourth quarter of 2024.</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SG&amp;A expense for the year ended December 31, 2024 was $4.43 billion, compared to $4.65 billion for the prior year, a decrease of $224.5 million. The decrease was primarily due to lower goodwill impairment charges of approximately $259.1 million (refer to Note 8 </w:t>
      </w:r>
      <w:r>
        <w:rPr>
          <w:rFonts w:ascii="Times New Roman;sans-serif" w:hAnsi="Times New Roman;sans-serif"/>
          <w:b w:val="false"/>
          <w:i/>
          <w:color w:val="000000"/>
          <w:sz w:val="20"/>
        </w:rPr>
        <w:t>Goodwill and Intangible Assets</w:t>
      </w:r>
      <w:r>
        <w:rPr>
          <w:color w:val="000000"/>
        </w:rPr>
        <w:t xml:space="preserve"> </w:t>
      </w:r>
      <w:r>
        <w:rPr>
          <w:rFonts w:ascii="Times New Roman;sans-serif" w:hAnsi="Times New Roman;sans-serif"/>
          <w:b w:val="false"/>
          <w:color w:val="000000"/>
          <w:sz w:val="20"/>
        </w:rPr>
        <w:t>included in Part II, Item 8 of this Form 10-K for more information on the goodwill impairment charges recorded in 2023 and 2024), and the impact of the divestitures. Partially offsetting these decreases was a gain recorded in 2023 of approximately $156.2 million on the transaction to divest the Company’s rights to two women’s healthcare products in certain countries.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 Settlements and Other Contingencies, Net</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the losses recognized in litigation settlements and other contingencies, net during the years ended December 31, 2024 and 2023, respectively:</w:t>
      </w:r>
    </w:p>
    <w:tbl>
      <w:tblPr>
        <w:tblW w:w="7014" w:type="dxa"/>
        <w:jc w:val="left"/>
        <w:tblInd w:w="0" w:type="dxa"/>
        <w:tblLayout w:type="fixed"/>
        <w:tblCellMar>
          <w:top w:w="28" w:type="dxa"/>
          <w:left w:w="28" w:type="dxa"/>
          <w:bottom w:w="28" w:type="dxa"/>
          <w:right w:w="28" w:type="dxa"/>
        </w:tblCellMar>
      </w:tblPr>
      <w:tblGrid>
        <w:gridCol w:w="1728"/>
        <w:gridCol w:w="1515"/>
        <w:gridCol w:w="1527"/>
        <w:gridCol w:w="211"/>
        <w:gridCol w:w="616"/>
        <w:gridCol w:w="109"/>
        <w:gridCol w:w="109"/>
        <w:gridCol w:w="109"/>
        <w:gridCol w:w="109"/>
        <w:gridCol w:w="211"/>
        <w:gridCol w:w="616"/>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adjustment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contingent consideration adjustment for the year ended December 31, 2024 was primarily due to fair value adjustments related to the Respiratory Delivery Platform and the Idorsia contingent consideration liabilities. Refer to Note 9 </w:t>
      </w:r>
      <w:r>
        <w:rPr>
          <w:rFonts w:ascii="Times New Roman;sans-serif" w:hAnsi="Times New Roman;sans-serif"/>
          <w:b w:val="false"/>
          <w:i/>
          <w:color w:val="000000"/>
          <w:sz w:val="20"/>
        </w:rPr>
        <w:t>Financial Instruments and Risk Management</w:t>
      </w:r>
      <w:r>
        <w:rPr>
          <w:color w:val="000000"/>
        </w:rPr>
        <w:t xml:space="preserve"> </w:t>
      </w:r>
      <w:r>
        <w:rPr>
          <w:rFonts w:ascii="Times New Roman;sans-serif" w:hAnsi="Times New Roman;sans-serif"/>
          <w:b w:val="false"/>
          <w:color w:val="000000"/>
          <w:sz w:val="20"/>
        </w:rPr>
        <w:t>included in Part II, Item 8 of this Form 10-K for more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Also refer to Note 19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included in Part II, Item 8 of this Form 10-K for more information.</w:t>
      </w:r>
    </w:p>
    <w:p>
      <w:pPr>
        <w:pStyle w:val="TextBody"/>
        <w:bidi w:val="0"/>
        <w:spacing w:before="0" w:after="6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year ended December 31, 2024 totaled $550.0 million, compared to $573.1 million for the year ended December 31, 2023, a decrease of $23.1 million. The decrease was primarily due to the impact of debt repayments, partially offset by the non-cash accretion of the contingent consideration liability related to the Idorsia Transaction.</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Other Expense (Income), Net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(income), net includes gains and losses from divestitures of businesses, changes in the fair value of equity securities, extinguishment of debt, foreign exchange, expense (income) related to post-employment benefit plans, TSA income, and interest and dividend income. Other expense (income), net for the year ended December 31, 2024 totaled $83.3 million of expense, compared to $(9.8) million of income for the year ended December 31, 2023, a decrease of $93.1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decrease in other income, net was driven by: (1) higher net loss on divestitures of approximately $156.4 million, (2) charges of $184.6 million related to the impairment of our equity investment in Mapi and advances for GA Depot inventory (refer to Note 18 </w:t>
      </w:r>
      <w:r>
        <w:rPr>
          <w:rFonts w:ascii="Times New Roman;sans-serif" w:hAnsi="Times New Roman;sans-serif"/>
          <w:b w:val="false"/>
          <w:i/>
          <w:color w:val="000000"/>
          <w:sz w:val="20"/>
        </w:rPr>
        <w:t>Licensing and Other Partner Agreements</w:t>
      </w:r>
      <w:r>
        <w:rPr>
          <w:color w:val="000000"/>
        </w:rPr>
        <w:t xml:space="preserve"> </w:t>
      </w:r>
      <w:r>
        <w:rPr>
          <w:rFonts w:ascii="Times New Roman;sans-serif" w:hAnsi="Times New Roman;sans-serif"/>
          <w:b w:val="false"/>
          <w:color w:val="000000"/>
          <w:sz w:val="20"/>
        </w:rPr>
        <w:t xml:space="preserve">included in Part II, Item 8 of this Form 10-K for more information), (3) net gains recorded in the prior year of approximately $43.4 million as a result of remeasuring our equity interests in Mapi and Famy Life Sciences and the CCPS in Biocon Biologics to fair value, and (4) lower TSA income of approximately $98.1 million as the prior year included TSA income related to the reimbursement for transition services provided to Biocon Biologics. Biocon Biologics had substantially exited all transition services with Viatris as of December 31, 2023. The costs related to the transition services are included in SG&amp;A and R&amp;D.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was partially offset by: (1) current year gains of $373.5 million as a result of remeasuring the CCPS in Biocon Biologics to fair value, (2) higher interest income of approximately $32.1 million, and (3) gain on debt extinguishments of $16.5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the Company recognized an income tax provision of $11.0 million, compared to an income tax provision of $148.2 million for the prior year, a change in the provision of $137.2 million. The income tax provision for the year ended December 31, 2024 includes a tax benefit related to certain gains on the sale of subsidiaries in connection with the divestiture of the OTC Business which were partially exempt from tax. This benefit was partially offset by the goodwill impairment charge recorded in the second quarter of 2024, for which no tax benefit was realized. The income tax provision for the year ended December 31, 2023 was negatively impacted by the goodwill impairment related to the divestiture of the OTC Business, partially offset by the deferred tax impact of the Company’s internal tax restructuring. The current year and prior year provisions were also impacted by the levels of income and the changing mix at which it is earned in jurisdictions with differing tax rates.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2023 Compared to 2022</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Discussions of 2022 items and year-to-year comparisons between 2023 and 2022 are not included in this Form 10-K, and can be found in “Management’s Discussion and Analysis of Financial Condition and Results of Operations” in Part II, Item 7 of the Company’s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Use of Non-GAAP Financial Measures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Adjusted Cost of Sales and Adjusted Gross Margin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the non-GAAP financial measure “adjusted cost of sales” and the corresponding non-GAAP financial measure “adjusted gross margin.” The principal items excluded from adjusted cost of sales include restructuring, acquisition and divestiture-related costs, and other special items, purchase accounting amortization and other related items, and share-based compensation expense, which are described in greater detail below.</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Adjusted Net Earnings and Adjusted EPS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earnings and adjusted net earnings per diluted share (“adjusted EPS”) are non-GAAP financial measures and provide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and adjusted EPS are important internal financial metrics related to the ongoing operating performance of the Company, and are therefore useful to investors and that their understanding of our performance is enhanced by these measures. Actual internal and forecasted operating results and annual budgets used by management include adjusted net earnings and adjusted EPS.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EBITDA and Adjusted EBITDA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income tax provision (benefit), interest expense and depreciation and amortization. EBITDA is further adjusted for share-based compensation expense, litigation settlements and other contingencies, net, gain (loss) on divestitures of businesses, impairment of long-lived assets and goodwill, restructuring, acquisition and divestiture-related and other special items to determine adjusted EBITDA. These adjustments are generally permitted under our credit agreement in calculating adjusted EBITDA for determining compliance with our debt covenants.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items excluded from adjusted cost of sales, adjusted EBITDA, adjusted net earnings, and adjusted EPS include:</w:t>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Purchase Accounting Amortization and Other Related Items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ongoing impact of certain amounts recorded in connection with acquisitions of both businesses and assets is excluded from adjusted cost of sales, adjusted EBITDA, adjusted net earnings, and adjusted EPS. These amounts include the amortization of intangible assets, inventory step-up, property, plant and equipment step-up, intangible asset impairment charges, including for IPR&amp;D, and impairment of goodwill. For the acquisition of businesses accounted for under the provisions of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these purchase accounting impacts are excluded regardless of the financing method used for the acquisitions, including the use of cash, long-term debt, the issuance of common stock, contingent consideration or any combination thereof.</w:t>
      </w:r>
    </w:p>
    <w:p>
      <w:pPr>
        <w:pStyle w:val="TextBody"/>
        <w:bidi w:val="0"/>
        <w:spacing w:lineRule="auto" w:line="26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Fair Value Adjustments, Including Contingent Consideration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changes to the fair value of assets and liabilities, including contingent and deferred consideration and non-marketable equity investments, and the related accretion income or expense are excluded from adjusted EBITDA, adjusted net earnings, and adjusted EPS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expense is excluded from adjusted cost of sales, adjusted EBITDA, adjusted net earnings, and adjusted EPS.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 </w:t>
      </w:r>
    </w:p>
    <w:p>
      <w:pPr>
        <w:pStyle w:val="TextBody"/>
        <w:bidi w:val="0"/>
        <w:spacing w:before="0" w:after="0"/>
        <w:ind w:left="0" w:right="0" w:firstLine="720"/>
        <w:jc w:val="left"/>
        <w:rPr/>
      </w:pPr>
      <w:r>
        <w:rPr/>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Restructuring, Acquisition and Divestiture-Related Costs and Other Special Items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related to restructuring, acquisition and divestiture-related activities and other actions are excluded from adjusted cost of sales, adjusted EBITDA, adjusted net earnings, and adjusted EPS, as applicable. These amounts include items such as: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Certain acquisition and divestiture costs, including costs relating to integration and planning,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Other costs, incurred from time to time, related to certain special events or activities that lead to gains or losses, including, but not limited to, incremental manufacturing variances, asset write-downs, including other-than-temporary impairments of investments in equity or debt instruments, or liability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Certain costs to further develop and optimize our global enterprise resource planning systems, operations and supply chain;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Gains or losses from divestitures, including impairments of held for sale assets;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impact of changes related to uncertain tax positions are excluded from adjusted net earnings and adjusted EPS. In addition, tax adjustments to adjusted earnings are recorded to present items on an after-tax basis consistent with the presentation of adjusted net earnings and adjusted EPS.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EBITDA, adjusted net earnings, and adjusted EPS because it believes it is helpful to understanding the underlying, ongoing operational performance of the business.</w:t>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Litigation Settlements, Net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Charges and gains related to legal matters, such as those discussed in Note 19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included in Part II, Item 8 of this Form 10-K are generally excluded from adjusted EBITDA, adjusted net earnings, and adjusted EPS. Normal, ongoing defense costs of the Company made in the normal course of our business are not excluded.</w:t>
      </w:r>
    </w:p>
    <w:p>
      <w:pPr>
        <w:pStyle w:val="TextBody"/>
        <w:bidi w:val="0"/>
        <w:spacing w:lineRule="auto" w:line="288" w:before="0" w:after="6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Reconciliation of U.S. GAAP Net (Loss) Earnings to Adjusted Net Earnings and U.S. GAAP (Loss) Earnings Per Share to Adjusted EPS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net (loss) earnings and diluted earnings (loss) per share as reported under U.S. GAAP, and adjusted net earnings and adjusted EPS for the periods shown follows:</w:t>
      </w:r>
    </w:p>
    <w:tbl>
      <w:tblPr>
        <w:tblW w:w="10205" w:type="dxa"/>
        <w:jc w:val="left"/>
        <w:tblInd w:w="0" w:type="dxa"/>
        <w:tblLayout w:type="fixed"/>
        <w:tblCellMar>
          <w:top w:w="28" w:type="dxa"/>
          <w:left w:w="28" w:type="dxa"/>
          <w:bottom w:w="28" w:type="dxa"/>
          <w:right w:w="28" w:type="dxa"/>
        </w:tblCellMar>
      </w:tblPr>
      <w:tblGrid>
        <w:gridCol w:w="1590"/>
        <w:gridCol w:w="576"/>
        <w:gridCol w:w="581"/>
        <w:gridCol w:w="211"/>
        <w:gridCol w:w="766"/>
        <w:gridCol w:w="109"/>
        <w:gridCol w:w="109"/>
        <w:gridCol w:w="109"/>
        <w:gridCol w:w="109"/>
        <w:gridCol w:w="211"/>
        <w:gridCol w:w="536"/>
        <w:gridCol w:w="109"/>
        <w:gridCol w:w="109"/>
        <w:gridCol w:w="109"/>
        <w:gridCol w:w="109"/>
        <w:gridCol w:w="211"/>
        <w:gridCol w:w="766"/>
        <w:gridCol w:w="109"/>
        <w:gridCol w:w="109"/>
        <w:gridCol w:w="109"/>
        <w:gridCol w:w="109"/>
        <w:gridCol w:w="211"/>
        <w:gridCol w:w="511"/>
        <w:gridCol w:w="109"/>
        <w:gridCol w:w="109"/>
        <w:gridCol w:w="109"/>
        <w:gridCol w:w="109"/>
        <w:gridCol w:w="211"/>
        <w:gridCol w:w="766"/>
        <w:gridCol w:w="109"/>
        <w:gridCol w:w="109"/>
        <w:gridCol w:w="109"/>
        <w:gridCol w:w="109"/>
        <w:gridCol w:w="211"/>
        <w:gridCol w:w="511"/>
        <w:gridCol w:w="156"/>
      </w:tblGrid>
      <w:tr>
        <w:trPr/>
        <w:tc>
          <w:tcPr>
            <w:tcW w:w="159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w:t>
            </w:r>
          </w:p>
        </w:tc>
        <w:tc>
          <w:tcPr>
            <w:tcW w:w="22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 net (loss) earnings and U.S. GAAP diluted (loss) earnings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Purchase accounting amortization (primarily included in cost of sales) </w:t>
            </w:r>
            <w:r>
              <w:rPr>
                <w:rFonts w:ascii="Times New Roman;sans-serif" w:hAnsi="Times New Roman;sans-serif"/>
                <w:b w:val="false"/>
                <w:color w:val="000000"/>
                <w:sz w:val="13"/>
              </w:rPr>
              <w:t>(a)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Impairment of goodwill (included in SG&amp;A) </w:t>
            </w:r>
            <w:r>
              <w:rPr>
                <w:rFonts w:ascii="Times New Roman;sans-serif" w:hAnsi="Times New Roman;sans-serif"/>
                <w:b w:val="false"/>
                <w:color w:val="000000"/>
                <w:sz w:val="13"/>
              </w:rPr>
              <w:t>(b)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(primarily amortization of premiums and discounts on long 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and divestiture-related costs (primarily included in SG&amp;A) </w:t>
            </w:r>
            <w:r>
              <w:rPr>
                <w:rFonts w:ascii="Times New Roman;sans-serif" w:hAnsi="Times New Roman;sans-serif"/>
                <w:b w:val="false"/>
                <w:color w:val="000000"/>
                <w:sz w:val="13"/>
              </w:rPr>
              <w:t>(c)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Loss (gain) on divestitures of businesses (included in other expense (income), net) </w:t>
            </w:r>
            <w:r>
              <w:rPr>
                <w:rFonts w:ascii="Times New Roman;sans-serif" w:hAnsi="Times New Roman;sans-serif"/>
                <w:b w:val="false"/>
                <w:color w:val="000000"/>
                <w:sz w:val="13"/>
              </w:rPr>
              <w:t>(d)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Restructuring-related costs </w:t>
            </w:r>
            <w:r>
              <w:rPr>
                <w:rFonts w:ascii="Times New Roman;sans-serif" w:hAnsi="Times New Roman;sans-serif"/>
                <w:b w:val="false"/>
                <w:color w:val="000000"/>
                <w:sz w:val="13"/>
              </w:rPr>
              <w: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 items included in:</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sales </w:t>
            </w:r>
            <w:r>
              <w:rPr>
                <w:rFonts w:ascii="Times New Roman;sans-serif" w:hAnsi="Times New Roman;sans-serif"/>
                <w:b w:val="false"/>
                <w:color w:val="000000"/>
                <w:sz w:val="13"/>
              </w:rPr>
              <w:t>(f)</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expense (income), net </w:t>
            </w:r>
            <w:r>
              <w:rPr>
                <w:rFonts w:ascii="Times New Roman;sans-serif" w:hAnsi="Times New Roman;sans-serif"/>
                <w:b w:val="false"/>
                <w:color w:val="000000"/>
                <w:sz w:val="13"/>
              </w:rPr>
              <w:t>(g)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Tax effect of the above items and other income tax related items</w:t>
            </w:r>
            <w:r>
              <w:rPr>
                <w:color w:val="000000"/>
              </w:rPr>
              <w:t xml:space="preserve"> </w:t>
            </w:r>
            <w:r>
              <w:rPr>
                <w:rFonts w:ascii="Times New Roman;sans-serif" w:hAnsi="Times New Roman;sans-serif"/>
                <w:b w:val="false"/>
                <w:color w:val="000000"/>
                <w:sz w:val="13"/>
              </w:rPr>
              <w:t>(h)</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earnings and adjusted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diluted shares outstanding</w:t>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items for the year ended December 31, 2024 include the following:</w:t>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(a)    </w:t>
      </w:r>
      <w:r>
        <w:rPr>
          <w:rFonts w:ascii="Times New Roman;sans-serif" w:hAnsi="Times New Roman;sans-serif"/>
          <w:b w:val="false"/>
          <w:color w:val="000000"/>
          <w:sz w:val="20"/>
        </w:rPr>
        <w:t>Includes IPR&amp;D intangible asset impairment charges of $177.1 million as the Company concluded that certain of its IPR&amp;D assets were fully impaired due to unfavorable clinical results and/or changes in market conditions which led to the termination of the development programs.</w:t>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(b)    </w:t>
      </w:r>
      <w:r>
        <w:rPr>
          <w:rFonts w:ascii="Times New Roman;sans-serif" w:hAnsi="Times New Roman;sans-serif"/>
          <w:b w:val="false"/>
          <w:color w:val="000000"/>
          <w:sz w:val="20"/>
        </w:rPr>
        <w:t>Includes a goodwill impairment charge of $321.0 million related to the JANZ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(c)     </w:t>
      </w:r>
      <w:r>
        <w:rPr>
          <w:rFonts w:ascii="Times New Roman;sans-serif" w:hAnsi="Times New Roman;sans-serif"/>
          <w:b w:val="false"/>
          <w:color w:val="000000"/>
          <w:sz w:val="20"/>
        </w:rPr>
        <w:t>Acquisition and divestiture-related costs consist primarily of transaction costs including legal and consulting fees and integration activities.</w:t>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(d)    </w:t>
      </w:r>
      <w:r>
        <w:rPr>
          <w:rFonts w:ascii="Times New Roman;sans-serif" w:hAnsi="Times New Roman;sans-serif"/>
          <w:b w:val="false"/>
          <w:color w:val="000000"/>
          <w:sz w:val="20"/>
        </w:rPr>
        <w:t>Consists primarily of pre-tax charges / (gains) related to the divestitures of the OTC, biosimilars, API, and women’s healthcare businesses of approximately $369.0 million, $60.0 million, $47.8 million, and $(77.8) million, respectively.</w:t>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(e)    </w:t>
      </w:r>
      <w:r>
        <w:rPr>
          <w:rFonts w:ascii="Times New Roman;sans-serif" w:hAnsi="Times New Roman;sans-serif"/>
          <w:b w:val="false"/>
          <w:color w:val="000000"/>
          <w:sz w:val="20"/>
        </w:rPr>
        <w:t xml:space="preserve">Includes approximately $115.7 million in cost of sales, approximately $3.0 million in R&amp;D, and approximately $92.3 million in SG&amp;A. </w:t>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(f)    </w:t>
      </w:r>
      <w:r>
        <w:rPr>
          <w:rFonts w:ascii="Times New Roman;sans-serif" w:hAnsi="Times New Roman;sans-serif"/>
          <w:b w:val="false"/>
          <w:color w:val="000000"/>
          <w:sz w:val="20"/>
        </w:rPr>
        <w:t>Includes incremental manufacturing variances at plants slated for sale or closure of approximately $109.4 million.</w:t>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(g)</w:t>
      </w:r>
      <w:r>
        <w:rPr>
          <w:color w:val="000000"/>
        </w:rPr>
        <w:t>    </w:t>
      </w:r>
      <w:r>
        <w:rPr>
          <w:rFonts w:ascii="Times New Roman;sans-serif" w:hAnsi="Times New Roman;sans-serif"/>
          <w:b w:val="false"/>
          <w:color w:val="000000"/>
          <w:sz w:val="20"/>
        </w:rPr>
        <w:t xml:space="preserve">Includes: (1) a gain of approximately $373.5 million as a result of remeasuring the CCPS in Biocon Biologics to fair value; (2) a gain on the extinguishment of debt of $16.5 million; and (3) charges of $184.6 million related to the impairment of our equity investment in Mapi and advances for GA Depot inventory (refer to Note 18 </w:t>
      </w:r>
      <w:r>
        <w:rPr>
          <w:rFonts w:ascii="Times New Roman;sans-serif" w:hAnsi="Times New Roman;sans-serif"/>
          <w:b w:val="false"/>
          <w:i/>
          <w:color w:val="000000"/>
          <w:sz w:val="20"/>
        </w:rPr>
        <w:t>Licensing and Other Partner Agreements</w:t>
      </w:r>
      <w:r>
        <w:rPr>
          <w:color w:val="000000"/>
        </w:rPr>
        <w:t xml:space="preserve"> </w:t>
      </w:r>
      <w:r>
        <w:rPr>
          <w:rFonts w:ascii="Times New Roman;sans-serif" w:hAnsi="Times New Roman;sans-serif"/>
          <w:b w:val="false"/>
          <w:color w:val="000000"/>
          <w:sz w:val="20"/>
        </w:rPr>
        <w:t>included in Part II, Item 8 of this Form 10-K for more information).</w:t>
      </w:r>
    </w:p>
    <w:p>
      <w:pPr>
        <w:pStyle w:val="TextBody"/>
        <w:bidi w:val="0"/>
        <w:spacing w:lineRule="auto" w:line="288" w:before="0" w:after="240"/>
        <w:ind w:left="0" w:right="0" w:hanging="360"/>
        <w:jc w:val="left"/>
        <w:rPr/>
      </w:pPr>
      <w:r>
        <w:rPr>
          <w:rFonts w:ascii="Times New Roman;sans-serif" w:hAnsi="Times New Roman;sans-serif"/>
          <w:b w:val="false"/>
          <w:color w:val="000000"/>
          <w:sz w:val="10"/>
        </w:rPr>
        <w:t>(h)</w:t>
      </w:r>
      <w:r>
        <w:rPr>
          <w:color w:val="000000"/>
        </w:rPr>
        <w:t>    </w:t>
      </w:r>
      <w:r>
        <w:rPr>
          <w:rFonts w:ascii="Times New Roman;sans-serif" w:hAnsi="Times New Roman;sans-serif"/>
          <w:b w:val="false"/>
          <w:color w:val="000000"/>
          <w:sz w:val="20"/>
        </w:rPr>
        <w:t xml:space="preserve">Adjusted for changes for uncertain tax positions. </w:t>
      </w:r>
    </w:p>
    <w:p>
      <w:pPr>
        <w:pStyle w:val="TextBody"/>
        <w:bidi w:val="0"/>
        <w:spacing w:lineRule="auto" w:line="288" w:before="0" w:after="6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Reconciliation of U.S. GAAP Net (Loss) Earnings to EBITDA and Adjusted EBITDA</w:t>
      </w:r>
    </w:p>
    <w:p>
      <w:pPr>
        <w:pStyle w:val="TextBody"/>
        <w:bidi w:val="0"/>
        <w:spacing w:before="0" w:after="0"/>
        <w:ind w:left="0" w:right="0" w:firstLine="27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U.S. GAAP net (loss) earnings to EBITDA and adjusted EBITDA for the year ended December 31, 2024 compared to the prior year periods:</w:t>
      </w:r>
    </w:p>
    <w:tbl>
      <w:tblPr>
        <w:tblW w:w="10205" w:type="dxa"/>
        <w:jc w:val="left"/>
        <w:tblInd w:w="0" w:type="dxa"/>
        <w:tblLayout w:type="fixed"/>
        <w:tblCellMar>
          <w:top w:w="28" w:type="dxa"/>
          <w:left w:w="28" w:type="dxa"/>
          <w:bottom w:w="28" w:type="dxa"/>
          <w:right w:w="28" w:type="dxa"/>
        </w:tblCellMar>
      </w:tblPr>
      <w:tblGrid>
        <w:gridCol w:w="2235"/>
        <w:gridCol w:w="1949"/>
        <w:gridCol w:w="1953"/>
        <w:gridCol w:w="109"/>
        <w:gridCol w:w="211"/>
        <w:gridCol w:w="766"/>
        <w:gridCol w:w="109"/>
        <w:gridCol w:w="109"/>
        <w:gridCol w:w="109"/>
        <w:gridCol w:w="109"/>
        <w:gridCol w:w="211"/>
        <w:gridCol w:w="766"/>
        <w:gridCol w:w="109"/>
        <w:gridCol w:w="109"/>
        <w:gridCol w:w="109"/>
        <w:gridCol w:w="109"/>
        <w:gridCol w:w="211"/>
        <w:gridCol w:w="766"/>
        <w:gridCol w:w="156"/>
      </w:tblGrid>
      <w:tr>
        <w:trPr/>
        <w:tc>
          <w:tcPr>
            <w:tcW w:w="2235"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 net (loss) earnings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adjustments:</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w:t>
            </w:r>
            <w:r>
              <w:rPr>
                <w:rFonts w:ascii="Times New Roman;sans-serif" w:hAnsi="Times New Roman;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 (deduct) adjustments:</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divestitures of businesses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 acquisition and divestiture-related and other special items </w:t>
            </w:r>
            <w:r>
              <w:rPr>
                <w:rFonts w:ascii="Times New Roman;sans-serif" w:hAnsi="Times New Roman;sans-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(a)    </w:t>
      </w:r>
      <w:r>
        <w:rPr>
          <w:rFonts w:ascii="Times New Roman;sans-serif" w:hAnsi="Times New Roman;sans-serif"/>
          <w:b w:val="false"/>
          <w:color w:val="000000"/>
          <w:sz w:val="20"/>
        </w:rPr>
        <w:t>Includes amortization of premiums and discounts on long-term debt.</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(b)    </w:t>
      </w:r>
      <w:r>
        <w:rPr>
          <w:rFonts w:ascii="Times New Roman;sans-serif" w:hAnsi="Times New Roman;sans-serif"/>
          <w:b w:val="false"/>
          <w:color w:val="000000"/>
          <w:sz w:val="20"/>
        </w:rPr>
        <w:t>Includes purchase accounting related amortization.</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(c)    </w:t>
      </w:r>
      <w:r>
        <w:rPr>
          <w:rFonts w:ascii="Times New Roman;sans-serif" w:hAnsi="Times New Roman;sans-serif"/>
          <w:b w:val="false"/>
          <w:color w:val="000000"/>
          <w:sz w:val="20"/>
        </w:rPr>
        <w:t xml:space="preserve">See items detailed in the Reconciliation of U.S. GAAP Net (Loss) Earnings to Adjusted Net Earnings. </w:t>
      </w:r>
    </w:p>
    <w:p>
      <w:pPr>
        <w:pStyle w:val="TextBody"/>
        <w:bidi w:val="0"/>
        <w:spacing w:before="0" w:after="6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 of liquidity is net cash provided by operating activities, which was $2.30 billion for the year ended December 31, 2024. We believe that net cash provided by operating activities and available liquidity will continue to allow us to meet our needs for working capital, capital expenditures, interest and principal payments on debt obligations, dividend payments, and share repurchases.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2024, upfront and milestone payments related to externally developed IPR&amp;D projects acquired directly in a transaction other than a business combination, which were previously included in cash flows from operating activities in the consolidated statements of cash flows, are now classified as cash flows from investing activities. Certain reclassifications were made to conform the prior period consolidated financial statements to the current period presentation. The adjustments resulted in an increase to net cash provided by operating activities and an increase to net cash used in investing activities of $100.4 million for the year ended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by $597.1 million to $2.30 billion for the year ended December 31, 2024, as compared to net cash provided by operating activities of $2.90 billion for the year ended December 31, 2023. Net cash provided by operating activities is derived from net (loss)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net cash provided by operating activities was principally due to lower operating earnings, including as a result of divestitures in 2023 and 2024, higher transaction costs associated with divestitures, and the timing of cash payments and collections.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from investing activities was $1.80 billion for the year ended December 31, 2024, as compared to net cash used in investing activities of $864.5 million for the year ended December 31, 2023, an increase of $2.67 billion.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In 2024, significant items in investing activities included the following: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proceeds from the sale of assets and businesses of $2.51 billion, primarily related to the divestitures of the OTC Business, the API business in India and the women’s healthcare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cash paid for acquisitions, net of cash acquired, of $350.0 million related to the Idorsia Transaction;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capital expenditures, primarily for equipment and facilities, totaling approximately $326.0 million. While there can be no assurance that current expectations will be realized, capital expenditures for the 2025 calendar year are expected to be approximately $300 million to $400 million.</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 2023, significant items in investing activities included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cash paid for acquisitions, net of cash acquired, of $667.7 million;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payments for product rights and other, net totaling approximately $97.5 million, related to various products;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capital expenditures, primarily for equipment and facilities, totaling approximately $377.0 million;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proceeds from the sale of assets and businesses of $364.1 million, primarily related to divestitures of the Company’s rights to two women’s healthcare products in certain countries and commercialization rights in certain Upjohn Distributor Markets.</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$4.33 billion for the year ended December 31, 2024, as compared to net cash used in financing activities of $2.30 billion for the year ended December 31, 2023, an increase of $2.03 billion. </w:t>
      </w:r>
    </w:p>
    <w:p>
      <w:pPr>
        <w:pStyle w:val="TextBody"/>
        <w:bidi w:val="0"/>
        <w:spacing w:lineRule="auto" w:line="276"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In 2024, significant items in financing activities included the following: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repayment of Senior Notes through tender offers for and satisfaction and discharge of approximately $1.86 billion of Senior Notes;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repayment of Senior Notes at maturity of approximately $1.86 billion, consisting of the 1.023% Euro Senior Notes and the 2.250% Euro Senior Notes;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share repurchases of $250.0 million;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cash dividends paid of $574.8 million;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receipt of $245.0 million in deferred consideration from the Biocon Biologics Transaction, and net cash of $52.7 million collected on behalf of various partners, including Biocon Biologics, which are included in Other items, net.</w:t>
      </w:r>
    </w:p>
    <w:p>
      <w:pPr>
        <w:pStyle w:val="TextBody"/>
        <w:bidi w:val="0"/>
        <w:spacing w:lineRule="auto" w:line="276" w:before="0" w:after="120"/>
        <w:jc w:val="left"/>
        <w:rPr>
          <w:rFonts w:ascii="Times New Roman;sans-serif" w:hAnsi="Times New Roman;sans-serif"/>
          <w:b/>
          <w:color w:val="000000"/>
          <w:sz w:val="20"/>
        </w:rPr>
      </w:pPr>
      <w:r>
        <w:rPr>
          <w:rFonts w:ascii="Times New Roman;sans-serif" w:hAnsi="Times New Roman;sans-serif"/>
          <w:b/>
          <w:color w:val="000000"/>
          <w:sz w:val="20"/>
        </w:rPr>
        <w:t>In 2023, significant items in financing activities included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repayments of Senior Notes at maturity of approximately $1.25 billion, consisting of the 3.125% Senior Notes and the 4.200% Senior Notes;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share repurchases of $250.0 million;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cash dividends paid of $575.6 million;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payment of $220.0 million to Biocon Biologics related to the closing working capital target, partially offset by net cash of $47.6 million collected on behalf of various partners, including Biocon Biologics, which are included in Other items, net.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 to the consolidated statements of cash flows in Part II, Item 8 of this Form 10-K for additional details on other significant sources and uses of cash during the years ended December 31, 2024 and 2023.</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Capital Resources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totaled $734.8 million at December 31, 2024. The majority of our cash is invested in U.S. government money market funds and in bank deposits. In order to support our global operations, we maintain significant cash and cash equivalents within the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one counterparty. The Company anticipates having sufficient liquidity, including existing borrowing capacity under the 2024 Revolving Facility, Commercial Paper Program, and Receivables Facility combined with cash to be generated from operations, to fund foreseeable cash needs without requiring the repatriation of non-U.S. cash. Should we determine the need to repatriate or convert cash held in countries that have significant restrictions or controls in place, including in China, we may be unable to repatriate or convert such cash, or be unable to do so without incurring substantial costs.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access to $3.5 billion under the 2024 Revolving Facility which matures in September 2029. Up to $1.65 billion of the 2024 Revolving Facility may be used to support borrowings under our Commercial Paper Program. As of December 31, 2024, the Company did not have any borrowings outstanding under the Commercial Paper Program or the 2024 Revolving Facility.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$400 million Receivables Facility which expires in April 2025. As of December 31, 2024, the Company did not have any borrowings outstanding under the Receivables Facility.</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 plus 0.775% and are included as a component of short-term borrowings, while the accounts receivable securing these obligations remain as a component of accounts receivable, net, in our consolidated balance sheets. In addition, the agreement governing the Receivables Facility contains various customary affirmative and negative covenants, and customary default and termination provisions.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$68.5 million and $30.8 million of accounts receivable as of December 31, 2024 and 2023, respectively, under these factoring arrangements. Additionally, in 2023, we entered into a similar arrangement for certain European countries. As of December 31, 2024 and 2023, we assigned and derecognized approximately $29.9 million and $415.7 million, respectively, of </w:t>
      </w:r>
      <w:r>
        <w:rPr>
          <w:rFonts w:ascii="Times New Roman;sans-serif" w:hAnsi="Times New Roman;sans-serif"/>
          <w:b w:val="false"/>
          <w:i/>
          <w:color w:val="000000"/>
          <w:sz w:val="20"/>
        </w:rPr>
        <w:t>Trade Receivables, Net</w:t>
      </w:r>
      <w:r>
        <w:rPr>
          <w:rFonts w:ascii="Times New Roman;sans-serif" w:hAnsi="Times New Roman;sans-serif"/>
          <w:b w:val="false"/>
          <w:color w:val="000000"/>
          <w:sz w:val="20"/>
        </w:rPr>
        <w:t xml:space="preserve">, which were included in </w:t>
      </w:r>
      <w:r>
        <w:rPr>
          <w:rFonts w:ascii="Times New Roman;sans-serif" w:hAnsi="Times New Roman;sans-serif"/>
          <w:b w:val="false"/>
          <w:i/>
          <w:color w:val="000000"/>
          <w:sz w:val="20"/>
        </w:rPr>
        <w:t>Other Receivables</w:t>
      </w:r>
      <w:r>
        <w:rPr>
          <w:rFonts w:ascii="Times New Roman;sans-serif" w:hAnsi="Times New Roman;sans-serif"/>
          <w:b w:val="false"/>
          <w:color w:val="000000"/>
          <w:sz w:val="20"/>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Company has certain voluntary supply chain finance programs with financial intermediaries which provide participating suppliers the option to be paid by the intermediary earlier than the original invoice due date. The Company’s responsibility is limited to making payments on the terms originally negotiated with the suppliers, regardless of whether the intermediary pays the supplier in advance of the original due date. The range of payment terms the Company negotiates with suppliers are consistent, regardless of whether a supplier participates in a supply chain finance program. The total amounts due to financial intermediaries to settle supplier invoices under supply chain finance programs as of December 31, 2024 and 2023 were $41.9 million and $65.1 million, respectively. These amounts are included within </w:t>
      </w:r>
      <w:r>
        <w:rPr>
          <w:rFonts w:ascii="Times New Roman;sans-serif" w:hAnsi="Times New Roman;sans-serif"/>
          <w:b w:val="false"/>
          <w:i/>
          <w:color w:val="000000"/>
          <w:sz w:val="20"/>
        </w:rPr>
        <w:t>Accounts payable</w:t>
      </w:r>
      <w:r>
        <w:rPr>
          <w:color w:val="000000"/>
        </w:rPr>
        <w:t xml:space="preserve"> </w:t>
      </w:r>
      <w:r>
        <w:rPr>
          <w:rFonts w:ascii="Times New Roman;sans-serif" w:hAnsi="Times New Roman;sans-serif"/>
          <w:b w:val="false"/>
          <w:color w:val="000000"/>
          <w:sz w:val="20"/>
        </w:rPr>
        <w:t>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shd w:fill="FFFFFF" w:val="clear"/>
        </w:rPr>
        <w:t xml:space="preserve">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w:t>
      </w:r>
      <w:r>
        <w:rPr>
          <w:rFonts w:ascii="Times New Roman;sans-serif" w:hAnsi="Times New Roman;sans-serif"/>
          <w:b w:val="false"/>
          <w:color w:val="000000"/>
          <w:sz w:val="20"/>
        </w:rPr>
        <w:t>Also, on an ongoing basis, we review our operations, including the evaluation of potential divestitures of products and businesses, as part of our future strategy. Any divestitures could impact future liquidity. In addition, we plan to continue to explore various other ways to unlock the value of the Company’s unique global platform in order to create shareholder value.</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For information regarding our dividends paid and declared and share repurchase program, refer to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included in Part II, Item 8 of this Form 10-K.</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Debt Maturity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For information regarding our debt agreements and mandatory minimum repayments remaining on the outstanding notional amount of long-term debt at December 31, 2024, refer to Note 10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included in Part II, Item 8 of this Form 10-K.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YEN Term Loan Facility and the 2024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 compliance with its covenants at December 31, 2024 and expects to remain in compliance for the next twelve months.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We and our subsidiaries and affiliates may from time to time, in our sole discretion, purchase, repay, redeem or retire any of our outstanding debt securities (including any publicly-issued debt securities) in privately negotiated or open market transactions, by tender offer or otherwise, or extend or refinance any of our outstanding indebtedness. Refer to Note 10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included in Part II, Item 8 of this Form 10-K for more information.</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Guarantor Financial Information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Inc. is the issuer of the Registered Upjohn Notes, which are fully and unconditionally guaranteed on a senior unsecured basis by Mylan Inc., Mylan II B.V. and Utah Acquisition Sub Inc.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Combination, Utah Acquisition Sub Inc. is the issuer of the Utah U.S. Dollar Notes, which are fully and unconditionally guaranteed on a senior unsecured basis by Mylan Inc., Viatris Inc. and Mylan II B.V.</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Mylan Inc. is the issuer of the Mylan Inc. U.S. Dollar Notes, which are fully and unconditionally guaranteed on a senior unsecured basis by Mylan II B.V., Viatris Inc. and Utah Acquisition Sub Inc.</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unaudited summarized financial information of Viatris Inc., Mylan Inc., Utah Acquisition Sub Inc., and Mylan II B.V. on a combined basis as of and for the years ended December 31, 2024 and 2023. All intercompany balances have been eliminated in consolidation. This unaudited combined summarized financial information is presented utilizing the equity method of accounting.</w:t>
      </w:r>
    </w:p>
    <w:tbl>
      <w:tblPr>
        <w:tblW w:w="10205" w:type="dxa"/>
        <w:jc w:val="left"/>
        <w:tblInd w:w="0" w:type="dxa"/>
        <w:tblLayout w:type="fixed"/>
        <w:tblCellMar>
          <w:top w:w="28" w:type="dxa"/>
          <w:left w:w="28" w:type="dxa"/>
          <w:bottom w:w="28" w:type="dxa"/>
          <w:right w:w="28" w:type="dxa"/>
        </w:tblCellMar>
      </w:tblPr>
      <w:tblGrid>
        <w:gridCol w:w="875"/>
        <w:gridCol w:w="767"/>
        <w:gridCol w:w="721"/>
        <w:gridCol w:w="698"/>
        <w:gridCol w:w="2016"/>
        <w:gridCol w:w="356"/>
        <w:gridCol w:w="356"/>
        <w:gridCol w:w="356"/>
        <w:gridCol w:w="356"/>
        <w:gridCol w:w="690"/>
        <w:gridCol w:w="2507"/>
        <w:gridCol w:w="507"/>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Combined Summarized Balance Sheet Information of Viatris Inc., Mylan Inc., Utah Acquisition Sub Inc. and Mylan II B.V. </w:t>
            </w:r>
          </w:p>
        </w:tc>
      </w:tr>
      <w:tr>
        <w:trPr/>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61,424.7 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63,212.6 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3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30,796.9 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29,824.8 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13,933.6 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5"/>
        <w:gridCol w:w="549"/>
        <w:gridCol w:w="539"/>
        <w:gridCol w:w="997"/>
        <w:gridCol w:w="1881"/>
        <w:gridCol w:w="504"/>
        <w:gridCol w:w="504"/>
        <w:gridCol w:w="504"/>
        <w:gridCol w:w="504"/>
        <w:gridCol w:w="997"/>
        <w:gridCol w:w="1881"/>
        <w:gridCol w:w="720"/>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Combined Summarized Income Statement Information of Viatris Inc., Mylan Inc., Utah Acquisition Sub Inc. and Mylan II B.V. </w:t>
            </w:r>
          </w:p>
        </w:tc>
      </w:tr>
      <w:tr>
        <w:trPr/>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1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(1,206.6)</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(1,243.8)</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w:t>
            </w:r>
          </w:p>
        </w:tc>
        <w:tc>
          <w:tcPr>
            <w:tcW w:w="2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Commitments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$384 million accrued for legal contingencies at December 31, 2024.</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Company believes that it has meritorious defenses with respect to the claims asserted against it and the assumed legal matters referenced above, and intends to vigorously defend its position, the process of resolving these matters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divestitures, Viatris and the respective buyers entered into transition services and/or manufacturing and supply agreements pursuant to which the Company is providing services to the respective purchasers, substantially the same as we previously provided to the related businesses, generally for a period of up to 12 months for transition services and for periods between one to 10 years for manufacturing and supply agreements, depending on the geographic market and the products subject to such agreement, subject to potential extensions in certain circumstances. In addition, in connection with the OTC Transaction and the divestiture of our women’s healthcare business, we entered into distribution agreements for certain markets for a limited period of time. In connection with the API business divestiture, we entered into a manufacturing and supply agreement pursuant to which we are purchasing a significant amount of API from the purchaser in that transaction.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our material cash requirements from known contractual and other obligations primarily relate to repayment of outstanding borrowings and interest, open purchase orders, post-employment benefit plans, unrecognized tax benefits, capital expenditures, dividends and leases. For additional information, refer to Notes 2, 7, 10, 12, 14, and 16 included in Part II, Item 8 of this Form 10-K. We anticipate our cash requirements related to ordinary course purchases of goods and services will be consistent with our past levels.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Viatris periodically enters into acquisition, divestiture, collaboration, employment, legal settlement and other agreements which incorporate indemnification provisions. The maximum amount to which Viatris may be exposed under such agreements cannot be reasonably estimated due to the conditional nature of the Company’s obligations and the unique facts and circumstances involved in each particular agreement. Historically, we have not paid material amounts under these indemnification provisions. Further, for certain agreements,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employment and other agreements with certain executives and other employees that provide for compensation and certain other benefits. These agreements provide for severance payments under certain circumstances.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Licensing and Other Partner Agreements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Under our licensing and other partner agreements, our potential maximum development milestones not accrued for at December 31, 2024 totaled approximately $419.4 million. We estimate that the amounts that may be paid during the next twelve months to be approximately $33 million. These agreements may also include potential sales-based milestones and call for us to pay a percentage of amounts earned from the sale of the product as a royalty or a profit share. Refer to Note 18 </w:t>
      </w:r>
      <w:r>
        <w:rPr>
          <w:rFonts w:ascii="Times New Roman;sans-serif" w:hAnsi="Times New Roman;sans-serif"/>
          <w:b w:val="false"/>
          <w:i/>
          <w:color w:val="000000"/>
          <w:sz w:val="20"/>
        </w:rPr>
        <w:t xml:space="preserve">Licensing and Other Partner Agreements </w:t>
      </w:r>
      <w:r>
        <w:rPr>
          <w:rFonts w:ascii="Times New Roman;sans-serif" w:hAnsi="Times New Roman;sans-serif"/>
          <w:b w:val="false"/>
          <w:color w:val="000000"/>
          <w:sz w:val="20"/>
        </w:rPr>
        <w:t>included in Part II, Item 8 of this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Application of Critical Accounting Policies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Our significant accounting policies are described in Note 2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included in Part II, Item 8 of this Form 10-K and are in accordance with U.S. GAAP.</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Included within these policies are certain policies which contain critical accounting estimates and, therefore, have been deemed to be “critical accounting policies.” Critical accounting estimates are those which require management to make assumptions about matters that were uncertain at the time the estimate was made and for which the use of different estimates, which reasonably could have been used, or changes in the accounting estimates that are reasonably likely to occur from period to period could have a material impact on our financial condition or results of operations. We have identified the following to be our critical accounting policies: the determination of net revenue provisions; accounting for acquisitions, including intangible assets, goodwill and contingent consideration; income taxes; and the impact of existing legal matters.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We recognize revenues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Under ASC 606, the Company recognizes net revenue for product sales when control of the promised goods or services is transferred to our customers in an amount that reflects the consideration we expect to be entitled to in exchange for those goods or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Amounts recorded for revenue deductions can result from a complex series of judgements about future events and uncertainties and can rely heavily on estimates and assumptions. As such, they have been identified as critical accounting estimates. The following section briefly describes the nature of our provisions for variable consideration and how such provisions are estimated: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Chargebacks</w:t>
      </w:r>
      <w:r>
        <w:rPr>
          <w:rFonts w:ascii="Times New Roman;sans-serif" w:hAnsi="Times New Roman;sans-serif"/>
          <w:b w:val="false"/>
          <w:color w:val="000000"/>
          <w:sz w:val="20"/>
        </w:rPr>
        <w:t>: the Company has agreements with certain indirect customers, such as independent pharmacies, retail pharmacy chains, managed care organizations, hospitals, nursing homes, governmental agencies and pharmacy benefit managers,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 We continually monitor our provision for chargebacks and evaluate our reserve and estimates as additional information becomes available. A change of 5% would have an effect on our reserve balance of approximately $24.7 million.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Rebates, promotional programs and other sales allowances</w:t>
      </w:r>
      <w:r>
        <w:rPr>
          <w:rFonts w:ascii="Times New Roman;sans-serif" w:hAnsi="Times New Roman;sans-serif"/>
          <w:b w:val="false"/>
          <w:color w:val="000000"/>
          <w:sz w:val="20"/>
        </w:rPr>
        <w:t>: this category includes rebate and other programs to assist in product sales. These 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 A change of 5% would have an effect on our reserve balance of approximately $63.3 million.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Returns</w:t>
      </w:r>
      <w:r>
        <w:rPr>
          <w:rFonts w:ascii="Times New Roman;sans-serif" w:hAnsi="Times New Roman;sans-serif"/>
          <w:b w:val="false"/>
          <w:color w:val="000000"/>
          <w:sz w:val="20"/>
        </w:rPr>
        <w:t>: consistent with industry practice, Viatris maintains a return policy that allows customers to return a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Generally, returned products are destroyed and customers are refunded the sales price in the form of a credit. A change of 5% would have an effect on our reserve balance of approximately $20.0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000000"/>
          <w:sz w:val="20"/>
        </w:rPr>
        <w:t>Governmental rebate programs</w:t>
      </w:r>
      <w:r>
        <w:rPr>
          <w:rFonts w:ascii="Times New Roman;sans-serif" w:hAnsi="Times New Roman;sans-serif"/>
          <w:b w:val="false"/>
          <w:color w:val="000000"/>
          <w:sz w:val="20"/>
        </w:rPr>
        <w:t>: government reimbursement programs in the U.S. include Medicare, Medicaid, and State Pharmacy Assistance Programs 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We estimate discounts on branded prescription drug sales to Medicare Part D participants in the Medicare “coverage gap” based on historical experience of prescriptions and utilization expected to result in the discount of the “coverage gap”.</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U.S., the majority of our pharmaceutical sales are contractually or legislatively governed. In certain European countries, certain rebates are calculated on the governments total pharmaceutical spending or on specific product sale thresholds. We utilize historical data and obtain third party information to determine the adequacy of these accruals. Also, this provision includes price reductions that are mandated by law outside of the U.S.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 change of 5% would have an effect on our reserve balance of approximately $18.7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rollforward of the categories of variable consideration during 2024:</w:t>
      </w:r>
    </w:p>
    <w:tbl>
      <w:tblPr>
        <w:tblW w:w="10205" w:type="dxa"/>
        <w:jc w:val="left"/>
        <w:tblInd w:w="0" w:type="dxa"/>
        <w:tblLayout w:type="fixed"/>
        <w:tblCellMar>
          <w:top w:w="28" w:type="dxa"/>
          <w:left w:w="28" w:type="dxa"/>
          <w:bottom w:w="28" w:type="dxa"/>
          <w:right w:w="28" w:type="dxa"/>
        </w:tblCellMar>
      </w:tblPr>
      <w:tblGrid>
        <w:gridCol w:w="717"/>
        <w:gridCol w:w="551"/>
        <w:gridCol w:w="556"/>
        <w:gridCol w:w="247"/>
        <w:gridCol w:w="899"/>
        <w:gridCol w:w="127"/>
        <w:gridCol w:w="109"/>
        <w:gridCol w:w="109"/>
        <w:gridCol w:w="109"/>
        <w:gridCol w:w="307"/>
        <w:gridCol w:w="1269"/>
        <w:gridCol w:w="158"/>
        <w:gridCol w:w="109"/>
        <w:gridCol w:w="109"/>
        <w:gridCol w:w="109"/>
        <w:gridCol w:w="109"/>
        <w:gridCol w:w="109"/>
        <w:gridCol w:w="254"/>
        <w:gridCol w:w="1089"/>
        <w:gridCol w:w="131"/>
        <w:gridCol w:w="109"/>
        <w:gridCol w:w="109"/>
        <w:gridCol w:w="109"/>
        <w:gridCol w:w="255"/>
        <w:gridCol w:w="660"/>
        <w:gridCol w:w="132"/>
        <w:gridCol w:w="109"/>
        <w:gridCol w:w="109"/>
        <w:gridCol w:w="109"/>
        <w:gridCol w:w="246"/>
        <w:gridCol w:w="893"/>
        <w:gridCol w:w="188"/>
      </w:tblGrid>
      <w:tr>
        <w:trPr/>
        <w:tc>
          <w:tcPr>
            <w:tcW w:w="71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Current Provision Related to Sales Made in the Current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Checks/ Credits Issued to Third Parties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Effects of 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2024</w:t>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promotional programs and other sales allowances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rebate programs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(10,094.5)</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these provisions are presented in the consolidated financial statements as reductions in determining net revenues and as a contra asset in accounts receivable, net (if settled via credit) and other current liabilities (if paid in cash). Accounts receivable are presented net of allowances relating to these provisions, which were comprised of the following at December 31, 2024 and 2023, respectively:</w:t>
      </w:r>
    </w:p>
    <w:tbl>
      <w:tblPr>
        <w:tblW w:w="4675" w:type="dxa"/>
        <w:jc w:val="center"/>
        <w:tblInd w:w="0" w:type="dxa"/>
        <w:tblLayout w:type="fixed"/>
        <w:tblCellMar>
          <w:top w:w="28" w:type="dxa"/>
          <w:left w:w="28" w:type="dxa"/>
          <w:bottom w:w="28" w:type="dxa"/>
          <w:right w:w="28" w:type="dxa"/>
        </w:tblCellMar>
      </w:tblPr>
      <w:tblGrid>
        <w:gridCol w:w="765"/>
        <w:gridCol w:w="670"/>
        <w:gridCol w:w="679"/>
        <w:gridCol w:w="212"/>
        <w:gridCol w:w="773"/>
        <w:gridCol w:w="110"/>
        <w:gridCol w:w="109"/>
        <w:gridCol w:w="109"/>
        <w:gridCol w:w="109"/>
        <w:gridCol w:w="212"/>
        <w:gridCol w:w="772"/>
        <w:gridCol w:w="155"/>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Acquisitions, including Intangible Assets, Goodwill and Contingent Consideration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Company accounts for acquired businesses using the acquisition method of accounting in accordance with the provisions of ASC 805</w:t>
      </w:r>
      <w:r>
        <w:rPr>
          <w:rFonts w:ascii="Times New Roman;sans-serif" w:hAnsi="Times New Roman;sans-serif"/>
          <w:b w:val="false"/>
          <w:i/>
          <w:color w:val="000000"/>
          <w:sz w:val="20"/>
        </w:rPr>
        <w:t>, Business Combinations</w:t>
      </w:r>
      <w:r>
        <w:rPr>
          <w:rFonts w:ascii="Times New Roman;sans-serif" w:hAnsi="Times New Roman;sans-serif"/>
          <w:b w:val="false"/>
          <w:color w:val="000000"/>
          <w:sz w:val="20"/>
        </w:rPr>
        <w:t xml:space="preserve">, which requires that the assets acquired and liabilities assumed be recorded at the date of acquisition at their respective estimated fair values. The cost to acquire businesses is allocated to the underlying net assets of the acquired business based on estimates of their respective fair values. Amounts allocated to acquired IPR&amp;D are capitalized at the date of acquisition and, at that time, such IPR&amp;D assets have indefinite lives. As products in development are approved for sale, amounts are allocated to product rights and licenses and will be amortized over their estimated useful lives. Finite-lived intangible assets are amortized over the expected life of the asset. Any excess of the purchase price over the estimated fair values of the net assets acquired is recorded as goodwill. Refer to Note 4 </w:t>
      </w:r>
      <w:r>
        <w:rPr>
          <w:rFonts w:ascii="Times New Roman;sans-serif" w:hAnsi="Times New Roman;sans-serif"/>
          <w:b w:val="false"/>
          <w:i/>
          <w:color w:val="000000"/>
          <w:sz w:val="20"/>
        </w:rPr>
        <w:t xml:space="preserve">Acquisitions and Other Transactions </w:t>
      </w:r>
      <w:r>
        <w:rPr>
          <w:rFonts w:ascii="Times New Roman;sans-serif" w:hAnsi="Times New Roman;sans-serif"/>
          <w:b w:val="false"/>
          <w:color w:val="000000"/>
          <w:sz w:val="20"/>
        </w:rPr>
        <w:t>and Note</w:t>
      </w:r>
      <w:r>
        <w:rPr>
          <w:color w:val="000000"/>
        </w:rPr>
        <w:t xml:space="preserve"> </w:t>
      </w:r>
      <w:r>
        <w:rPr>
          <w:rFonts w:ascii="Times New Roman;sans-serif" w:hAnsi="Times New Roman;sans-serif"/>
          <w:b w:val="false"/>
          <w:color w:val="000000"/>
          <w:sz w:val="20"/>
        </w:rPr>
        <w:t xml:space="preserve">8 </w:t>
      </w:r>
      <w:r>
        <w:rPr>
          <w:rFonts w:ascii="Times New Roman;sans-serif" w:hAnsi="Times New Roman;sans-serif"/>
          <w:b w:val="false"/>
          <w:i/>
          <w:color w:val="000000"/>
          <w:sz w:val="20"/>
        </w:rPr>
        <w:t xml:space="preserve">Goodwill and Intangible Assets </w:t>
      </w:r>
      <w:r>
        <w:rPr>
          <w:rFonts w:ascii="Times New Roman;sans-serif" w:hAnsi="Times New Roman;sans-serif"/>
          <w:b w:val="false"/>
          <w:color w:val="000000"/>
          <w:sz w:val="20"/>
        </w:rPr>
        <w:t>included in Part II, Item 8 of this Form 10-K</w:t>
      </w:r>
      <w:r>
        <w:rPr>
          <w:color w:val="000000"/>
          <w:shd w:fill="FFFFFF" w:val="clear"/>
        </w:rPr>
        <w:t xml:space="preserve"> </w:t>
      </w:r>
      <w:r>
        <w:rPr>
          <w:rFonts w:ascii="Times New Roman;sans-serif" w:hAnsi="Times New Roman;sans-serif"/>
          <w:b w:val="false"/>
          <w:color w:val="000000"/>
          <w:sz w:val="20"/>
          <w:shd w:fill="FFFFFF" w:val="clear"/>
        </w:rPr>
        <w:t>for additional information.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developed products and licenses that are accounted for as asset acquisitions, including milestone payments related to development compounds due upon receipt of regulatory approvals, are capitalized as intangible assets and amortized over an estimated useful life. IPR&amp;D assets acquired as part of an asset acquisition are expensed immediately if they have no alternative future uses.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judgments made in determining the estimated fair value assigned to each class of assets acquired and liabilities assumed, as well as asset lives, can materially impact our results of operations. Fair values and useful lives are determined based on, among other factors, the expected future period of benefit of the asset, the various characteristics of the asset and projected cash flows. Because this process involves management making estimates with respect to future sales volumes, pricing, new product launches, government reform actions, anticipated cost environment and overall market conditions, and because these estimates form the basis for the determination of whether or not an impairment charge should be recorded, these estimates are considered to be critical accounting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contingent consideration liabilities resulting from business acquisitions or divestitures at its estimated fair value on the acquisition or divestiture date. Each reporting period thereafter, the Company revalues these obligations and records increases or decreases in their fair value as adjustments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operating results, sales targets and profitability. These fair value measurements represent Level 3 measurements as they are based on significant inputs not observable in the market.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judgment is employed in determining the assumptions utilized as of the acquisition or divestiture date and for each subsequent measurement period. Accordingly, changes in the assumptions described above could have a material impact on the Company’s consolidated financial condition and results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FASB, we have the option to first assess the qualitative factors to determine whether it is more likely than not that the fair value of the reporting unit is less than its carrying amount as a basis for determining whether it is necessary to perform a quantitative goodwill impairment test. If we choose to use qualitative factors and determine that it is more likely than not that the fair value of a reporting unit is less than its carrying amount, then the goodwill impairment test would be required. The goodwill impairment test requires the Company to estimate the fair value of the reporting unit and to compare the fair value of the reporting unit with its carrying amount. If the carrying amount is less than its fair value, then no impairment is recognized. If the carrying amount recorded exceeds the fair value calculated, an impairment charge is recorded for the difference. The judgments made in determining the projected cash flows used to estimate the fair value can materially impact the Company’s financial condition and results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its annual goodwill impairment test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for impairment annually on April 1st or more frequently if events or changes in circumstances indicate that the carrying value of goodwill may not be recoverable. The Company performed the annual goodwill impairment test as of April 1, 2024.</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compared to the prior year’s annual goodwill impairment test completed on April 1, 2023, due to certain macroeconomic conditions, the Company has experienced fluctuations in foreign exchange rates in certain international markets, combined with an increase in market interest rates. These conditions impacted all reporting units, with the most significant impact in JANZ and Emerging Markets. The impact in the other reporting units was offset by changes in other discount rate assumptions.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2024, the allocation of the Company’s total goodwill was as follows: North America $3.12 billion, Europe $3.86 billion, Emerging Markets $1.17 billion, JANZ $0.62 billion and Greater China $0.93 billion.</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conjunction with its annual goodwill impairment test, the Company recorded a goodwill impairment charge of $321.0 million during the second quarter of 2024 related to its JANZ reporting unit, which was recorded within </w:t>
      </w:r>
      <w:r>
        <w:rPr>
          <w:rFonts w:ascii="Times New Roman;sans-serif" w:hAnsi="Times New Roman;sans-serif"/>
          <w:b w:val="false"/>
          <w:i/>
          <w:color w:val="000000"/>
          <w:sz w:val="20"/>
        </w:rPr>
        <w:t>SG&amp;A</w:t>
      </w:r>
      <w:r>
        <w:rPr>
          <w:color w:val="000000"/>
        </w:rPr>
        <w:t xml:space="preserve"> </w:t>
      </w:r>
      <w:r>
        <w:rPr>
          <w:rFonts w:ascii="Times New Roman;sans-serif" w:hAnsi="Times New Roman;sans-serif"/>
          <w:b w:val="false"/>
          <w:color w:val="000000"/>
          <w:sz w:val="20"/>
        </w:rPr>
        <w:t>in the consolidated statement of operations. The impairment charge was primarily the result of a 1.0% increase in the discount rate and a 0.5% reduction in the terminal growth rate assumption for the reporting unit.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JANZ reporting unit at April 1, 2024, the Company forecasted cash flows for the next 10 years. During the forecast period, the revenue compound annual growth rate was approximately negative 0.3%. A terminal year value was calculated with a 1.0% revenue growth rate applied. The discount rate utilized was 8.0% and the estimated tax rate was 30.3%.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goodwill impairment charge recorded in the JANZ reporting unit, the carrying value of the reporting unit was equal to its estimated fair value as of April 1, 2024. If market conditions or the projected results were to change materially, it may be necessary to record further impairment charges to the JANZ reporting unit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2024, the Company determined that the fair values of the North America, Greater China, and Emerging Markets reporting units were substantially in excess of the respective unit’s carrying value.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Europe reporting unit, the estimated fair value exceeded its carrying value by approximately $882 million or 7.9% for the annual goodwill impairment test. As it relates to the discounted cash flow approach for the Europe reporting unit at April 1, 2024, the Company forecasted cash flows for the next 10 years. During the forecast period, the revenue compound annual growth rate was approximately 2.5%. A terminal year value was calculated with a 2.0% revenue growth rate applied. The discount rate utilized was 10.0% and the estimated tax rate was 15.7%. If all other assumptions are held constant, a reduction in the terminal value growth rate by 1.5% or an increase in discount rate by 1.0% would result in an impairment charge for the Europe reporting unit.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long-lived assets, which include property, plant and equipment and intangible assets with finite lives, are evaluated periodically in relation to the expected future undiscounted cash flows of the underlying assets and monitored for other potential triggering events. We assess the recoverability of certain long-lived assets, principally finite-lived intangible assets, contained within the reporting units whenever certain impairment indicators are present. Any impairment of these assets must be considered prior to our impairment review of goodwill.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The fair value of finite-lived intangible assets was calculated as the present value of the estimated future net cash flows using a market rate of return. At December 31, 2024 and 2023, the Company’s finite-lived intangible assets totaled $16.26 billion and $18.86 billion, respectively. Changes to any of the Company’s assumptions related to the estimated fair value based on the discounted cash flows, including discount rates or the competitive environment related to the assets, could lead to future material impairment charges. Any future long-lived assets impairment charges could have a material impact on the Company’s consolidated financial condition and results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indefinite-lived intangible assets, principally IPR&amp;D acquired as part of business combinations, are tested at least annually for impairment or upon the occurrence of a triggering event. The impairment test for IPR&amp;D consists of a comparison of the asset’s fair value with its carrying value. Impairment is determined to exist when the fair value of IPR&amp;D assets, which is based upon updated forecasts and commercial development plans, is less than the carrying value of the assets being tested. For the years ended December 31, 2024 and 2022, the Company recorded $177.1 million and $0.6 million, respectively, of impairment charges, which were recorded as a component of amortization expense. There were no IPR&amp;D impairment charges in 2023. At December 31, 2024 and 2023, the Company’s IPR&amp;D assets totaled $814.2 million and $319.4 million, respectively.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fair value of both IPR&amp;D and finite-lived intangible assets was determined based upon detailed valuations employing the income approach which utilized Level 3 inputs, as defined in Note 9 </w:t>
      </w:r>
      <w:r>
        <w:rPr>
          <w:rFonts w:ascii="Times New Roman;sans-serif" w:hAnsi="Times New Roman;sans-serif"/>
          <w:b w:val="false"/>
          <w:i/>
          <w:color w:val="000000"/>
          <w:sz w:val="20"/>
        </w:rPr>
        <w:t xml:space="preserve">Financial Instruments and Risk Management </w:t>
      </w:r>
      <w:r>
        <w:rPr>
          <w:rFonts w:ascii="Times New Roman;sans-serif" w:hAnsi="Times New Roman;sans-serif"/>
          <w:b w:val="false"/>
          <w:color w:val="000000"/>
          <w:sz w:val="20"/>
        </w:rPr>
        <w:t xml:space="preserve">included in Part II, Item 8 of this Form 10-K. Changes to any of the Company’s assumptions including changes to or abandonment of development programs, regulatory timelines, discount rates or the competitive environment related to the assets could lead to future material impairment charges.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compute our income taxes based on the statutory tax rates and tax reliefs available to Viatris in the various jurisdictions in which we generate income. Significant judgment is required in determining our income taxes and in evaluating our tax positions. We establish reserves in accordance with Viatris’ policy regarding accounting for uncertainty in income taxes. Our policy provides that the tax effects from an uncertain tax position be recognized in Viatris’ financial statements, only if the position is more likely than not of being sustained upon audit, based on the technical merits of the position. We adjust these reserves in light of changing facts and circumstances, such as the settlement of a tax audit. Our provision for income taxes includes the impact of reserve provisions and changes to reserves. Favorable resolution would be recognized as a reduction to our provision for income taxes in the period of resolution or expiration of the underlying statutes of limitation. Based on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evaluation, as of December 31, 2024, our reserve for unrecognized tax benefits totaled $255.7 million, of which $182.2 million was recorded in connection with the Combination and is subject to Pfizer’s indemnification obligations to Viatris under the Tax Matters Agreement.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assesses the available positive and negative evidence to estimate if sufficient future taxable income will be generated to utilize the existing deferred tax assets. A significant piece of objective negative evidence evaluated was the cumulative loss incurred in certain taxing jurisdictions over the three-year period ended December 31, 2024. Such objective evidence limits the ability to consider other subjective evidence such as our projections for future growth.</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this evaluation and other factors, as of December 31, 2024, a valuation allowance of $1.23 billion has been recorded in order to measure only the portion of the deferred tax asset that more likely than not will be realized. The amount of the deferred tax asset considered realizable, however, could be adjusted if estimates of future taxable income during the carryforward period are reduced or if objective negative evidence in the form of cumulative losses is no longer present and additional weight may be given to subjective evidence such as projections for growth. When assessing the realizability of deferred tax assets, management considers all available evidence, including historical information, long-term forecasts of future 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 At December 31, 2024 and 2023, the Company’s net deferred tax assets totaled $753.0 million and $692.9 million, respectively.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variance of 5% between estimated reserves and valuation allowances and actual resolution and realization of these tax items would have an effect on our reserve balance and valuation allowance of approximately $74.5 million.</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Matters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is involved in various legal proceedings, some of which involve claims for substantial amounts. An estimate is made to accrue for a loss contingency relating to any of these legal proceedings if it is probable that a liability was incurred as of the date of the financial statements and the amount of loss can be reasonably estimated. Because of the subjective nature inherent in assessing the outcome of litigation and because of the potential that an adverse outcome in a legal proceeding could have a material adverse effect on our business, financial condition, results of operations, cash flows, ability to pay dividends or repurchase shares, and/or stock price, such estimates are considered to be critical accounting estimates.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A variance of 5% between estimated and recorded litigation reserves and actual resolution of certain legal matters would have an effect on our litigation reserve balance of approximately $19.2 million. Refer to Note 19 </w:t>
      </w:r>
      <w:r>
        <w:rPr>
          <w:rFonts w:ascii="Times New Roman;sans-serif" w:hAnsi="Times New Roman;sans-serif"/>
          <w:b w:val="false"/>
          <w:i/>
          <w:color w:val="000000"/>
          <w:sz w:val="20"/>
        </w:rPr>
        <w:t xml:space="preserve">Litigation </w:t>
      </w:r>
      <w:r>
        <w:rPr>
          <w:rFonts w:ascii="Times New Roman;sans-serif" w:hAnsi="Times New Roman;sans-serif"/>
          <w:b w:val="false"/>
          <w:color w:val="000000"/>
          <w:sz w:val="20"/>
        </w:rPr>
        <w:t>included in Part II, Item 8 of this Form 10-K</w:t>
      </w:r>
      <w:r>
        <w:rPr>
          <w:color w:val="000000"/>
          <w:shd w:fill="FFFFFF" w:val="clear"/>
        </w:rPr>
        <w:t xml:space="preserve"> </w:t>
      </w:r>
      <w:r>
        <w:rPr>
          <w:rFonts w:ascii="Times New Roman;sans-serif" w:hAnsi="Times New Roman;sans-serif"/>
          <w:b w:val="false"/>
          <w:color w:val="000000"/>
          <w:sz w:val="20"/>
          <w:shd w:fill="FFFFFF" w:val="clear"/>
        </w:rPr>
        <w:t>for further discussion of litigation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Impact of Currency Fluctuations and Inflation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our results are reported in U.S. Dollars, changes in the rate of exchange between the U.S. Dollar and the local currencies in the markets in which we operate, mainly the Euro, Indian Rupee, Chinese Renminbi, Japanese Yen, Australian Dollar, Canadian Dollar, Pound Sterling and South Korean Won affect our results as previously noted. In recent years, the global economy has been impacted by high levels of inflation and rising energy costs, which has resulted in significant economic volatility. As a result, central banks have tightened their monetary policies and increased interest rates. While inflationary and other macroeconomic pressures may ease and interest rates may decline, we do not expect to see a corresponding reduction in these higher costs. These macroeconomic pressures combined with the volatility in foreign exchange rates, including the strengthening of the U.S. dollar versus certain of the other currencies in which we operate, have impacted and may continue to negatively impact our results of operations. We proactively look to manage such macroeconomic pressures by implementing strategies to mitigate and partially offset the impact of these factors.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Refer to Note 2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included in Part II, Item 8 of this Form 10-K for recently adopted accounting pronouncements and recently issued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7A.Quantitative and Qualitative Disclosures About Market Risk</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Risk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and earnings are exposed to changes in foreign currency exchange rates. We seek to manage this foreign exchange risk in part through operational means, including managing same currency revenues in relation to same currency costs and same currency assets in relation to same currency liabilities.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foreign exchange risk is managed through the use of foreign currency forward-exchange contracts. These contracts are used to offset the potential earnings effects from mostly intercompany foreign currency assets and liabilities that arise from operations and from intercompany loans. Any unhedged foreign exchange exposures continue to be subject to market fluctuations.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 holdings at year end were analyzed to determine their sensitivity to foreign exchange rate changes. The fair values of these instruments were determined as follows: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foreign currency forward-exchange contracts — net present values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foreign currency denominated receivables, payables, debt and loans — changes in exchange rates.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this sensitivity analysis, we assumed that the change in one currency’s rate relative to the U.S. Dollar would not have an effect on other currencies’ rates relative to the U.S. Dollar. All other factors were held constant.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there were an adverse change in foreign currency exchange rates of 10%, the expected net effect on net income related to Viatris’ foreign currency denominated financial instruments would not be material.</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also exposed to translation risk on non-U.S. dollar-denominated net assets. Non-U.S. dollar borrowings, principally our Euro and Yen denominated long-term debt, are used to hedge the foreign currency exposures of our net investment in certain foreign affiliates and are designated as hedges of net investments. The foreign exchange gains or losses on these hedges is included in the foreign currency translation component of accumulated other comprehensive income (loss). If our net investment decreases below the equivalent value of the non-U.S. debt borrowings, the change in the remeasurement basis of the debt would be subject to recognition in net income as changes occur.</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and Long-Term Debt Risk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exposure to interest rate risk arises primarily from our U.S. Dollar and Euro borrowings and U.S. Dollar investments. We invest primarily on a variable-rate basis and we borrow on both a fixed and variable basis. In order to maintain a certain ratio of fixed to variable rate debt, from time to time, depending on market conditions, Viatris will use derivative financial instruments such as interest rate swaps to fix interest rates on variable-rate borrowings or to convert fixed-rate borrowings to variable interest rates.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Viatris’ outstanding fixed rate borrowings consist principally of $13.33 billion notional amount of senior U.S. dollar and Euro notes. Generally, the fair value of fixed interest rate debt will decrease as interest rates rise and increase as interest rates fall. As of December 31, 2024, the fair value of our outstanding fixed rate senior U.S. dollar and Euro notes was approximately $11.53 billion. As of December 31, 2024, Viatris’ outstanding variable rate borrowings consist principally of borrowings under the Yen Term Loan Facility of $254.4 million. A 100 basis point change in interest rates on Viatris’ variable rate debt would result in a change in interest expense of approximately $2.6 million per year.</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Risk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fair value risk exposure relates primarily to our equity investments that do not have readily determinable fair values, principally the CCPS received as part of the Biocon Biologics Transaction. As of December 31, 2024 and 2023, the carrying value of these investments were approximately $1.35 billion and $1.14 billion, respectively. A hypothetical 20 percent decline in the fair value of these investments would have decreased the carrying value and increased other expense (income), net by approximately $270.0 million at December 31, 2024.</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8.Financial Statements And Supplementary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 and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Supplementary Financial Information</w:t>
      </w:r>
    </w:p>
    <w:tbl>
      <w:tblPr>
        <w:tblW w:w="10125" w:type="dxa"/>
        <w:jc w:val="left"/>
        <w:tblInd w:w="0" w:type="dxa"/>
        <w:tblLayout w:type="fixed"/>
        <w:tblCellMar>
          <w:top w:w="28" w:type="dxa"/>
          <w:left w:w="28" w:type="dxa"/>
          <w:bottom w:w="28" w:type="dxa"/>
          <w:right w:w="28" w:type="dxa"/>
        </w:tblCellMar>
      </w:tblPr>
      <w:tblGrid>
        <w:gridCol w:w="3458"/>
        <w:gridCol w:w="3045"/>
        <w:gridCol w:w="3051"/>
        <w:gridCol w:w="167"/>
        <w:gridCol w:w="167"/>
        <w:gridCol w:w="237"/>
      </w:tblGrid>
      <w:tr>
        <w:trPr/>
        <w:tc>
          <w:tcPr>
            <w:tcW w:w="3458"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124">
              <w:r>
                <w:rPr>
                  <w:rStyle w:val="InternetLink"/>
                  <w:rFonts w:ascii="Times New Roman;sans-serif" w:hAnsi="Times New Roman;sans-serif"/>
                  <w:b w:val="false"/>
                  <w:color w:val="0000FF"/>
                  <w:sz w:val="20"/>
                  <w:u w:val="single"/>
                </w:rPr>
                <w:t>Management’s Report on Internal Control over Financial Reporting</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124">
              <w:r>
                <w:rPr>
                  <w:rStyle w:val="InternetLink"/>
                  <w:rFonts w:ascii="Times New Roman;sans-serif" w:hAnsi="Times New Roman;sans-serif"/>
                  <w:b w:val="false"/>
                  <w:color w:val="0000FF"/>
                  <w:sz w:val="20"/>
                  <w:u w:val="single"/>
                </w:rPr>
                <w:t>78</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127">
              <w:r>
                <w:rPr>
                  <w:rStyle w:val="InternetLink"/>
                  <w:rFonts w:ascii="Times New Roman;sans-serif" w:hAnsi="Times New Roman;sans-serif"/>
                  <w:b w:val="false"/>
                  <w:color w:val="0000FF"/>
                  <w:sz w:val="20"/>
                  <w:u w:val="single"/>
                </w:rPr>
                <w:t xml:space="preserve">Reports of Independent Registered Public Accounting Firm </w:t>
              </w:r>
            </w:hyperlink>
            <w:r>
              <w:rPr>
                <w:rFonts w:ascii="Times New Roman;sans-serif" w:hAnsi="Times New Roman;sans-serif"/>
                <w:b w:val="false"/>
                <w:color w:val="000000"/>
                <w:sz w:val="20"/>
              </w:rPr>
              <w:t>(PCAOB ID No. 34)</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127">
              <w:r>
                <w:rPr>
                  <w:rStyle w:val="InternetLink"/>
                  <w:rFonts w:ascii="Times New Roman;sans-serif" w:hAnsi="Times New Roman;sans-serif"/>
                  <w:b w:val="false"/>
                  <w:color w:val="0000FF"/>
                  <w:sz w:val="20"/>
                  <w:u w:val="single"/>
                </w:rPr>
                <w:t>79</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133">
              <w:r>
                <w:rPr>
                  <w:rStyle w:val="InternetLink"/>
                  <w:rFonts w:ascii="Times New Roman;sans-serif" w:hAnsi="Times New Roman;sans-serif"/>
                  <w:b w:val="false"/>
                  <w:color w:val="0000FF"/>
                  <w:sz w:val="20"/>
                  <w:u w:val="single"/>
                </w:rPr>
                <w:t>Consolidated Balance Sheets as of December 31, 2024 and 2023</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133">
              <w:r>
                <w:rPr>
                  <w:rStyle w:val="InternetLink"/>
                  <w:rFonts w:ascii="Times New Roman;sans-serif" w:hAnsi="Times New Roman;sans-serif"/>
                  <w:b w:val="false"/>
                  <w:color w:val="0000FF"/>
                  <w:sz w:val="20"/>
                  <w:u w:val="single"/>
                </w:rPr>
                <w:t>83</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139">
              <w:r>
                <w:rPr>
                  <w:rStyle w:val="InternetLink"/>
                  <w:rFonts w:ascii="Times New Roman;sans-serif" w:hAnsi="Times New Roman;sans-serif"/>
                  <w:b w:val="false"/>
                  <w:color w:val="0000FF"/>
                  <w:sz w:val="20"/>
                  <w:u w:val="single"/>
                </w:rPr>
                <w:t>Consolidated Statements of Operations for the Years Ended December 31, 2024, 2023 and 2022</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139">
              <w:r>
                <w:rPr>
                  <w:rStyle w:val="InternetLink"/>
                  <w:rFonts w:ascii="Times New Roman;sans-serif" w:hAnsi="Times New Roman;sans-serif"/>
                  <w:b w:val="false"/>
                  <w:color w:val="0000FF"/>
                  <w:sz w:val="20"/>
                  <w:u w:val="single"/>
                </w:rPr>
                <w:t>84</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142">
              <w:r>
                <w:rPr>
                  <w:rStyle w:val="InternetLink"/>
                  <w:rFonts w:ascii="Times New Roman;sans-serif" w:hAnsi="Times New Roman;sans-serif"/>
                  <w:b w:val="false"/>
                  <w:color w:val="000080"/>
                  <w:sz w:val="20"/>
                  <w:u w:val="single"/>
                </w:rPr>
                <w:t>Consolidated Statements of Comprehensive</w:t>
              </w:r>
            </w:hyperlink>
            <w:hyperlink w:anchor="i294e6e3112ae4c32a7f27a2ec714b350_142">
              <w:r>
                <w:rPr>
                  <w:rStyle w:val="InternetLink"/>
                  <w:rFonts w:ascii="Times New Roman;sans-serif" w:hAnsi="Times New Roman;sans-serif"/>
                  <w:b w:val="false"/>
                  <w:color w:val="000080"/>
                  <w:sz w:val="20"/>
                  <w:u w:val="single"/>
                </w:rPr>
                <w:t xml:space="preserve"> (Loss)</w:t>
              </w:r>
            </w:hyperlink>
            <w:hyperlink w:anchor="i294e6e3112ae4c32a7f27a2ec714b350_142">
              <w:r>
                <w:rPr>
                  <w:rStyle w:val="InternetLink"/>
                  <w:rFonts w:ascii="Times New Roman;sans-serif" w:hAnsi="Times New Roman;sans-serif"/>
                  <w:b w:val="false"/>
                  <w:color w:val="000080"/>
                  <w:sz w:val="20"/>
                  <w:u w:val="single"/>
                </w:rPr>
                <w:t xml:space="preserve"> Earnings</w:t>
              </w:r>
            </w:hyperlink>
            <w:hyperlink w:anchor="i294e6e3112ae4c32a7f27a2ec714b350_142">
              <w:r>
                <w:rPr>
                  <w:rStyle w:val="InternetLink"/>
                  <w:rFonts w:ascii="Times New Roman;sans-serif" w:hAnsi="Times New Roman;sans-serif"/>
                  <w:b w:val="false"/>
                  <w:color w:val="000080"/>
                  <w:sz w:val="20"/>
                  <w:u w:val="single"/>
                </w:rPr>
                <w:t xml:space="preserve"> for the Years Ended December 31, 2024, 2023 and 2022</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142">
              <w:r>
                <w:rPr>
                  <w:rStyle w:val="InternetLink"/>
                  <w:rFonts w:ascii="Times New Roman;sans-serif" w:hAnsi="Times New Roman;sans-serif"/>
                  <w:b w:val="false"/>
                  <w:color w:val="0000FF"/>
                  <w:sz w:val="20"/>
                  <w:u w:val="single"/>
                </w:rPr>
                <w:t>85</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94e6e3112ae4c32a7f27a2ec714b350_145">
              <w:r>
                <w:rPr>
                  <w:rStyle w:val="InternetLink"/>
                  <w:rFonts w:ascii="Times New Roman;sans-serif" w:hAnsi="Times New Roman;sans-serif"/>
                  <w:b w:val="false"/>
                  <w:color w:val="0000FF"/>
                  <w:sz w:val="20"/>
                  <w:u w:val="single"/>
                </w:rPr>
                <w:t>Consolidated Statements of Equity for the Years Ended December 31, 2024, 2023 and 2022</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145">
              <w:r>
                <w:rPr>
                  <w:rStyle w:val="InternetLink"/>
                  <w:rFonts w:ascii="Times New Roman;sans-serif" w:hAnsi="Times New Roman;sans-serif"/>
                  <w:b w:val="false"/>
                  <w:color w:val="0000FF"/>
                  <w:sz w:val="20"/>
                  <w:u w:val="single"/>
                </w:rPr>
                <w:t>86</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148">
              <w:r>
                <w:rPr>
                  <w:rStyle w:val="InternetLink"/>
                  <w:rFonts w:ascii="Times New Roman;sans-serif" w:hAnsi="Times New Roman;sans-serif"/>
                  <w:b w:val="false"/>
                  <w:color w:val="0000FF"/>
                  <w:sz w:val="20"/>
                  <w:u w:val="single"/>
                </w:rPr>
                <w:t>Consolidated Statements of Cash Flows for the Years Ended December 31, 2024, 2023 and 2022</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148">
              <w:r>
                <w:rPr>
                  <w:rStyle w:val="InternetLink"/>
                  <w:rFonts w:ascii="Times New Roman;sans-serif" w:hAnsi="Times New Roman;sans-serif"/>
                  <w:b w:val="false"/>
                  <w:color w:val="0000FF"/>
                  <w:sz w:val="20"/>
                  <w:u w:val="single"/>
                </w:rPr>
                <w:t>87</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e6e3112ae4c32a7f27a2ec714b350_151">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e6e3112ae4c32a7f27a2ec714b350_151">
              <w:r>
                <w:rPr>
                  <w:rStyle w:val="InternetLink"/>
                  <w:rFonts w:ascii="Times New Roman;sans-serif" w:hAnsi="Times New Roman;sans-serif"/>
                  <w:b w:val="false"/>
                  <w:color w:val="0000FF"/>
                  <w:sz w:val="20"/>
                  <w:u w:val="single"/>
                </w:rPr>
                <w:t>88</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Management of Viatris Inc.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In order to evaluate the effectiveness of internal control over financial reporting, management has conducted an assessment, including testing, using the criteria in</w:t>
      </w:r>
      <w:r>
        <w:rPr>
          <w:color w:val="000000"/>
        </w:rPr>
        <w:t xml:space="preserve">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2013)</w:t>
      </w:r>
      <w:r>
        <w:rPr>
          <w:rFonts w:ascii="Times New Roman;sans-serif" w:hAnsi="Times New Roman;sans-serif"/>
          <w:b w:val="false"/>
          <w:color w:val="000000"/>
          <w:sz w:val="20"/>
        </w:rPr>
        <w:t>, issued by COSO.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As a result of this assessment, management has concluded that the Company maintained effective internal control over financial reporting as of December 31, 2024 based on the criteria in</w:t>
      </w:r>
      <w:r>
        <w:rPr>
          <w:color w:val="000000"/>
        </w:rPr>
        <w:t xml:space="preserve">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Deloitte &amp; Touche LLP (PCAOB ID No. 34), has audited the effectiveness of the Company’s internal control over financial reporting. Deloitte &amp; Touche LLP’s opinion on the Company’s internal control over financial reporting appears on page 82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Viatris Inc.:</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Viatris Inc. and subsidiaries (the "Company") as of December 31, 2024 and 2023, the related consolidated statements of operations, comprehensive (loss) earnings, equity, and cash flows, for each of the three years in the period ended December 31, 2024, and the related notes and the schedule listed in the Index at Item 15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issued by the Committee of Sponsoring Organizations of the Treadway Commission and our report dated February 27, 2025, expressed an unqualified opinion on the Company's internal control over financial reporting.</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Goodwill – Viatris Inc. Europe and JANZ Reporting Units – Refer to Note 8 to the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an annual goodwill impairment test as of April 1, 2024. As of April 1, 2024, the Company had approximately $9.7 billion of consolidated goodwill, $3.86 billion and $0.62 billion of which was allocated to its Europe and JANZ reporting units, respectively. The Company’s evaluation of goodwill for impairment involves the comparison of the estimated fair value of each reporting unit to its carrying value. The Company performed its valuation analysis, using an income-based approach, to determine the fair value of its Europe and JANZ reporting units. The determination of the fair value requires management to make significant estimates and assumptions that affect the reporting unit’s expected future cash flows. These estimates and assumptions, utilizing Level 3 valuation inputs, primarily include, but are not limited to, discount rates, terminal growth rates, operating income before depreciation and amortization, and capital expenditures forecasts. The fair value of the Europe reporting unit exceeded its carrying value by approximately $0.88 billion, or 7.9% as of April 1, 2024. The Company recorded a goodwill impairment charge of $321.0 million during the second quarter related to the JANZ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 The impairment charge was primarily the result of a 1.0% increase in the discount rate and a 0.5% reduction in the terminal growth rate assumption for the reporting unit.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Given that the Europe and JANZ reporting unit’s revenues are sensitive to changes in consumer demand, the approval of new product launches, the expansion of existing products into new jurisdictions (which have differentiated distribution and commercialization models throughout the regions), and the impact of business development activity, auditing management’s judgments regarding forecasts of future revenues, and the selection of the discount rates and terminal growth rates required a high degree of auditor judgment and an increased extent of effort, including the need to involve our fair value specialists.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before="0" w:after="0"/>
        <w:jc w:val="left"/>
        <w:rPr/>
      </w:pPr>
      <w:r>
        <w:rPr/>
      </w:r>
    </w:p>
    <w:p>
      <w:pPr>
        <w:pStyle w:val="TextBody"/>
        <w:bidi w:val="0"/>
        <w:spacing w:lineRule="auto" w:line="28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forecasts of future revenues (“forecasts”), and the selection of the discount rates and terminal growth rates for the Europe and the JANZ reporting units included the following procedures, among others: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We tested the effectiveness of controls over the review of the goodwill impairment tests, including those over the development of the business forecasts of future revenues and the selection of the discount rates and terminal growth rates.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evaluated management’s ability to accurately forecast future revenues of the Europe and JANZ reporting units by comparing actual results to management’s historical forecasts.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evaluated the reasonableness of management’s revenue forecasts by comparing the projections to (1) historical results, (2) internal communications to management and the Board of Directors, and (3) forecasted information included in Company press releases. We also considered third party reports related to macroeconomic and industry trends and made inquiries of management, including various regional commercial and operations leaders to assess key inputs in the forecast assumptions.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With the assistance of our fair value specialists, we evaluated the reasonableness of the valuation methodology, discount rates, and terminal growth rates, including (1) testing the source information underlying the determination of the discount rates and terminal growth rates and the mathematical accuracy of the calculations, (2) developing a range of independent estimates and comparing those to the discount rates selected by management, and (3) considering third party macroeconomic reports.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Net Revenue Provisions – Sales Returns Accrual at MPI – Refer to Note 3 to the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Critical Audit Matter Description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customers with the ability to return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The returns reserve at Mylan Pharmaceuticals Inc. (MPI) represents a significant component of the global sales returns reserve as of December 31,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Estimating the amounts to be accrued for returns requires significant estimation as management’s model utilizes historical experience with actual returns and considers levels of inventory in the distribution channel, product dating and expiration period, size and maturity of the market prior to a product launch, entrance into the market of additional competitors, and changes in the regulatory environment. Given the volume of sales returns and the level of estimation uncertainty involved, auditing management’s judgments required a high degree of auditor judgment and an increased extent of effort.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before="0" w:after="0"/>
        <w:jc w:val="left"/>
        <w:rPr/>
      </w:pPr>
      <w:r>
        <w:rPr/>
      </w:r>
    </w:p>
    <w:p>
      <w:pPr>
        <w:pStyle w:val="TextBody"/>
        <w:bidi w:val="0"/>
        <w:spacing w:lineRule="auto" w:line="19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Net Revenue Provisions – Sales Returns Accrual at MPI included the following, among others: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evaluated the Company’s methodology and assumptions in developing their sales returns accrual model, including assessing the completeness and accuracy of the underlying data used by management in their estimates.</w:t>
      </w:r>
    </w:p>
    <w:p>
      <w:pPr>
        <w:pStyle w:val="TextBody"/>
        <w:bidi w:val="0"/>
        <w:spacing w:before="0" w:after="0"/>
        <w:jc w:val="left"/>
        <w:rPr/>
      </w:pPr>
      <w:r>
        <w:rPr/>
      </w:r>
    </w:p>
    <w:p>
      <w:pPr>
        <w:pStyle w:val="TextBody"/>
        <w:bidi w:val="0"/>
        <w:spacing w:lineRule="auto" w:line="199" w:before="0" w:after="0"/>
        <w:ind w:left="0" w:right="0" w:hanging="360"/>
        <w:jc w:val="left"/>
        <w:rPr/>
      </w:pPr>
      <w:r>
        <w:rPr>
          <w:color w:val="000000"/>
        </w:rPr>
        <w:t>•</w:t>
      </w:r>
      <w:r>
        <w:rPr>
          <w:rFonts w:ascii="Times New Roman;sans-serif" w:hAnsi="Times New Roman;sans-serif"/>
          <w:b w:val="false"/>
          <w:color w:val="000000"/>
          <w:sz w:val="20"/>
        </w:rPr>
        <w:t>We tested the effectiveness of controls over the calculation of the sales returns reserve at MPI.</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We compared prior period sales returns accruals to sales returns credits subsequently issued to evaluate management’s ability to accurately forecast sales returns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developed independent expectations of product-level sales returns accruals and sales returns accruals in the aggregate using the following: 1) historical sales and returns activity, 2) remaining shelf life information, 3) finished goods inventory on-hand at the end of the period, and 4) adjustments for known or anticipated sales return activity based on market dynamics (market prior to Viatris launch, impact of competition, and overall regulatory environment) and compared those to the recorded amounts.</w:t>
      </w:r>
    </w:p>
    <w:p>
      <w:pPr>
        <w:pStyle w:val="TextBody"/>
        <w:bidi w:val="0"/>
        <w:spacing w:before="0" w:after="0"/>
        <w:ind w:left="0" w:right="0" w:firstLine="101"/>
        <w:jc w:val="left"/>
        <w:rPr/>
      </w:pPr>
      <w:r>
        <w:rPr/>
      </w:r>
    </w:p>
    <w:p>
      <w:pPr>
        <w:pStyle w:val="TextBody"/>
        <w:bidi w:val="0"/>
        <w:spacing w:before="0" w:after="0"/>
        <w:ind w:left="0" w:right="0" w:firstLine="101"/>
        <w:jc w:val="left"/>
        <w:rPr/>
      </w:pPr>
      <w:r>
        <w:rPr/>
      </w:r>
    </w:p>
    <w:p>
      <w:pPr>
        <w:pStyle w:val="TextBody"/>
        <w:bidi w:val="0"/>
        <w:spacing w:lineRule="auto" w:line="276" w:before="0" w:after="0"/>
        <w:ind w:left="0" w:right="0" w:firstLine="101"/>
        <w:jc w:val="left"/>
        <w:rPr>
          <w:rFonts w:ascii="Times New Roman;sans-serif" w:hAnsi="Times New Roman;sans-serif"/>
          <w:b/>
          <w:i/>
          <w:color w:val="000000"/>
          <w:sz w:val="20"/>
        </w:rPr>
      </w:pPr>
      <w:r>
        <w:rPr>
          <w:rFonts w:ascii="Times New Roman;sans-serif" w:hAnsi="Times New Roman;sans-serif"/>
          <w:b/>
          <w:i/>
          <w:color w:val="000000"/>
          <w:sz w:val="20"/>
        </w:rPr>
        <w:t>/s/ DELOITTE &amp; TOUCHE LLP</w:t>
      </w:r>
    </w:p>
    <w:p>
      <w:pPr>
        <w:pStyle w:val="TextBody"/>
        <w:bidi w:val="0"/>
        <w:spacing w:lineRule="auto" w:line="360" w:before="0" w:after="0"/>
        <w:ind w:left="0" w:right="0" w:firstLine="101"/>
        <w:jc w:val="left"/>
        <w:rPr>
          <w:rFonts w:ascii="Times New Roman;sans-serif" w:hAnsi="Times New Roman;sans-serif"/>
          <w:b w:val="false"/>
          <w:color w:val="000000"/>
          <w:sz w:val="20"/>
        </w:rPr>
      </w:pPr>
      <w:r>
        <w:rPr>
          <w:rFonts w:ascii="Times New Roman;sans-serif" w:hAnsi="Times New Roman;sans-serif"/>
          <w:b w:val="false"/>
          <w:color w:val="000000"/>
          <w:sz w:val="20"/>
        </w:rPr>
        <w:t>Pittsburgh, Pennsylvania</w:t>
      </w:r>
    </w:p>
    <w:p>
      <w:pPr>
        <w:pStyle w:val="TextBody"/>
        <w:bidi w:val="0"/>
        <w:spacing w:lineRule="auto" w:line="720" w:before="0" w:after="0"/>
        <w:ind w:left="0" w:right="0" w:firstLine="101"/>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spacing w:lineRule="auto" w:line="720" w:before="0" w:after="0"/>
        <w:ind w:left="0" w:right="0" w:firstLine="10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1976.</w:t>
      </w:r>
    </w:p>
    <w:p>
      <w:pPr>
        <w:pStyle w:val="TextBody"/>
        <w:bidi w:val="0"/>
        <w:spacing w:before="0" w:after="24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To the shareholders and the Board of Directors of Viatris Inc.: </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0" w:after="0"/>
        <w:jc w:val="left"/>
        <w:rPr/>
      </w:pPr>
      <w:r>
        <w:rPr>
          <w:rFonts w:ascii="Times New Roman;sans-serif" w:hAnsi="Times New Roman;sans-serif"/>
          <w:b w:val="false"/>
          <w:color w:val="000000"/>
          <w:sz w:val="20"/>
        </w:rPr>
        <w:t xml:space="preserve">We have audited the internal control over financial reporting of Viatris, Inc. and subsidiaries (the “Company”)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2024, of the Company and our report dated February 27, 2025, expressed an unqualified opinion on those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/s/ DELOITTE &amp; TOUCHE LLP</w:t>
      </w:r>
    </w:p>
    <w:p>
      <w:pPr>
        <w:pStyle w:val="TextBody"/>
        <w:bidi w:val="0"/>
        <w:spacing w:lineRule="auto" w:line="360" w:before="0" w:after="0"/>
        <w:ind w:left="0" w:right="0" w:firstLine="10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Pittsburgh, Pennsylvania </w:t>
      </w:r>
    </w:p>
    <w:p>
      <w:pPr>
        <w:pStyle w:val="TextBody"/>
        <w:bidi w:val="0"/>
        <w:spacing w:lineRule="auto" w:line="360" w:before="0" w:after="0"/>
        <w:ind w:left="0" w:right="0" w:firstLine="101"/>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and per share amounts)</w:t>
      </w:r>
    </w:p>
    <w:tbl>
      <w:tblPr>
        <w:tblW w:w="10205" w:type="dxa"/>
        <w:jc w:val="left"/>
        <w:tblInd w:w="0" w:type="dxa"/>
        <w:tblLayout w:type="fixed"/>
        <w:tblCellMar>
          <w:top w:w="28" w:type="dxa"/>
          <w:left w:w="28" w:type="dxa"/>
          <w:bottom w:w="28" w:type="dxa"/>
          <w:right w:w="28" w:type="dxa"/>
        </w:tblCellMar>
      </w:tblPr>
      <w:tblGrid>
        <w:gridCol w:w="2827"/>
        <w:gridCol w:w="2323"/>
        <w:gridCol w:w="2300"/>
        <w:gridCol w:w="211"/>
        <w:gridCol w:w="871"/>
        <w:gridCol w:w="109"/>
        <w:gridCol w:w="109"/>
        <w:gridCol w:w="109"/>
        <w:gridCol w:w="109"/>
        <w:gridCol w:w="211"/>
        <w:gridCol w:w="871"/>
        <w:gridCol w:w="155"/>
      </w:tblGrid>
      <w:tr>
        <w:trPr/>
        <w:tc>
          <w:tcPr>
            <w:tcW w:w="2827"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 and other long-term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shareholders’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3,000,000,000 shares authorized; shares issued: 1,234,131,491 as of December 31, 2024 and 1,221,994,491 as of December 31, 2023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 — at cost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shares: 40,483,663 as of December 31, 2024 and 21,239,521 as of December 31, 2023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47,685.5 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3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2580"/>
                <wp:effectExtent l="0" t="0" r="0" b="0"/>
                <wp:wrapNone/>
                <wp:docPr id="88" name="Frame8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amounts)</w:t>
      </w:r>
    </w:p>
    <w:tbl>
      <w:tblPr>
        <w:tblW w:w="9582" w:type="dxa"/>
        <w:jc w:val="left"/>
        <w:tblInd w:w="0" w:type="dxa"/>
        <w:tblLayout w:type="fixed"/>
        <w:tblCellMar>
          <w:top w:w="28" w:type="dxa"/>
          <w:left w:w="28" w:type="dxa"/>
          <w:bottom w:w="28" w:type="dxa"/>
          <w:right w:w="28" w:type="dxa"/>
        </w:tblCellMar>
      </w:tblPr>
      <w:tblGrid>
        <w:gridCol w:w="1924"/>
        <w:gridCol w:w="1688"/>
        <w:gridCol w:w="1698"/>
        <w:gridCol w:w="211"/>
        <w:gridCol w:w="871"/>
        <w:gridCol w:w="109"/>
        <w:gridCol w:w="109"/>
        <w:gridCol w:w="109"/>
        <w:gridCol w:w="109"/>
        <w:gridCol w:w="211"/>
        <w:gridCol w:w="871"/>
        <w:gridCol w:w="109"/>
        <w:gridCol w:w="109"/>
        <w:gridCol w:w="109"/>
        <w:gridCol w:w="109"/>
        <w:gridCol w:w="211"/>
        <w:gridCol w:w="871"/>
        <w:gridCol w:w="154"/>
      </w:tblGrid>
      <w:tr>
        <w:trPr/>
        <w:tc>
          <w:tcPr>
            <w:tcW w:w="1924"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earnings before income taxes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earnings per share attributable to Viatris Inc. shareholders</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2580"/>
                <wp:effectExtent l="0" t="0" r="0" b="0"/>
                <wp:wrapNone/>
                <wp:docPr id="89" name="Frame8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 Earnings</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361"/>
        <w:gridCol w:w="2054"/>
        <w:gridCol w:w="2020"/>
        <w:gridCol w:w="211"/>
        <w:gridCol w:w="831"/>
        <w:gridCol w:w="109"/>
        <w:gridCol w:w="109"/>
        <w:gridCol w:w="109"/>
        <w:gridCol w:w="109"/>
        <w:gridCol w:w="211"/>
        <w:gridCol w:w="511"/>
        <w:gridCol w:w="109"/>
        <w:gridCol w:w="109"/>
        <w:gridCol w:w="109"/>
        <w:gridCol w:w="109"/>
        <w:gridCol w:w="211"/>
        <w:gridCol w:w="766"/>
        <w:gridCol w:w="157"/>
      </w:tblGrid>
      <w:tr>
        <w:trPr/>
        <w:tc>
          <w:tcPr>
            <w:tcW w:w="2361"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earnings, before tax:</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unrecognized (loss) gain and prior service cost related to defined benefit plans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(loss) on derivatives in cash flow hedging relationships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(loss) on derivatives in net investment hedging relationships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gain on available-for-sale fixed income securities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 (benefit) </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earnings, net of tax</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2580"/>
                <wp:effectExtent l="0" t="0" r="0" b="0"/>
                <wp:wrapNone/>
                <wp:docPr id="90" name="Frame8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amounts)</w:t>
      </w:r>
    </w:p>
    <w:tbl>
      <w:tblPr>
        <w:tblW w:w="13287" w:type="dxa"/>
        <w:jc w:val="center"/>
        <w:tblInd w:w="0" w:type="dxa"/>
        <w:tblLayout w:type="fixed"/>
        <w:tblCellMar>
          <w:top w:w="28" w:type="dxa"/>
          <w:left w:w="28" w:type="dxa"/>
          <w:bottom w:w="28" w:type="dxa"/>
          <w:right w:w="28" w:type="dxa"/>
        </w:tblCellMar>
      </w:tblPr>
      <w:tblGrid>
        <w:gridCol w:w="757"/>
        <w:gridCol w:w="296"/>
        <w:gridCol w:w="298"/>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766"/>
        <w:gridCol w:w="109"/>
        <w:gridCol w:w="109"/>
        <w:gridCol w:w="109"/>
        <w:gridCol w:w="109"/>
        <w:gridCol w:w="540"/>
        <w:gridCol w:w="541"/>
        <w:gridCol w:w="196"/>
        <w:gridCol w:w="109"/>
        <w:gridCol w:w="109"/>
        <w:gridCol w:w="109"/>
        <w:gridCol w:w="211"/>
        <w:gridCol w:w="631"/>
        <w:gridCol w:w="109"/>
        <w:gridCol w:w="109"/>
        <w:gridCol w:w="109"/>
        <w:gridCol w:w="109"/>
        <w:gridCol w:w="233"/>
        <w:gridCol w:w="862"/>
        <w:gridCol w:w="121"/>
        <w:gridCol w:w="109"/>
        <w:gridCol w:w="109"/>
        <w:gridCol w:w="109"/>
        <w:gridCol w:w="109"/>
        <w:gridCol w:w="109"/>
        <w:gridCol w:w="211"/>
        <w:gridCol w:w="871"/>
        <w:gridCol w:w="109"/>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1,209,507,463 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stock,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3,972,427 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$0.48 per common share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1,213,793,231 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net of tax</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stock and stock options exercised,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7,892,041 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21,239,521 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the net share settlement of equity awards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$0.48 per common share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1,221,994,491 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21,239,521 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11,918,687 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19,244,142 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the net share settlement of equity awards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$0.48 per common share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1,234,131,491 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40,483,663 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(3,212.9)</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2580"/>
                <wp:effectExtent l="0" t="0" r="0" b="0"/>
                <wp:wrapNone/>
                <wp:docPr id="91" name="Frame8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9384" w:type="dxa"/>
        <w:jc w:val="center"/>
        <w:tblInd w:w="0" w:type="dxa"/>
        <w:tblLayout w:type="fixed"/>
        <w:tblCellMar>
          <w:top w:w="28" w:type="dxa"/>
          <w:left w:w="28" w:type="dxa"/>
          <w:bottom w:w="28" w:type="dxa"/>
          <w:right w:w="28" w:type="dxa"/>
        </w:tblCellMar>
      </w:tblPr>
      <w:tblGrid>
        <w:gridCol w:w="2130"/>
        <w:gridCol w:w="1867"/>
        <w:gridCol w:w="1882"/>
        <w:gridCol w:w="196"/>
        <w:gridCol w:w="631"/>
        <w:gridCol w:w="109"/>
        <w:gridCol w:w="109"/>
        <w:gridCol w:w="109"/>
        <w:gridCol w:w="109"/>
        <w:gridCol w:w="199"/>
        <w:gridCol w:w="566"/>
        <w:gridCol w:w="109"/>
        <w:gridCol w:w="109"/>
        <w:gridCol w:w="109"/>
        <w:gridCol w:w="109"/>
        <w:gridCol w:w="196"/>
        <w:gridCol w:w="691"/>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earnings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earnings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other contingencies,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Acquired IPR&amp;D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assets and liabilities,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product rights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IPR&amp;D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 and subsidiaries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financing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short-term borrowings,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Non-contingent payments for product rights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items,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on cash of changes in exchange rates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 —</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2580"/>
                <wp:effectExtent l="0" t="0" r="0" b="0"/>
                <wp:wrapNone/>
                <wp:docPr id="92" name="Frame8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pPr>
      <w:r>
        <w:rPr>
          <w:rFonts w:ascii="Times New Roman;sans-serif" w:hAnsi="Times New Roman;sans-serif"/>
          <w:b/>
          <w:color w:val="000000"/>
          <w:sz w:val="20"/>
        </w:rPr>
        <w:t>1.</w:t>
      </w:r>
      <w:r>
        <w:rPr>
          <w:color w:val="000000"/>
        </w:rPr>
        <w:t xml:space="preserve"> </w:t>
      </w:r>
      <w:r>
        <w:rPr>
          <w:rFonts w:ascii="Times New Roman;sans-serif" w:hAnsi="Times New Roman;sans-serif"/>
          <w:b/>
          <w:color w:val="000000"/>
          <w:sz w:val="20"/>
        </w:rPr>
        <w:t>Nature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is a global healthcare company whose breadth and scale we believe make it uniquely positioned to address healthcare needs globally. With a mission to empower people worldwide to live healthier at every stage of life, Viatris supplies high-quality medicines to patients around the world.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more than 165 countries and territories with approximately 32,000 employees. The Company has 26 manufacturing and packaging sites worldwide, more than 1,400 approved molecules, and industry leading commercial, R&amp;D, regulatory, manufacturing, legal and medical expertise. Viatris’ portfolio consists of generics (including complex products), globally recognized iconic brands, and an expanding portfolio of innovative medicines. We conduct our business through four segments: Developed Markets, Greater China, JANZ, and Emerging Markets. Viatris is headquartered in the U.S., with global centers in Pittsburgh, Pennsylvania, Shanghai, China and Hyderabad, India.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2024, upfront and milestone payments related to externally developed IPR&amp;D projects acquired directly in a transaction other than a business combination, which were previously included in cash flows from operating activities in the consolidated statements of cash flows, are now classified as cash flows from investing activities. Certain reclassifications were made to conform the prior period consolidated financial statements to the current period presentation. The adjustments resulted in an increase to net cash provided by operating activities and an increase to net cash used in investing activities of $100.4 million for the year ended December 31, 2023, and in an increase to net cash provided by operating activities and a decrease to net cash provided by investing activities of $46.4 million for the year ended December 31, 2022.</w:t>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2.Summary of Significant Accounting Policies</w:t>
      </w:r>
    </w:p>
    <w:p>
      <w:pPr>
        <w:pStyle w:val="TextBody"/>
        <w:bidi w:val="0"/>
        <w:spacing w:lineRule="auto" w:line="288" w:before="0" w:after="240"/>
        <w:ind w:left="0" w:right="0" w:firstLine="720"/>
        <w:jc w:val="left"/>
        <w:rPr/>
      </w:pPr>
      <w:r>
        <w:rPr>
          <w:rFonts w:ascii="Times New Roman;sans-serif" w:hAnsi="Times New Roman;sans-serif"/>
          <w:b/>
          <w:i/>
          <w:color w:val="000000"/>
          <w:sz w:val="20"/>
        </w:rPr>
        <w:t>Principles of Consolidation.</w:t>
      </w:r>
      <w:r>
        <w:rPr>
          <w:color w:val="000000"/>
        </w:rPr>
        <w:t> </w:t>
      </w:r>
      <w:r>
        <w:rPr>
          <w:rFonts w:ascii="Times New Roman;sans-serif" w:hAnsi="Times New Roman;sans-serif"/>
          <w:b w:val="false"/>
          <w:color w:val="000000"/>
          <w:sz w:val="20"/>
        </w:rPr>
        <w:t xml:space="preserve">The consolidated financial statements include the accounts of Viatris and those of its wholly owned and majority-owned subsidiaries. All intercompany accounts and transactions have been eliminated in consolidation. </w:t>
      </w:r>
    </w:p>
    <w:p>
      <w:pPr>
        <w:pStyle w:val="TextBody"/>
        <w:bidi w:val="0"/>
        <w:spacing w:lineRule="auto" w:line="288" w:before="0" w:after="240"/>
        <w:ind w:left="0" w:right="0" w:firstLine="720"/>
        <w:jc w:val="left"/>
        <w:rPr/>
      </w:pPr>
      <w:r>
        <w:rPr>
          <w:rFonts w:ascii="Times New Roman;sans-serif" w:hAnsi="Times New Roman;sans-serif"/>
          <w:b/>
          <w:i/>
          <w:color w:val="000000"/>
          <w:sz w:val="20"/>
        </w:rPr>
        <w:t>Use of Estimates in the Preparation of Financial Statements.</w:t>
      </w:r>
      <w:r>
        <w:rPr>
          <w:color w:val="000000"/>
        </w:rPr>
        <w:t> </w:t>
      </w: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Because of the uncertainty inherent in such estimates, actual results could differ from those estimates.</w:t>
      </w:r>
    </w:p>
    <w:p>
      <w:pPr>
        <w:pStyle w:val="TextBody"/>
        <w:bidi w:val="0"/>
        <w:spacing w:lineRule="auto" w:line="288" w:before="0" w:after="240"/>
        <w:ind w:left="0" w:right="0" w:firstLine="720"/>
        <w:jc w:val="left"/>
        <w:rPr/>
      </w:pPr>
      <w:r>
        <w:rPr>
          <w:rFonts w:ascii="Times New Roman;sans-serif" w:hAnsi="Times New Roman;sans-serif"/>
          <w:b/>
          <w:i/>
          <w:color w:val="000000"/>
          <w:sz w:val="20"/>
        </w:rPr>
        <w:t>Foreign Currencies.</w:t>
      </w:r>
      <w:r>
        <w:rPr>
          <w:color w:val="000000"/>
        </w:rPr>
        <w:t> </w:t>
      </w:r>
      <w:r>
        <w:rPr>
          <w:rFonts w:ascii="Times New Roman;sans-serif" w:hAnsi="Times New Roman;sans-serif"/>
          <w:b w:val="false"/>
          <w:color w:val="000000"/>
          <w:sz w:val="20"/>
        </w:rPr>
        <w:t>The consolidated financial statements are presented in U.S. Dollars, the reporting currency of Viatris. Statements of Operations and Cash Flows of all of the Company’s subsidiaries that have functional currencies other than U.S. Dollars are translated at a weighted average exchange rate for the period for inclusion in the consolidated statements of operations and cash flows, whereas assets and liabilities are translated at the end of the period exchange rates for inclusion in the consolidated balance sheets. Translation differences are recorded directly in shareholders’ equity as foreign currency translation adjustments. Gains or losses on transactions denominated in a currency other than the subsidiaries’ functional currency, which arise as a result of changes in foreign currency exchange rates, are recorded in the consolidated statements of operations.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Under ASC 830, </w:t>
      </w:r>
      <w:r>
        <w:rPr>
          <w:rFonts w:ascii="Times New Roman;sans-serif" w:hAnsi="Times New Roman;sans-serif"/>
          <w:b w:val="false"/>
          <w:i/>
          <w:color w:val="000000"/>
          <w:sz w:val="20"/>
        </w:rPr>
        <w:t>Foreign Currency Matters</w:t>
      </w:r>
      <w:r>
        <w:rPr>
          <w:color w:val="000000"/>
        </w:rPr>
        <w:t xml:space="preserve"> </w:t>
      </w:r>
      <w:r>
        <w:rPr>
          <w:rFonts w:ascii="Times New Roman;sans-serif" w:hAnsi="Times New Roman;sans-serif"/>
          <w:b w:val="false"/>
          <w:color w:val="000000"/>
          <w:sz w:val="20"/>
        </w:rPr>
        <w:t xml:space="preserve">(“ASC 830”), a highly inflationary economy is one that has cumulative inflation of approximately 100% or more over a three-year period. Effective October 1, 2024, we classified Egypt as highly inflationary and began to utilize the U.S. dollar as our functional currency in Egypt, which historically utilized the Egyptian pound as the functional currency. Effective April 1, 2022, we classified Turkey as highly inflationary and began to utilize the U.S. dollar as our functional currency in Turkey, which historically utilized the Turkish lira as the functional currency. Application of the guidance in ASC 830 did not have a material impact on our consolidated financial statements for the years ended December 31, 2024, 2023 and 2022. </w:t>
      </w:r>
    </w:p>
    <w:p>
      <w:pPr>
        <w:pStyle w:val="TextBody"/>
        <w:bidi w:val="0"/>
        <w:spacing w:lineRule="auto" w:line="288" w:before="0" w:after="240"/>
        <w:ind w:left="0" w:right="0" w:firstLine="720"/>
        <w:jc w:val="left"/>
        <w:rPr/>
      </w:pPr>
      <w:r>
        <w:rPr>
          <w:rFonts w:ascii="Times New Roman;sans-serif" w:hAnsi="Times New Roman;sans-serif"/>
          <w:b/>
          <w:i/>
          <w:color w:val="000000"/>
          <w:sz w:val="20"/>
        </w:rPr>
        <w:t>Cash and Cash Equivalents.</w:t>
      </w:r>
      <w:r>
        <w:rPr>
          <w:color w:val="000000"/>
        </w:rPr>
        <w:t> </w:t>
      </w:r>
      <w:r>
        <w:rPr>
          <w:rFonts w:ascii="Times New Roman;sans-serif" w:hAnsi="Times New Roman;sans-serif"/>
          <w:b w:val="false"/>
          <w:color w:val="000000"/>
          <w:sz w:val="20"/>
        </w:rPr>
        <w:t>Cash and cash equivalents are comprised of highly liquid investments with an original maturity of three months or less at the date of 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i/>
          <w:color w:val="000000"/>
          <w:sz w:val="20"/>
        </w:rPr>
        <w:t>Debt and Equity Securities.</w:t>
      </w:r>
      <w:r>
        <w:rPr>
          <w:color w:val="000000"/>
        </w:rPr>
        <w:t> </w:t>
      </w:r>
      <w:r>
        <w:rPr>
          <w:rFonts w:ascii="Times New Roman;sans-serif" w:hAnsi="Times New Roman;sans-serif"/>
          <w:b w:val="false"/>
          <w:color w:val="000000"/>
          <w:sz w:val="20"/>
        </w:rPr>
        <w:t xml:space="preserve">Debt securities classified as available-for-sale on the date of purchase are recorded at fair value, with net unrealized gains and losses, net of income taxes, reflected in accumulated other comprehensive loss as a component of shareholders’ equity. Net realized gains and losses on sales of available-for-sale debt securities are computed on a specific security basis and are included in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 xml:space="preserve">in the consolidated statements of operations. Debt securities classified as trading securities are valued using the quoted market price from broker or dealer quotations or transparent pricing sources at the reporting date, with gains and losses included in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statements of operations. Fair value is determined based on observable market quotes or valuation models using assessments of counterparty credit worthiness, credit risk or underlying security and overall capital market liquidity. Debt securities are reviewed for impairment by assessing if the decline in market value of the investment below the carrying value is other than temporary.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Changes in the fair value of equity securities are recorded in </w:t>
      </w:r>
      <w:r>
        <w:rPr>
          <w:rFonts w:ascii="Times New Roman;sans-serif" w:hAnsi="Times New Roman;sans-serif"/>
          <w:b w:val="false"/>
          <w:i/>
          <w:color w:val="000000"/>
          <w:sz w:val="20"/>
        </w:rPr>
        <w:t xml:space="preserve">Other expense (income), net </w:t>
      </w:r>
      <w:r>
        <w:rPr>
          <w:rFonts w:ascii="Times New Roman;sans-serif" w:hAnsi="Times New Roman;sans-serif"/>
          <w:b w:val="false"/>
          <w:color w:val="000000"/>
          <w:sz w:val="20"/>
        </w:rPr>
        <w:t>in the consolidated statements of operations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Investments in equity securities with readily determinable fair values are recorded at fair value. Investments in equity securities without readily determinable fair values for which the Company has elected to utilize the measurement alternative under ASC 321, </w:t>
      </w:r>
      <w:r>
        <w:rPr>
          <w:rFonts w:ascii="Times New Roman;sans-serif" w:hAnsi="Times New Roman;sans-serif"/>
          <w:b w:val="false"/>
          <w:i/>
          <w:color w:val="000000"/>
          <w:sz w:val="20"/>
        </w:rPr>
        <w:t xml:space="preserve">Investments - Equity Securities </w:t>
      </w:r>
      <w:r>
        <w:rPr>
          <w:rFonts w:ascii="Times New Roman;sans-serif" w:hAnsi="Times New Roman;sans-serif"/>
          <w:b w:val="false"/>
          <w:color w:val="000000"/>
          <w:sz w:val="20"/>
        </w:rPr>
        <w:t>are recorded at cost minus any impairment, plus or minus changes in their estimated fair value resulting from observable price changes in orderly transactions for the identical or a similar investment of the same issuer. Investments in equity securities without readily determinable fair values are assessed for potential impairment on a quarterly basis based on qualitative factors.</w:t>
      </w:r>
    </w:p>
    <w:p>
      <w:pPr>
        <w:pStyle w:val="TextBody"/>
        <w:bidi w:val="0"/>
        <w:spacing w:lineRule="auto" w:line="288" w:before="0" w:after="240"/>
        <w:ind w:left="0" w:right="0" w:firstLine="720"/>
        <w:jc w:val="left"/>
        <w:rPr/>
      </w:pPr>
      <w:r>
        <w:rPr>
          <w:rFonts w:ascii="Times New Roman;sans-serif" w:hAnsi="Times New Roman;sans-serif"/>
          <w:b/>
          <w:i/>
          <w:color w:val="000000"/>
          <w:sz w:val="20"/>
        </w:rPr>
        <w:t>Concentrations of Credit Risk.</w:t>
      </w:r>
      <w:r>
        <w:rPr>
          <w:color w:val="000000"/>
        </w:rPr>
        <w:t> </w:t>
      </w:r>
      <w:r>
        <w:rPr>
          <w:rFonts w:ascii="Times New Roman;sans-serif" w:hAnsi="Times New Roman;sans-serif"/>
          <w:b w:val="false"/>
          <w:color w:val="000000"/>
          <w:sz w:val="20"/>
        </w:rPr>
        <w:t>Financial instruments that potentially subject the Company to credit risk consist principally of interest-bearing investments, derivatives and accounts receivable.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invests its excess cash in high-quality, liquid money market instruments, principally overnight deposits and highly rated money market funds. The Company maintains deposit balances at certain financial institutions in excess of federally insured amounts. Periodically, the Company reviews the creditworthiness of its counterparties to derivative transactions, and it does not expect to incur a loss from failure of any counterparties to perform under agreements it has with such counterparties.</w:t>
      </w:r>
    </w:p>
    <w:p>
      <w:pPr>
        <w:pStyle w:val="TextBody"/>
        <w:bidi w:val="0"/>
        <w:spacing w:lineRule="auto" w:line="288" w:before="0" w:after="240"/>
        <w:ind w:left="0" w:right="0" w:firstLine="720"/>
        <w:jc w:val="left"/>
        <w:rPr/>
      </w:pPr>
      <w:r>
        <w:rPr>
          <w:rFonts w:ascii="Times New Roman;sans-serif" w:hAnsi="Times New Roman;sans-serif"/>
          <w:b/>
          <w:i/>
          <w:color w:val="000000"/>
          <w:sz w:val="20"/>
        </w:rPr>
        <w:t>Inventories.</w:t>
      </w:r>
      <w:r>
        <w:rPr>
          <w:color w:val="000000"/>
        </w:rPr>
        <w:t> </w:t>
      </w:r>
      <w:r>
        <w:rPr>
          <w:rFonts w:ascii="Times New Roman;sans-serif" w:hAnsi="Times New Roman;sans-serif"/>
          <w:b w:val="false"/>
          <w:color w:val="000000"/>
          <w:sz w:val="20"/>
        </w:rPr>
        <w:t xml:space="preserve">Inventories are stated at the lower of cost and net realizable value, with cost principally determined by the weighted average cost method. Provisions for potentially obsolete or slow-moving inventory, including pre-launch inventory, are made based on our analysis of product dating, inventory levels, historical obsolescence and future sales forecasts. Included as a component of cost of sales is expense related to the net realizable value of inventories. </w:t>
      </w:r>
    </w:p>
    <w:p>
      <w:pPr>
        <w:pStyle w:val="TextBody"/>
        <w:bidi w:val="0"/>
        <w:spacing w:lineRule="auto" w:line="288" w:before="0" w:after="240"/>
        <w:ind w:left="0" w:right="0" w:firstLine="720"/>
        <w:jc w:val="left"/>
        <w:rPr/>
      </w:pPr>
      <w:r>
        <w:rPr>
          <w:rFonts w:ascii="Times New Roman;sans-serif" w:hAnsi="Times New Roman;sans-serif"/>
          <w:b/>
          <w:i/>
          <w:color w:val="000000"/>
          <w:sz w:val="20"/>
        </w:rPr>
        <w:t>Property, Plant and Equipment.</w:t>
      </w:r>
      <w:r>
        <w:rPr>
          <w:color w:val="000000"/>
        </w:rPr>
        <w:t> </w:t>
      </w:r>
      <w:r>
        <w:rPr>
          <w:rFonts w:ascii="Times New Roman;sans-serif" w:hAnsi="Times New Roman;sans-serif"/>
          <w:b w:val="false"/>
          <w:color w:val="000000"/>
          <w:sz w:val="20"/>
        </w:rPr>
        <w:t xml:space="preserve">Property, plant and equipment are stated at cost less accumulated depreciation. Depreciation is computed and recorded on a straight-line basis over the assets’ estimated service lives (3 to 18 years for machinery and equipment and other fixed assets and 15 to 39 years for buildings and improvements). Capitalized software is included in property, plant and equipment and is amortized over estimated useful lives ranging from 3 to 7 years. </w:t>
      </w:r>
    </w:p>
    <w:p>
      <w:pPr>
        <w:pStyle w:val="TextBody"/>
        <w:bidi w:val="0"/>
        <w:spacing w:lineRule="auto" w:line="288" w:before="0" w:after="240"/>
        <w:ind w:left="0" w:right="0" w:firstLine="720"/>
        <w:jc w:val="left"/>
        <w:rPr/>
      </w:pPr>
      <w:r>
        <w:rPr>
          <w:rFonts w:ascii="Times New Roman;sans-serif" w:hAnsi="Times New Roman;sans-serif"/>
          <w:b/>
          <w:i/>
          <w:color w:val="000000"/>
          <w:sz w:val="20"/>
        </w:rPr>
        <w:t>Intangible Assets and Goodwill.</w:t>
      </w:r>
      <w:r>
        <w:rPr>
          <w:color w:val="000000"/>
        </w:rPr>
        <w:t> </w:t>
      </w:r>
      <w:r>
        <w:rPr>
          <w:rFonts w:ascii="Times New Roman;sans-serif" w:hAnsi="Times New Roman;sans-serif"/>
          <w:b w:val="false"/>
          <w:color w:val="000000"/>
          <w:sz w:val="20"/>
        </w:rPr>
        <w:t>Intangible assets are stated at cost less accumulated amortization. Amortization is generally recorded on a straight-line basis over estimated useful lives ranging from 3 to 20 years. The Company periodically reviews the estimated useful lives of intangible assets and makes adjustments when events indicate that a shorter life is appropriate.</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Company accounts for acquired businesses using the acquisition method of accounting in accordance with the provisions of ASC 805,</w:t>
      </w:r>
      <w:r>
        <w:rPr>
          <w:color w:val="000000"/>
        </w:rPr>
        <w:t xml:space="preserve">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which requires that the assets acquired and liabilities assumed be recorded at the date of acquisition at their respective estimated fair values. The cost to acquire businesses is allocated to the underlying net assets of the acquired business based on estimates of their respective fair values. Amounts allocated to acquired IPR&amp;D are capitalized at the date of acquisition and, at that time, such IPR&amp;D assets have indefinite lives. As products in development are approved for sale, amounts are allocated to product rights and licenses and will be amortized over their estimated useful lives.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are amortized over the expected life of the asset. Any excess of the purchase price over the estimated fair values of the net assets acquired is recorded as goodwill.</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developed products and licenses that are accounted for as asset acquisitions, including milestone payments related to development compounds due upon receipt of regulatory approvals, are capitalized as intangible assets and amortized over an estimated useful life. IPR&amp;D assets acquired as part of an asset acquisition are expensed immediately if they have no alternative future uses.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FASB, we have the option to first assess the qualitative factors to determine whether it is more likely than not that the fair value of the reporting unit is less than its carrying amount as a basis for determining whether it is necessary to perform a quantitative goodwill impairment test. If we choose to use qualitative factors and determine that it is more likely than not that the fair value of a reporting unit is less than its carrying amount, then the goodwill impairment test would be required. The goodwill impairment test requires the Company to estimate the fair value of the reporting unit and to compare the fair value of the reporting unit with its carrying amount. If the carrying amount is less than its fair value, then no impairment is recognized. If the carrying amount recorded exceeds the fair value calculated, an impairment charge is recorded for the difference. The judgments made in determining the projected cash flows used to estimate the fair value can materially impact the Company’s financial condition and results of operations.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principally IPR&amp;D acquired as part of business combinations, are tested at least annually for impairment or upon the occurrence of a triggering event. The impairment test for IPR&amp;D consists of a comparison of the asset’s fair value with its carrying value. Impairment is determined to exist when the fair value of IPR&amp;D assets, which is based upon updated forecasts and commercial development plans, is less than the carrying value of the assets being tested.</w:t>
      </w:r>
    </w:p>
    <w:p>
      <w:pPr>
        <w:pStyle w:val="TextBody"/>
        <w:bidi w:val="0"/>
        <w:spacing w:lineRule="auto" w:line="288" w:before="0" w:after="240"/>
        <w:ind w:left="0" w:right="0" w:firstLine="720"/>
        <w:jc w:val="left"/>
        <w:rPr/>
      </w:pPr>
      <w:r>
        <w:rPr>
          <w:rFonts w:ascii="Times New Roman;sans-serif" w:hAnsi="Times New Roman;sans-serif"/>
          <w:b/>
          <w:i/>
          <w:color w:val="000000"/>
          <w:sz w:val="20"/>
        </w:rPr>
        <w:t>Contingent Consideration.</w:t>
      </w:r>
      <w:r>
        <w:rPr>
          <w:color w:val="000000"/>
        </w:rPr>
        <w:t xml:space="preserve"> </w:t>
      </w:r>
      <w:r>
        <w:rPr>
          <w:rFonts w:ascii="Times New Roman;sans-serif" w:hAnsi="Times New Roman;sans-serif"/>
          <w:b w:val="false"/>
          <w:color w:val="000000"/>
          <w:sz w:val="20"/>
        </w:rPr>
        <w:t xml:space="preserve">Viatris records contingent consideration liabilities resulting from business acquisitions or divestitures at its estimated fair value on the acquisition or divestiture date. Each reporting period thereafter, the Company revalues these obligations and records increases or decreases in their fair value as adjustments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operating results, sales targets and profitability. These fair value measurements represent Level 3 measurements as they are based on significant inputs not observable in the market.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judgment is employed in determining the assumptions utilized as of the acquisition or divestiture date and for each subsequent measurement period. Accordingly, changes in the assumptions described above could have a material impact on the Company’s consolidated financial condition and results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records contingent consideration assets resulting from divestitures when the contingent consideration is resolved.</w:t>
      </w:r>
    </w:p>
    <w:p>
      <w:pPr>
        <w:pStyle w:val="TextBody"/>
        <w:bidi w:val="0"/>
        <w:spacing w:lineRule="auto" w:line="288" w:before="0" w:after="240"/>
        <w:ind w:left="0" w:right="0" w:firstLine="720"/>
        <w:jc w:val="left"/>
        <w:rPr/>
      </w:pPr>
      <w:r>
        <w:rPr>
          <w:rFonts w:ascii="Times New Roman;sans-serif" w:hAnsi="Times New Roman;sans-serif"/>
          <w:b/>
          <w:i/>
          <w:color w:val="000000"/>
          <w:sz w:val="20"/>
        </w:rPr>
        <w:t>Impairment of Long-Lived Assets.</w:t>
      </w:r>
      <w:r>
        <w:rPr>
          <w:color w:val="000000"/>
        </w:rPr>
        <w:t> </w:t>
      </w:r>
      <w:r>
        <w:rPr>
          <w:rFonts w:ascii="Times New Roman;sans-serif" w:hAnsi="Times New Roman;sans-serif"/>
          <w:b w:val="false"/>
          <w:color w:val="000000"/>
          <w:sz w:val="20"/>
        </w:rPr>
        <w:t>The carrying values of long-lived assets, which include property, plant and equipment and intangible assets with finite lives, are evaluated periodically in relation to the expected future undiscounted cash flows of the underlying assets and monitored for other potential triggering events.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Any future long-lived assets impairment charges could have a material impact on the Company’s consolidated financial condition and results of operations.</w:t>
      </w:r>
    </w:p>
    <w:p>
      <w:pPr>
        <w:pStyle w:val="TextBody"/>
        <w:bidi w:val="0"/>
        <w:spacing w:lineRule="auto" w:line="288" w:before="0" w:after="240"/>
        <w:ind w:left="0" w:right="0" w:firstLine="720"/>
        <w:jc w:val="left"/>
        <w:rPr/>
      </w:pPr>
      <w:r>
        <w:rPr>
          <w:rFonts w:ascii="Times New Roman;sans-serif" w:hAnsi="Times New Roman;sans-serif"/>
          <w:b/>
          <w:i/>
          <w:color w:val="000000"/>
          <w:sz w:val="20"/>
        </w:rPr>
        <w:t xml:space="preserve">Divestitures. </w:t>
      </w:r>
      <w:r>
        <w:rPr>
          <w:rFonts w:ascii="Times New Roman;sans-serif" w:hAnsi="Times New Roman;sans-serif"/>
          <w:b w:val="false"/>
          <w:color w:val="000000"/>
          <w:sz w:val="20"/>
        </w:rPr>
        <w:t xml:space="preserve">For businesses that are divested, including divestitures of products that qualify as a business, the Company records the net gain or loss on the sale within </w:t>
      </w:r>
      <w:r>
        <w:rPr>
          <w:rFonts w:ascii="Times New Roman;sans-serif" w:hAnsi="Times New Roman;sans-serif"/>
          <w:b w:val="false"/>
          <w:i/>
          <w:color w:val="000000"/>
          <w:sz w:val="20"/>
        </w:rPr>
        <w:t>Other expense (income), net</w:t>
      </w:r>
      <w:r>
        <w:rPr>
          <w:rFonts w:ascii="Times New Roman;sans-serif" w:hAnsi="Times New Roman;sans-serif"/>
          <w:b w:val="false"/>
          <w:color w:val="000000"/>
          <w:sz w:val="20"/>
        </w:rPr>
        <w:t xml:space="preserve">, and allocates the relative fair value of goodwill associated with the businesses in the determining the gain or loss on sale. Any resulting goodwill impairment is recorded within SG&amp;A. The Company records amounts received as part of TSAs within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For divestitures of products that qualify as assets, the Company records the gain or loss on sale within SG&amp;A.</w:t>
      </w:r>
    </w:p>
    <w:p>
      <w:pPr>
        <w:pStyle w:val="TextBody"/>
        <w:bidi w:val="0"/>
        <w:spacing w:lineRule="auto" w:line="288" w:before="0" w:after="240"/>
        <w:ind w:left="0" w:right="0" w:firstLine="720"/>
        <w:jc w:val="left"/>
        <w:rPr/>
      </w:pPr>
      <w:r>
        <w:rPr>
          <w:rFonts w:ascii="Times New Roman;sans-serif" w:hAnsi="Times New Roman;sans-serif"/>
          <w:b/>
          <w:i/>
          <w:color w:val="000000"/>
          <w:sz w:val="20"/>
        </w:rPr>
        <w:t>Short-Term Borrowings.</w:t>
      </w:r>
      <w:r>
        <w:rPr>
          <w:color w:val="000000"/>
        </w:rPr>
        <w:t> </w:t>
      </w:r>
      <w:r>
        <w:rPr>
          <w:rFonts w:ascii="Times New Roman;sans-serif" w:hAnsi="Times New Roman;sans-serif"/>
          <w:b w:val="false"/>
          <w:color w:val="000000"/>
          <w:sz w:val="20"/>
        </w:rPr>
        <w:t>The Company’s subsidiaries in India have working capital facilities with several banks which are secured by its current assets. The Company also has the Commercial Paper Program and Receivables Facility. Under the terms of the Receivables Facility, certain of our accounts receivable secure the amounts borrowed and cannot be used to pay our other debts or liabilities. As the accounts receivable do not transfer to the banks, any amounts outstanding under the facility are recorded as borrowings and the underlying receivables continue to be included in accounts receivable, net,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i/>
          <w:color w:val="000000"/>
          <w:sz w:val="20"/>
        </w:rPr>
        <w:t xml:space="preserve">Revenue Recognition. </w:t>
      </w:r>
      <w:r>
        <w:rPr>
          <w:rFonts w:ascii="Times New Roman;sans-serif" w:hAnsi="Times New Roman;sans-serif"/>
          <w:b w:val="false"/>
          <w:color w:val="000000"/>
          <w:sz w:val="20"/>
        </w:rPr>
        <w:t xml:space="preserve">The Company recognizes revenues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Amounts recorded for revenue deductions can result from a complex series of judgements about future events and uncertainties and can rely heavily on estimates and assumptions. The following section briefly describes the nature of our provisions for variable consideration and how such provisions are estimated: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Chargebacks</w:t>
      </w:r>
      <w:r>
        <w:rPr>
          <w:rFonts w:ascii="Times New Roman;sans-serif" w:hAnsi="Times New Roman;sans-serif"/>
          <w:b w:val="false"/>
          <w:color w:val="000000"/>
          <w:sz w:val="20"/>
        </w:rPr>
        <w:t>: the Company has agreements with certain indirect customers, such as independent pharmacies, retail pharmacy chains, managed care organizations, hospitals, nursing homes, governmental agencies and pharmacy benefit managers,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Rebates, promotional programs and other sales allowances</w:t>
      </w:r>
      <w:r>
        <w:rPr>
          <w:rFonts w:ascii="Times New Roman;sans-serif" w:hAnsi="Times New Roman;sans-serif"/>
          <w:b w:val="false"/>
          <w:color w:val="000000"/>
          <w:sz w:val="20"/>
        </w:rPr>
        <w:t xml:space="preserve">: this category includes rebate and other programs to assist in product sales. These 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Returns</w:t>
      </w:r>
      <w:r>
        <w:rPr>
          <w:rFonts w:ascii="Times New Roman;sans-serif" w:hAnsi="Times New Roman;sans-serif"/>
          <w:b w:val="false"/>
          <w:color w:val="000000"/>
          <w:sz w:val="20"/>
        </w:rPr>
        <w:t>: consistent with industry practice, Viatris maintains a return policy that allows customers to return a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Generally, returned products are destroyed and customers are refunded the sales price in the form of a credit.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000000"/>
          <w:sz w:val="20"/>
        </w:rPr>
        <w:t>Governmental rebate programs</w:t>
      </w:r>
      <w:r>
        <w:rPr>
          <w:rFonts w:ascii="Times New Roman;sans-serif" w:hAnsi="Times New Roman;sans-serif"/>
          <w:b w:val="false"/>
          <w:color w:val="000000"/>
          <w:sz w:val="20"/>
        </w:rPr>
        <w:t>: government reimbursement programs in the U.S. include Medicare, Medicaid, and State Pharmacy Assistance Programs 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We estimate discounts on branded prescription drug sales to Medicare Part D participants in the Medicare “coverage gap” based on historical experience of prescriptions and utilization expected to result in the discount of the “coverage gap”.</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U.S., the majority of our pharmaceutical sales are contractually or legislatively governed. In certain European countries, certain rebates are calculated on the governments total pharmaceutical spending or on specific product sale thresholds. We utilize historical data and obtain third party information to determine the adequacy of these accruals. Also, this provision includes price reductions that are mandated by law outside of the U.S.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consolidated statements of operations.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including deferred consideration, with terms in excess of one year are initially recorded at their net present value using discount rates reflecting the relative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i/>
          <w:color w:val="000000"/>
          <w:sz w:val="20"/>
        </w:rPr>
        <w:t>Research and Development.</w:t>
      </w:r>
      <w:r>
        <w:rPr>
          <w:color w:val="000000"/>
        </w:rPr>
        <w:t> </w:t>
      </w:r>
      <w:r>
        <w:rPr>
          <w:rFonts w:ascii="Times New Roman;sans-serif" w:hAnsi="Times New Roman;sans-serif"/>
          <w:b w:val="false"/>
          <w:color w:val="000000"/>
          <w:sz w:val="20"/>
        </w:rPr>
        <w:t>R&amp;D expenses are charged to operations as incurred. R&amp;D expense consists of costs incurred in performing research and development activities, including but not limited to, compensation and benefits, facilities and overhead expense, clinical trial expense and fees paid to contract research organizations.</w:t>
      </w:r>
    </w:p>
    <w:p>
      <w:pPr>
        <w:pStyle w:val="TextBody"/>
        <w:bidi w:val="0"/>
        <w:spacing w:lineRule="auto" w:line="288" w:before="0" w:after="240"/>
        <w:ind w:left="0" w:right="0" w:firstLine="720"/>
        <w:jc w:val="left"/>
        <w:rPr/>
      </w:pPr>
      <w:r>
        <w:rPr>
          <w:rFonts w:ascii="Times New Roman;sans-serif" w:hAnsi="Times New Roman;sans-serif"/>
          <w:b/>
          <w:i/>
          <w:color w:val="000000"/>
          <w:sz w:val="20"/>
        </w:rPr>
        <w:t xml:space="preserve">Acquired IPR&amp;D. </w:t>
      </w:r>
      <w:r>
        <w:rPr>
          <w:rFonts w:ascii="Times New Roman;sans-serif" w:hAnsi="Times New Roman;sans-serif"/>
          <w:b w:val="false"/>
          <w:color w:val="000000"/>
          <w:sz w:val="20"/>
        </w:rPr>
        <w:t>Acquired IPR&amp;D expense includes the initial cost of externally developed IPR&amp;D projects, acquired directly in a transaction other than a business combination, that do not have an alternative future use. Additionally, the related milestone payment obligations that are incurred prior to regulatory approval of the compound are recorded as acquired IPR&amp;D expense when the event triggering the obligation to pay the milestone occurs.</w:t>
      </w:r>
    </w:p>
    <w:p>
      <w:pPr>
        <w:pStyle w:val="TextBody"/>
        <w:bidi w:val="0"/>
        <w:spacing w:lineRule="auto" w:line="288" w:before="0" w:after="240"/>
        <w:ind w:left="0" w:right="0" w:firstLine="720"/>
        <w:jc w:val="left"/>
        <w:rPr/>
      </w:pPr>
      <w:r>
        <w:rPr>
          <w:rFonts w:ascii="Times New Roman;sans-serif" w:hAnsi="Times New Roman;sans-serif"/>
          <w:b/>
          <w:i/>
          <w:color w:val="000000"/>
          <w:sz w:val="20"/>
        </w:rPr>
        <w:t>Income Taxes.</w:t>
      </w:r>
      <w:r>
        <w:rPr>
          <w:color w:val="000000"/>
        </w:rPr>
        <w:t> </w:t>
      </w:r>
      <w:r>
        <w:rPr>
          <w:rFonts w:ascii="Times New Roman;sans-serif" w:hAnsi="Times New Roman;sans-serif"/>
          <w:b w:val="false"/>
          <w:color w:val="000000"/>
          <w:sz w:val="20"/>
        </w:rPr>
        <w:t>Income taxes have been provided for using an asset and liability approach in which deferred income taxes reflect the tax consequences on future years of events that the Company has already recognized in the financial statements or tax returns. Changes in enacted tax rates or laws may result in adjustments to the recorded tax assets or liabilities in the period that the new tax law is enacted.</w:t>
      </w:r>
    </w:p>
    <w:p>
      <w:pPr>
        <w:pStyle w:val="TextBody"/>
        <w:bidi w:val="0"/>
        <w:spacing w:lineRule="auto" w:line="288" w:before="0" w:after="240"/>
        <w:ind w:left="0" w:right="0" w:firstLine="720"/>
        <w:jc w:val="left"/>
        <w:rPr/>
      </w:pPr>
      <w:r>
        <w:rPr>
          <w:rFonts w:ascii="Times New Roman;sans-serif" w:hAnsi="Times New Roman;sans-serif"/>
          <w:b/>
          <w:i/>
          <w:color w:val="000000"/>
          <w:sz w:val="20"/>
        </w:rPr>
        <w:t>Earnings per Share.</w:t>
      </w:r>
      <w:r>
        <w:rPr>
          <w:color w:val="000000"/>
        </w:rPr>
        <w:t> </w:t>
      </w:r>
      <w:r>
        <w:rPr>
          <w:rFonts w:ascii="Times New Roman;sans-serif" w:hAnsi="Times New Roman;sans-serif"/>
          <w:b w:val="false"/>
          <w:color w:val="000000"/>
          <w:sz w:val="20"/>
        </w:rPr>
        <w:t>Basic (loss) earnings per share is computed by dividing net (loss) earnings attributable to holders of Viatris Inc. common stock by the weighted average number of shares outstanding during the period. Diluted (loss) earnings per share is computed by dividing net (loss) earnings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earnings per share attributable to Viatris Inc. are calculated as follows:</w:t>
      </w:r>
    </w:p>
    <w:tbl>
      <w:tblPr>
        <w:tblW w:w="10205" w:type="dxa"/>
        <w:jc w:val="left"/>
        <w:tblInd w:w="0" w:type="dxa"/>
        <w:tblLayout w:type="fixed"/>
        <w:tblCellMar>
          <w:top w:w="28" w:type="dxa"/>
          <w:left w:w="28" w:type="dxa"/>
          <w:bottom w:w="28" w:type="dxa"/>
          <w:right w:w="28" w:type="dxa"/>
        </w:tblCellMar>
      </w:tblPr>
      <w:tblGrid>
        <w:gridCol w:w="2374"/>
        <w:gridCol w:w="2071"/>
        <w:gridCol w:w="2089"/>
        <w:gridCol w:w="211"/>
        <w:gridCol w:w="689"/>
        <w:gridCol w:w="109"/>
        <w:gridCol w:w="109"/>
        <w:gridCol w:w="109"/>
        <w:gridCol w:w="109"/>
        <w:gridCol w:w="223"/>
        <w:gridCol w:w="543"/>
        <w:gridCol w:w="109"/>
        <w:gridCol w:w="109"/>
        <w:gridCol w:w="109"/>
        <w:gridCol w:w="109"/>
        <w:gridCol w:w="211"/>
        <w:gridCol w:w="766"/>
        <w:gridCol w:w="156"/>
      </w:tblGrid>
      <w:tr>
        <w:trPr/>
        <w:tc>
          <w:tcPr>
            <w:tcW w:w="237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w:t>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(loss) earnings attributable to Viatris Inc. common shareholders (numerator):</w:t>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 attributable to Viatris Inc.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Shares (denominator):</w:t>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earnings per share attributable to Viatris Inc. shareholders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 (loss) earnings attributable to Viatris Inc. common shareholders (numerator):</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 attributable to Viatris Inc.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Shares (denominator):</w:t>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dilutive shares outstanding</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earnings per share attributable to Viatris Inc. shareholders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stock awards and Restricted Stock Awards were outstanding during the years ended December 31, 2024, 2023 and 2022 but were not included in the computation of diluted earnings per share for each respective period because the effect would be anti-dilutive. Excluded shares also include certain share-based compensation awards and restricted shares whose performance conditions had not been fully met. Such excluded shares and anti-dilutive awards represented 19.9 million, 16.4 million and 11.8 million shares for the years ended December 31, 2024, 2023 and 2022, respectively.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paid quarterly cash dividends of $0.12 per share on the Company’s issued and outstanding common stock on March 18, 2024, June 14, 2024, September 13, 2024 and December 13, 2024. On February 24, 2025, the Company’s Board of Directors declared a quarterly cash dividend of $0.12 per share on the Company’s issued and outstanding common stock, which will be payable on March 18, 2025 to shareholders of record as of the close of business on March 10, 2025.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 The Company also paid quarterly cash dividends of $0.12 per share on the Company’s issued and outstanding common stock in each of the four quarters of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6, 2022, the Company announced that its Board of Directors had authorized a Dividend Reinvestment and Share Purchase Plan, which allows shareholders to automatically reinvest all or a portion of the cash dividends paid on their shares of the Company’s common stock and to make certain additional optional cash investments in the Company’s common stock.</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years ended December 31, 2024 and 2023, the Company repurchased approximately 19.2 million shares of common stock at a cost of approximately $250 million, and approximately 21.2 million shares of common stock at a cost of approximately $250 million, respectively, under the program. The Company did not repurchase any shares of common stock under the share repurchase program in 2022. The share repurchase program does not obligate the Company to acquire any particular amount of common stock. The Company had repurchased a total of $500 million in shares through December 31, 2024 under the program.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i/>
          <w:color w:val="000000"/>
          <w:sz w:val="20"/>
        </w:rPr>
        <w:t>Share-Based Compensation.</w:t>
      </w:r>
      <w:r>
        <w:rPr>
          <w:color w:val="000000"/>
        </w:rPr>
        <w:t> </w:t>
      </w:r>
      <w:r>
        <w:rPr>
          <w:rFonts w:ascii="Times New Roman;sans-serif" w:hAnsi="Times New Roman;sans-serif"/>
          <w:b w:val="false"/>
          <w:color w:val="000000"/>
          <w:sz w:val="20"/>
        </w:rPr>
        <w:t>The fair value of share-based compensation is recognized as expense in the consolidated statements of operations over the vesting period.</w:t>
      </w:r>
    </w:p>
    <w:p>
      <w:pPr>
        <w:pStyle w:val="TextBody"/>
        <w:bidi w:val="0"/>
        <w:spacing w:lineRule="auto" w:line="288" w:before="0" w:after="240"/>
        <w:ind w:left="0" w:right="0" w:firstLine="720"/>
        <w:jc w:val="left"/>
        <w:rPr/>
      </w:pPr>
      <w:r>
        <w:rPr>
          <w:rFonts w:ascii="Times New Roman;sans-serif" w:hAnsi="Times New Roman;sans-serif"/>
          <w:b/>
          <w:i/>
          <w:color w:val="000000"/>
          <w:sz w:val="20"/>
        </w:rPr>
        <w:t>Derivatives.</w:t>
      </w:r>
      <w:r>
        <w:rPr>
          <w:color w:val="000000"/>
        </w:rPr>
        <w:t> </w:t>
      </w:r>
      <w:r>
        <w:rPr>
          <w:rFonts w:ascii="Times New Roman;sans-serif" w:hAnsi="Times New Roman;sans-serif"/>
          <w:b w:val="false"/>
          <w:color w:val="000000"/>
          <w:sz w:val="20"/>
        </w:rPr>
        <w:t xml:space="preserve">From time to time the Company may enter into derivative financial instruments (mainly foreign currency exchange forward contracts, interest rate swaps and purchased equity call options) designed to: 1) hedge the cash flows resulting from existing assets and liabilities and transactions expected to be entered into over the next 24 months in currencies other than the functional currency, 2) hedge the variability in interest expense on floating rate debt, 3) hedge the fair value of fixed-rate notes, 4) hedge against changes in interest rates that could impact future debt issuances, 5) hedge cash or share payments required on conversion of issued convertible notes, 6) hedge a net investment in a foreign operation, or 7) economically hedge the foreign currency exposure associated with the purchase price of non-U.S. acquisitions or divestitures. Derivatives are recognized as assets or liabilities in the consolidated balance sheets at their fair value. When the derivative instrument qualifies as a cash flow hedge, changes in the fair value are deferred through other comprehensive earnings. If a derivative instrument qualifies as a fair value hedge, the changes in the fair value, as well as the offsetting changes in the fair value of the hedged items, are generally included in within the same line item in the consolidated statements of operations as the hedged item. When such instruments do not qualify for hedge accounting the changes in fair value are recorded in the consolidated statements of operations within </w:t>
      </w:r>
      <w:r>
        <w:rPr>
          <w:rFonts w:ascii="Times New Roman;sans-serif" w:hAnsi="Times New Roman;sans-serif"/>
          <w:b w:val="false"/>
          <w:i/>
          <w:color w:val="000000"/>
          <w:sz w:val="20"/>
        </w:rPr>
        <w:t>Other expense (income), net</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720"/>
        <w:jc w:val="left"/>
        <w:rPr/>
      </w:pPr>
      <w:r>
        <w:rPr>
          <w:rFonts w:ascii="Times New Roman;sans-serif" w:hAnsi="Times New Roman;sans-serif"/>
          <w:b/>
          <w:i/>
          <w:color w:val="000000"/>
          <w:sz w:val="20"/>
        </w:rPr>
        <w:t>Financial Instruments.</w:t>
      </w:r>
      <w:r>
        <w:rPr>
          <w:color w:val="000000"/>
        </w:rPr>
        <w:t> </w:t>
      </w:r>
      <w:r>
        <w:rPr>
          <w:rFonts w:ascii="Times New Roman;sans-serif" w:hAnsi="Times New Roman;sans-serif"/>
          <w:b w:val="false"/>
          <w:color w:val="000000"/>
          <w:sz w:val="20"/>
        </w:rPr>
        <w:t>The Company’s financial instruments consist primarily of short-term and long-term debt, interest rate swaps, forward contracts and option contracts. The Company’s financial instruments also include cash and cash equivalents as well as accounts and other receivables and accounts payable, the fair values of which approximate their carrying values. As a policy, the Company does not engage in speculative or leveraged transactions.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carries derivative instruments in the consolidated balance sheets at fair value, determined by reference to market data such as forward rates for currencies, implied volatility, and interest rate swap yield curves. The accounting for changes in the fair value of a derivative instrument depends on whether it has been designated and qualifies as part of a hedging relationship and, if so, the reason for holding it. In addition, the Company has designated certain long-term debt instruments as net investment hedges.</w:t>
      </w:r>
    </w:p>
    <w:p>
      <w:pPr>
        <w:pStyle w:val="TextBody"/>
        <w:bidi w:val="0"/>
        <w:spacing w:lineRule="auto" w:line="288" w:before="0" w:after="24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Recent Accounting Pronouncements. </w:t>
      </w:r>
    </w:p>
    <w:p>
      <w:pPr>
        <w:pStyle w:val="TextBody"/>
        <w:bidi w:val="0"/>
        <w:spacing w:lineRule="auto" w:line="288" w:before="0" w:after="24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Adoption of New Accounting Standards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March 2020, the FASB issued ASU 2020-04, </w:t>
      </w:r>
      <w:r>
        <w:rPr>
          <w:rFonts w:ascii="Times New Roman;sans-serif" w:hAnsi="Times New Roman;sans-serif"/>
          <w:b w:val="false"/>
          <w:i/>
          <w:color w:val="000000"/>
          <w:sz w:val="20"/>
        </w:rPr>
        <w:t xml:space="preserve">Reference Rate Reform (Topic 848) Facilitation of the Effects of Reference Rate Reform on Financial Reporting </w:t>
      </w:r>
      <w:r>
        <w:rPr>
          <w:rFonts w:ascii="Times New Roman;sans-serif" w:hAnsi="Times New Roman;sans-serif"/>
          <w:b w:val="false"/>
          <w:color w:val="000000"/>
          <w:sz w:val="20"/>
        </w:rPr>
        <w:t xml:space="preserve">(“ASU 2020-04”), which for a limited period of time adds ASC 848 to provide optional expedients and exceptions for applying U.S. GAAP to contracts, hedging relationships, and other transactions affected by reference rate reform if certain criteria are met. ASU 2020-04 applies only to contracts, hedging relationships, and other transactions that reference LIBOR or another reference rate expected to be discontinued because of reference rate reform. On December 21, 2022, the FASB issued ASU 2022-06 to defer the sunset date of ASC 848 until December 31, 2024. ASU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2022-06 became effective upon issuance. The adoption of this guidance did not have a material impact on the Company’s consolidated financial statements and disclosures.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 xml:space="preserve">(“ASU 2023-07”), which includes amendments to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standard requires retrospective application to all prior periods presented. We adopted this ASU effective December 31, 2024. Refer to Note 15 </w:t>
      </w:r>
      <w:r>
        <w:rPr>
          <w:rFonts w:ascii="Times New Roman;sans-serif" w:hAnsi="Times New Roman;sans-serif"/>
          <w:b w:val="false"/>
          <w:i/>
          <w:color w:val="000000"/>
          <w:sz w:val="20"/>
        </w:rPr>
        <w:t>Segment Information</w:t>
      </w:r>
      <w:r>
        <w:rPr>
          <w:color w:val="000000"/>
        </w:rPr>
        <w:t xml:space="preserve"> </w:t>
      </w:r>
      <w:r>
        <w:rPr>
          <w:rFonts w:ascii="Times New Roman;sans-serif" w:hAnsi="Times New Roman;sans-serif"/>
          <w:b w:val="false"/>
          <w:color w:val="000000"/>
          <w:sz w:val="20"/>
        </w:rPr>
        <w:t>for additional information. The adoption of ASU 2023-07 did not affect the Company’s financial condition, results of operations or cash flows as the guidance only requires additional disclosures.</w:t>
      </w:r>
    </w:p>
    <w:p>
      <w:pPr>
        <w:pStyle w:val="TextBody"/>
        <w:bidi w:val="0"/>
        <w:spacing w:lineRule="auto" w:line="288" w:before="0" w:after="24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and Disclosure Rules Issued Not Yet Adopted</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 xml:space="preserve">Income Taxes (Topic 740): Improvements to Income Tax Disclosures </w:t>
      </w:r>
      <w:r>
        <w:rPr>
          <w:rFonts w:ascii="Times New Roman;sans-serif" w:hAnsi="Times New Roman;sans-serif"/>
          <w:b w:val="false"/>
          <w:color w:val="000000"/>
          <w:sz w:val="20"/>
        </w:rPr>
        <w:t>(“ASU 2023-09”), which requires expanded income tax disclosures, including greater disaggregation of information in the effective tax rate reconciliation and of income taxes paid. The amendments in ASU 2023-09 are effective for all public entities for fiscal years beginning after December 15, 2024, with early adoption permitted. The Company is currently assessing the impact of the adoption of this guidance on its consolidated financial statement disclosures.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SEC adopted final rules under SEC Release No. 34-99678 and No. 33-11275, “The Enhancement and Standardization of Climate-Related Disclosures for Investors” (the “Final Rules”), which will require registrants to provide certain climate-related information in their registration statements and annual reports. The Final Rules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The Final Rules will also require disclosure outside of the financial statements of material scope 1 and scope 2 greenhouse gas emissions, among other climate-related disclosures. In April 2024, the SEC stayed the effectiveness of the Final Rules and the timing of the effectiveness of these disclosure requirements remains uncertain. Prior to the effectiveness of the Final Rules being stayed, the disclosure requirements of the Final Rules were scheduled to begin phasing in for the Company for fiscal year 2025. The Company is currently monitoring the status of the Final Rules and assessing their impact on its consolidated financial statement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Disaggregation of Income Statement Expenses</w:t>
      </w:r>
      <w:r>
        <w:rPr>
          <w:rFonts w:ascii="Times New Roman;sans-serif" w:hAnsi="Times New Roman;sans-serif"/>
          <w:b w:val="false"/>
          <w:color w:val="000000"/>
          <w:sz w:val="20"/>
        </w:rPr>
        <w:t>, which requires entities to disclose specified information about certain costs and expenses, including amounts of purchases of inventory, employee compensation, depreciation, and intangible asset amortization. The amendments in ASU 2024-03 are effective for annual reporting periods beginning after December 15, 2026, and interim reporting periods beginning after December 15, 2027, with early adoption permitted. The Company is currently assessing the impact of the adoption of this guidance on its consolidated financial statement disclosures.</w:t>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3.Revenue Recognition and Accounts Receivable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net sales by product category for each of our reportable segments for the years ended December 31, 2024, 2023, and 2022, respectively:</w:t>
      </w:r>
    </w:p>
    <w:tbl>
      <w:tblPr>
        <w:tblW w:w="9101"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766"/>
        <w:gridCol w:w="109"/>
        <w:gridCol w:w="109"/>
        <w:gridCol w:w="109"/>
        <w:gridCol w:w="109"/>
        <w:gridCol w:w="282"/>
        <w:gridCol w:w="1026"/>
        <w:gridCol w:w="146"/>
        <w:gridCol w:w="109"/>
        <w:gridCol w:w="109"/>
        <w:gridCol w:w="109"/>
        <w:gridCol w:w="211"/>
        <w:gridCol w:w="87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75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 Net Sales</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8,929.4 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9101"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766"/>
        <w:gridCol w:w="109"/>
        <w:gridCol w:w="109"/>
        <w:gridCol w:w="109"/>
        <w:gridCol w:w="109"/>
        <w:gridCol w:w="282"/>
        <w:gridCol w:w="1026"/>
        <w:gridCol w:w="146"/>
        <w:gridCol w:w="109"/>
        <w:gridCol w:w="109"/>
        <w:gridCol w:w="109"/>
        <w:gridCol w:w="211"/>
        <w:gridCol w:w="87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75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 Net Sales</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101"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766"/>
        <w:gridCol w:w="109"/>
        <w:gridCol w:w="109"/>
        <w:gridCol w:w="109"/>
        <w:gridCol w:w="109"/>
        <w:gridCol w:w="282"/>
        <w:gridCol w:w="1026"/>
        <w:gridCol w:w="146"/>
        <w:gridCol w:w="109"/>
        <w:gridCol w:w="109"/>
        <w:gridCol w:w="109"/>
        <w:gridCol w:w="211"/>
        <w:gridCol w:w="87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75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 Net Sales</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76" w:before="60" w:after="12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Amounts include the impact of foreign currency translations compared to the prior year period.</w:t>
      </w:r>
    </w:p>
    <w:p>
      <w:pPr>
        <w:pStyle w:val="TextBody"/>
        <w:bidi w:val="0"/>
        <w:spacing w:lineRule="auto" w:line="276" w:before="60" w:after="283"/>
        <w:ind w:left="0" w:right="0" w:hanging="360"/>
        <w:jc w:val="both"/>
        <w:rPr/>
      </w:pPr>
      <w:r>
        <w:rPr>
          <w:rFonts w:ascii="Times New Roman;sans-serif" w:hAnsi="Times New Roman;sans-serif"/>
          <w:b w:val="false"/>
          <w:color w:val="000000"/>
          <w:sz w:val="13"/>
        </w:rPr>
        <w:t>(b)</w:t>
      </w:r>
      <w:r>
        <w:rPr>
          <w:rFonts w:ascii="Times New Roman;sans-serif" w:hAnsi="Times New Roman;sans-serif"/>
          <w:b w:val="false"/>
          <w:color w:val="000000"/>
          <w:sz w:val="20"/>
        </w:rPr>
        <w:t xml:space="preserve">Amounts reflected in the above tables include net sales attributable to divested businesses until the date of disposition. Refer to Note 5 </w:t>
      </w:r>
      <w:r>
        <w:rPr>
          <w:rFonts w:ascii="Times New Roman;sans-serif" w:hAnsi="Times New Roman;sans-serif"/>
          <w:b w:val="false"/>
          <w:i/>
          <w:color w:val="000000"/>
          <w:sz w:val="20"/>
        </w:rPr>
        <w:t xml:space="preserve">Divestitures </w:t>
      </w:r>
      <w:r>
        <w:rPr>
          <w:rFonts w:ascii="Times New Roman;sans-serif" w:hAnsi="Times New Roman;sans-serif"/>
          <w:b w:val="false"/>
          <w:color w:val="000000"/>
          <w:sz w:val="20"/>
        </w:rPr>
        <w:t>for additional information.</w:t>
      </w:r>
    </w:p>
    <w:p>
      <w:pPr>
        <w:pStyle w:val="TextBody"/>
        <w:bidi w:val="0"/>
        <w:spacing w:before="60" w:after="283"/>
        <w:ind w:left="0" w:right="0" w:firstLine="720"/>
        <w:jc w:val="both"/>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on a consolidated basis for select key products for the years ended December 31, 2024, 2023, and 2022, respectively:</w:t>
      </w:r>
    </w:p>
    <w:tbl>
      <w:tblPr>
        <w:tblW w:w="6848" w:type="dxa"/>
        <w:jc w:val="left"/>
        <w:tblInd w:w="0" w:type="dxa"/>
        <w:tblLayout w:type="fixed"/>
        <w:tblCellMar>
          <w:top w:w="28" w:type="dxa"/>
          <w:left w:w="28" w:type="dxa"/>
          <w:bottom w:w="28" w:type="dxa"/>
          <w:right w:w="28" w:type="dxa"/>
        </w:tblCellMar>
      </w:tblPr>
      <w:tblGrid>
        <w:gridCol w:w="930"/>
        <w:gridCol w:w="816"/>
        <w:gridCol w:w="818"/>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Select Key Global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Lipitor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Norvasc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Viagra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EpiPen® Auto-Injectors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Celebrex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Effexor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Zoloft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Xalabrands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 Key Segment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Yupelri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Dymista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Influvac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Amitiza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Xanax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60" w:after="6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The Company does not disclose net sales for any products considered competitively sensitive.</w:t>
      </w:r>
    </w:p>
    <w:p>
      <w:pPr>
        <w:pStyle w:val="TextBody"/>
        <w:bidi w:val="0"/>
        <w:spacing w:lineRule="auto" w:line="276" w:before="0" w:after="60"/>
        <w:ind w:left="0" w:right="0" w:hanging="360"/>
        <w:jc w:val="both"/>
        <w:rPr/>
      </w:pPr>
      <w:r>
        <w:rPr>
          <w:rFonts w:ascii="Times New Roman;sans-serif" w:hAnsi="Times New Roman;sans-serif"/>
          <w:b w:val="false"/>
          <w:color w:val="000000"/>
          <w:sz w:val="13"/>
        </w:rPr>
        <w:t>(b)</w:t>
      </w:r>
      <w:r>
        <w:rPr>
          <w:rFonts w:ascii="Times New Roman;sans-serif" w:hAnsi="Times New Roman;sans-serif"/>
          <w:b w:val="false"/>
          <w:color w:val="000000"/>
          <w:sz w:val="20"/>
        </w:rPr>
        <w:t>Products disclosed may change in future periods, including as a result of seasonality, competition or new product launches.</w:t>
      </w:r>
    </w:p>
    <w:p>
      <w:pPr>
        <w:pStyle w:val="TextBody"/>
        <w:bidi w:val="0"/>
        <w:spacing w:lineRule="auto" w:line="276" w:before="0" w:after="60"/>
        <w:ind w:left="0" w:right="0" w:hanging="360"/>
        <w:jc w:val="both"/>
        <w:rPr/>
      </w:pPr>
      <w:r>
        <w:rPr>
          <w:rFonts w:ascii="Times New Roman;sans-serif" w:hAnsi="Times New Roman;sans-serif"/>
          <w:b w:val="false"/>
          <w:color w:val="000000"/>
          <w:sz w:val="13"/>
        </w:rPr>
        <w:t>(c)</w:t>
      </w:r>
      <w:r>
        <w:rPr>
          <w:rFonts w:ascii="Times New Roman;sans-serif" w:hAnsi="Times New Roman;sans-serif"/>
          <w:b w:val="false"/>
          <w:color w:val="000000"/>
          <w:sz w:val="20"/>
        </w:rPr>
        <w:t>Amounts include the impact of foreign currency translations compared to the prior year period.</w:t>
      </w:r>
    </w:p>
    <w:p>
      <w:pPr>
        <w:pStyle w:val="TextBody"/>
        <w:bidi w:val="0"/>
        <w:spacing w:lineRule="auto" w:line="276" w:before="0" w:after="0"/>
        <w:ind w:left="0" w:right="0" w:hanging="360"/>
        <w:jc w:val="both"/>
        <w:rPr/>
      </w:pPr>
      <w:r>
        <w:rPr>
          <w:rFonts w:ascii="Times New Roman;sans-serif" w:hAnsi="Times New Roman;sans-serif"/>
          <w:b w:val="false"/>
          <w:color w:val="000000"/>
          <w:sz w:val="13"/>
        </w:rPr>
        <w:t>(d)</w:t>
      </w:r>
      <w:r>
        <w:rPr>
          <w:rFonts w:ascii="Times New Roman;sans-serif" w:hAnsi="Times New Roman;sans-serif"/>
          <w:b w:val="false"/>
          <w:color w:val="000000"/>
          <w:sz w:val="20"/>
        </w:rPr>
        <w:t xml:space="preserve">Refer to intellectual property matters included in Note 19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for additional information regarding Yupelri® and Amitiza®.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pPr>
      <w:r>
        <w:rPr>
          <w:rFonts w:ascii="Times New Roman;sans-serif" w:hAnsi="Times New Roman;sans-serif"/>
          <w:b/>
          <w:color w:val="000000"/>
          <w:sz w:val="20"/>
        </w:rPr>
        <w:t>Variable Consideration and Accounts Receivable</w:t>
      </w:r>
      <w:r>
        <w:rPr>
          <w:color w:val="000000"/>
        </w:rPr>
        <w:t>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gross sales to net sales by each significant category of variable consideration during the years ended December 31, 2024, 2023 and 2022, respectively:</w:t>
      </w:r>
    </w:p>
    <w:tbl>
      <w:tblPr>
        <w:tblW w:w="9342" w:type="dxa"/>
        <w:jc w:val="center"/>
        <w:tblInd w:w="0" w:type="dxa"/>
        <w:tblLayout w:type="fixed"/>
        <w:tblCellMar>
          <w:top w:w="28" w:type="dxa"/>
          <w:left w:w="28" w:type="dxa"/>
          <w:bottom w:w="28" w:type="dxa"/>
          <w:right w:w="28" w:type="dxa"/>
        </w:tblCellMar>
      </w:tblPr>
      <w:tblGrid>
        <w:gridCol w:w="1754"/>
        <w:gridCol w:w="1539"/>
        <w:gridCol w:w="1552"/>
        <w:gridCol w:w="211"/>
        <w:gridCol w:w="946"/>
        <w:gridCol w:w="109"/>
        <w:gridCol w:w="109"/>
        <w:gridCol w:w="109"/>
        <w:gridCol w:w="109"/>
        <w:gridCol w:w="211"/>
        <w:gridCol w:w="946"/>
        <w:gridCol w:w="109"/>
        <w:gridCol w:w="109"/>
        <w:gridCol w:w="109"/>
        <w:gridCol w:w="109"/>
        <w:gridCol w:w="211"/>
        <w:gridCol w:w="946"/>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to net adjustments: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promotional programs and other sales allowances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rebate programs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to net adjustments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60" w:after="6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 xml:space="preserve">Amounts reflected in the above table include net sales attributable to divested businesses until the date of disposition. Refer to Note 5 </w:t>
      </w:r>
      <w:r>
        <w:rPr>
          <w:rFonts w:ascii="Times New Roman;sans-serif" w:hAnsi="Times New Roman;sans-serif"/>
          <w:b w:val="false"/>
          <w:i/>
          <w:color w:val="000000"/>
          <w:sz w:val="20"/>
        </w:rPr>
        <w:t xml:space="preserve">Divestitures </w:t>
      </w:r>
      <w:r>
        <w:rPr>
          <w:rFonts w:ascii="Times New Roman;sans-serif" w:hAnsi="Times New Roman;sans-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rollforward of the categories of variable consideration during 2024:</w:t>
      </w:r>
    </w:p>
    <w:tbl>
      <w:tblPr>
        <w:tblW w:w="10205" w:type="dxa"/>
        <w:jc w:val="left"/>
        <w:tblInd w:w="0" w:type="dxa"/>
        <w:tblLayout w:type="fixed"/>
        <w:tblCellMar>
          <w:top w:w="28" w:type="dxa"/>
          <w:left w:w="28" w:type="dxa"/>
          <w:bottom w:w="28" w:type="dxa"/>
          <w:right w:w="28" w:type="dxa"/>
        </w:tblCellMar>
      </w:tblPr>
      <w:tblGrid>
        <w:gridCol w:w="717"/>
        <w:gridCol w:w="551"/>
        <w:gridCol w:w="556"/>
        <w:gridCol w:w="247"/>
        <w:gridCol w:w="899"/>
        <w:gridCol w:w="127"/>
        <w:gridCol w:w="109"/>
        <w:gridCol w:w="109"/>
        <w:gridCol w:w="109"/>
        <w:gridCol w:w="307"/>
        <w:gridCol w:w="1269"/>
        <w:gridCol w:w="158"/>
        <w:gridCol w:w="109"/>
        <w:gridCol w:w="109"/>
        <w:gridCol w:w="109"/>
        <w:gridCol w:w="109"/>
        <w:gridCol w:w="109"/>
        <w:gridCol w:w="254"/>
        <w:gridCol w:w="1089"/>
        <w:gridCol w:w="131"/>
        <w:gridCol w:w="109"/>
        <w:gridCol w:w="109"/>
        <w:gridCol w:w="109"/>
        <w:gridCol w:w="255"/>
        <w:gridCol w:w="660"/>
        <w:gridCol w:w="132"/>
        <w:gridCol w:w="109"/>
        <w:gridCol w:w="109"/>
        <w:gridCol w:w="109"/>
        <w:gridCol w:w="246"/>
        <w:gridCol w:w="893"/>
        <w:gridCol w:w="188"/>
      </w:tblGrid>
      <w:tr>
        <w:trPr/>
        <w:tc>
          <w:tcPr>
            <w:tcW w:w="71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Current Provision Related to Sales Made in the Current Period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Checks/ Credits Issued to Third Parties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Effects of 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2024</w:t>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promotional programs and other sales allowances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rebate programs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(10,094.5)</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these provisions are presented in the consolidated financial statements as reductions in determining net revenues and as a contra asset in accounts receivable, net (if settled via credit) and other current liabilities (if paid in cash). Accounts receivable are presented net of allowances relating to these provisions, which were comprised of the following at December 31, 2024 and 2023, respectively:</w:t>
      </w:r>
    </w:p>
    <w:tbl>
      <w:tblPr>
        <w:tblW w:w="4675" w:type="dxa"/>
        <w:jc w:val="center"/>
        <w:tblInd w:w="0" w:type="dxa"/>
        <w:tblLayout w:type="fixed"/>
        <w:tblCellMar>
          <w:top w:w="28" w:type="dxa"/>
          <w:left w:w="28" w:type="dxa"/>
          <w:bottom w:w="28" w:type="dxa"/>
          <w:right w:w="28" w:type="dxa"/>
        </w:tblCellMar>
      </w:tblPr>
      <w:tblGrid>
        <w:gridCol w:w="765"/>
        <w:gridCol w:w="670"/>
        <w:gridCol w:w="679"/>
        <w:gridCol w:w="212"/>
        <w:gridCol w:w="773"/>
        <w:gridCol w:w="110"/>
        <w:gridCol w:w="109"/>
        <w:gridCol w:w="109"/>
        <w:gridCol w:w="109"/>
        <w:gridCol w:w="212"/>
        <w:gridCol w:w="772"/>
        <w:gridCol w:w="155"/>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was comprised of the following at December 31, 2024 and 2023, respectively:</w:t>
      </w:r>
    </w:p>
    <w:tbl>
      <w:tblPr>
        <w:tblW w:w="5531" w:type="dxa"/>
        <w:jc w:val="left"/>
        <w:tblInd w:w="0" w:type="dxa"/>
        <w:tblLayout w:type="fixed"/>
        <w:tblCellMar>
          <w:top w:w="28" w:type="dxa"/>
          <w:left w:w="28" w:type="dxa"/>
          <w:bottom w:w="28" w:type="dxa"/>
          <w:right w:w="28" w:type="dxa"/>
        </w:tblCellMar>
      </w:tblPr>
      <w:tblGrid>
        <w:gridCol w:w="780"/>
        <w:gridCol w:w="686"/>
        <w:gridCol w:w="694"/>
        <w:gridCol w:w="291"/>
        <w:gridCol w:w="1058"/>
        <w:gridCol w:w="150"/>
        <w:gridCol w:w="109"/>
        <w:gridCol w:w="109"/>
        <w:gridCol w:w="109"/>
        <w:gridCol w:w="288"/>
        <w:gridCol w:w="1047"/>
        <w:gridCol w:w="210"/>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3,700.4 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Total allowances for doubtful accounts were $107.6 million and $118.8 million at December 31, 2024 and 2023, respectively. The reduction in accounts receivable includes the impact of divestitures. Refer to Note 5 </w:t>
      </w:r>
      <w:r>
        <w:rPr>
          <w:rFonts w:ascii="Times New Roman;sans-serif" w:hAnsi="Times New Roman;sans-serif"/>
          <w:b w:val="false"/>
          <w:i/>
          <w:color w:val="000000"/>
          <w:sz w:val="20"/>
        </w:rPr>
        <w:t>Divestitures</w:t>
      </w:r>
      <w:r>
        <w:rPr>
          <w:color w:val="000000"/>
        </w:rPr>
        <w:t xml:space="preserve"> </w:t>
      </w:r>
      <w:r>
        <w:rPr>
          <w:rFonts w:ascii="Times New Roman;sans-serif" w:hAnsi="Times New Roman;sans-serif"/>
          <w:b w:val="false"/>
          <w:color w:val="000000"/>
          <w:sz w:val="20"/>
        </w:rPr>
        <w:t>for additional information. Viatris performs ongoing credit evaluations of its customers and generally does not require collateral. Approximately 29% and 28% of the accounts receivable balances represent amounts due from three customers at December 31, 2024 and 2023, respectively.</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Factoring Arrangements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$68.5 million and $30.8 million of accounts receivable as of December 31, 2024 and 2023, respectively, under these factoring arrangements. Additionally, in 2023, we entered into a similar arrangement for certain European countries. As of December 31, 2024 and 2023, we assigned and derecognized approximately $29.9 million and $415.7 million, respectively, of </w:t>
      </w:r>
      <w:r>
        <w:rPr>
          <w:rFonts w:ascii="Times New Roman;sans-serif" w:hAnsi="Times New Roman;sans-serif"/>
          <w:b w:val="false"/>
          <w:i/>
          <w:color w:val="000000"/>
          <w:sz w:val="20"/>
        </w:rPr>
        <w:t>Trade Receivables, Net,</w:t>
      </w:r>
      <w:r>
        <w:rPr>
          <w:color w:val="000000"/>
        </w:rPr>
        <w:t xml:space="preserve"> </w:t>
      </w:r>
      <w:r>
        <w:rPr>
          <w:rFonts w:ascii="Times New Roman;sans-serif" w:hAnsi="Times New Roman;sans-serif"/>
          <w:b w:val="false"/>
          <w:color w:val="000000"/>
          <w:sz w:val="20"/>
        </w:rPr>
        <w:t xml:space="preserve">which were included in </w:t>
      </w:r>
      <w:r>
        <w:rPr>
          <w:rFonts w:ascii="Times New Roman;sans-serif" w:hAnsi="Times New Roman;sans-serif"/>
          <w:b w:val="false"/>
          <w:i/>
          <w:color w:val="000000"/>
          <w:sz w:val="20"/>
        </w:rPr>
        <w:t>Other Receivables</w:t>
      </w:r>
      <w:r>
        <w:rPr>
          <w:rFonts w:ascii="Times New Roman;sans-serif" w:hAnsi="Times New Roman;sans-serif"/>
          <w:b w:val="false"/>
          <w:color w:val="000000"/>
          <w:sz w:val="20"/>
        </w:rPr>
        <w:t>.</w:t>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4.Acquisitions and Other Transactions</w:t>
      </w:r>
    </w:p>
    <w:p>
      <w:pPr>
        <w:pStyle w:val="TextBody"/>
        <w:bidi w:val="0"/>
        <w:spacing w:lineRule="auto" w:line="25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 of Idorsia Products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15, 2024, the Company acquired exclusive global development and commercialization rights to two Phase 3 assets from Idorsia, as well as the potential to add additional innovative assets in the future. Under the terms of the original agreements, the development programs and certain personnel for selatogrel and cenerimod were transferred to Viatris from Idorsia in exchange for an upfront payment to Idorsia of $350 million, potential contingent milestone payments (including $300 million payable upon the achievement of certain development and regulatory milestones, and $2.1 billion payable upon the achievement of certain tiered sales milestones), as well as potential contingent tiered sales royalties. Viatris and Idorsia are both contractually obligated to contribute to the development costs for both programs. Viatris has worldwide commercialization rights for both selatogrel and cenerimod (excluding, for cenerimod only, Japan, South Korea and certain countries in the Asia-Pacific region). A joint development committee was formed to oversee the development of the ongoing Phase 3 programs through regulatory approval. The agreements also provide Viatris a right of first refusal and a right of first negotiation for certain other assets in Idorsia’s pipeline. The transaction expanded our portfolio of innovative assets by adding two Phase 3 assets and combines our financial strength and worldwide operational infrastructure with Idorsia’s proven, highly-productive drug development team and innovation engine.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accordance with U.S. GAAP, the transaction has been accounted for as a business combination under the acquisition method of accounting. Under the acquisition method of accounting, the assets acquired and liabilities assumed in the transaction were recorded at their respective estimated fair values at the acquisition date. During the year ended December 31, 2024, the Company incurred acquisition-related costs of approximately $3.9 million, which were recorded primarily in </w:t>
      </w:r>
      <w:r>
        <w:rPr>
          <w:rFonts w:ascii="Times New Roman;sans-serif" w:hAnsi="Times New Roman;sans-serif"/>
          <w:b w:val="false"/>
          <w:i/>
          <w:color w:val="000000"/>
          <w:sz w:val="20"/>
        </w:rPr>
        <w:t>SG&amp;A</w:t>
      </w:r>
      <w:r>
        <w:rPr>
          <w:color w:val="000000"/>
        </w:rPr>
        <w:t xml:space="preserve"> </w:t>
      </w:r>
      <w:r>
        <w:rPr>
          <w:rFonts w:ascii="Times New Roman;sans-serif" w:hAnsi="Times New Roman;sans-serif"/>
          <w:b w:val="false"/>
          <w:color w:val="000000"/>
          <w:sz w:val="20"/>
        </w:rPr>
        <w:t>in the consolidated statements of operations.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U.S. GAAP purchase price allocated to the transaction was $695 million, which consisted of $350 million of cash consideration paid and estimated contingent consideration at the date of acquisition valued at approximately $345 million. The fair value of the contingent consideration was valued using a Monte Carlo simulation model using Level 3 inputs. The fair value is sensitive to changes in the forecasts of operating metrics, probability of success, and discount rates. Refer to Note 9, </w:t>
      </w:r>
      <w:r>
        <w:rPr>
          <w:rFonts w:ascii="Times New Roman;sans-serif" w:hAnsi="Times New Roman;sans-serif"/>
          <w:b w:val="false"/>
          <w:i/>
          <w:color w:val="000000"/>
          <w:sz w:val="20"/>
        </w:rPr>
        <w:t>Financial Instruments and Risk Management</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allocation of the purchase price to the assets acquired and liabilities assumed is shown below. There were no measurement period adjustments during 2024.</w:t>
      </w:r>
    </w:p>
    <w:tbl>
      <w:tblPr>
        <w:tblW w:w="3232" w:type="dxa"/>
        <w:jc w:val="left"/>
        <w:tblInd w:w="0" w:type="dxa"/>
        <w:tblLayout w:type="fixed"/>
        <w:tblCellMar>
          <w:top w:w="28" w:type="dxa"/>
          <w:left w:w="28" w:type="dxa"/>
          <w:bottom w:w="28" w:type="dxa"/>
          <w:right w:w="28" w:type="dxa"/>
        </w:tblCellMar>
      </w:tblPr>
      <w:tblGrid>
        <w:gridCol w:w="658"/>
        <w:gridCol w:w="578"/>
        <w:gridCol w:w="579"/>
        <w:gridCol w:w="211"/>
        <w:gridCol w:w="616"/>
        <w:gridCol w:w="109"/>
        <w:gridCol w:w="109"/>
        <w:gridCol w:w="109"/>
        <w:gridCol w:w="109"/>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$675 million was based on the excess earnings method, which utilizes forecasts of expected cash inflows (including estimates for ongoing costs) and other contributory charges. A discount rate of 20% was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asset. Viatris and Idorsia are both contractually obligated to contribute to the development costs for both programs, which are expected to be incurred through 2026. There are risks and uncertainties associated with the timely and successful completion of the projects included in IPR&amp;D, including but not limited to the high cost and uncertainty of conducting clinical trials (particularly with respect to new and/or complex or innovative drugs), obtaining approval by relevant regulatory bodies and our partner’s financial condition, and no assurances can be given that the underlying assumptions used to estimate the fair value of IPR&amp;D will not change or the timely completion of each project to commercial success will occur.</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25, 2025, in order to preserve the ongoing continuity of the development programs for selatogrel and cenerimod considering certain capital structuring steps announced by Idorsia to secure its ongoing operations, Viatris and Idorsia entered into a letter agreement to amend certain terms of the original agreements described above. Under the terms of the letter agreement, Viatris will receive additional territory rights in Japan, South Korea and certain other countries in the Asia-Pacific region for cenerimod, a $250 million reduction in contingent milestone payments, including $200 million of development milestones, and additional personnel to expedite transitioning the development programs to Viatris in exchange for Viatris assuming $100 million of Idorsia’s obligation to contribute to development costs. In addition, the letter agreement provides for the replacement of the joint development committee with a transition committee to oversee the transition of both development programs to Viatris.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goodwill of $19.5 million arising from the acquisition consisted largely of the value of the employee workforce and the expected value of products, including additional indications, to be developed in the future. All of the goodwill was assigned to the Developed Markets segment. None of the goodwill recognized in this transaction is expected to be deductible for income tax purposes. The acquisition did not have a material impact on the Company’s results of operations since the acquisition date or on a pro forma basis during the year ended December 31, 2024.</w:t>
      </w:r>
    </w:p>
    <w:p>
      <w:pPr>
        <w:pStyle w:val="TextBody"/>
        <w:bidi w:val="0"/>
        <w:spacing w:lineRule="auto" w:line="25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Oyster Point Acquisition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2023, the Company completed the acquisition of Oyster Point for approximately $427.4 million in cash, which included $11 per share paid to Oyster Point stockholders through a tender offer, payment for vested share-based awards, and the repayment of the Oyster Point debt.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share-based awards to acquire Oyster Point common stock that were outstanding immediately prior to the closing of the acquisition were cancelled in exchange for the right to receive an amount in cash based upon a formula contained within the merger agreement. The unvested share-based awards were converted into Viatris share-based awards based upon a formula contained within the merger agreement.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During the year ended December 31, 2023, the Company incurred acquisition related costs of approximately $22.8 million, which were recorded primarily in SG&amp;A in the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adjustments were made to the preliminary purchase price recorded at January 3, 2023, and are reflected as “Measurement Period Adjustments” in the table below. The U.S. GAAP purchase price was $392.7 million, net of cash acquired. The allocation of the purchase price to the assets acquired and liabilities assumed for Oyster Point is as follows:</w:t>
      </w:r>
    </w:p>
    <w:tbl>
      <w:tblPr>
        <w:tblW w:w="10205" w:type="dxa"/>
        <w:jc w:val="left"/>
        <w:tblInd w:w="0" w:type="dxa"/>
        <w:tblLayout w:type="fixed"/>
        <w:tblCellMar>
          <w:top w:w="28" w:type="dxa"/>
          <w:left w:w="28" w:type="dxa"/>
          <w:bottom w:w="28" w:type="dxa"/>
          <w:right w:w="28" w:type="dxa"/>
        </w:tblCellMar>
      </w:tblPr>
      <w:tblGrid>
        <w:gridCol w:w="993"/>
        <w:gridCol w:w="871"/>
        <w:gridCol w:w="879"/>
        <w:gridCol w:w="563"/>
        <w:gridCol w:w="1644"/>
        <w:gridCol w:w="291"/>
        <w:gridCol w:w="109"/>
        <w:gridCol w:w="109"/>
        <w:gridCol w:w="109"/>
        <w:gridCol w:w="508"/>
        <w:gridCol w:w="978"/>
        <w:gridCol w:w="263"/>
        <w:gridCol w:w="109"/>
        <w:gridCol w:w="109"/>
        <w:gridCol w:w="109"/>
        <w:gridCol w:w="550"/>
        <w:gridCol w:w="1606"/>
        <w:gridCol w:w="405"/>
      </w:tblGrid>
      <w:tr>
        <w:trPr/>
        <w:tc>
          <w:tcPr>
            <w:tcW w:w="99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24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Preliminary Purchase Price Allocation as of January 3, 2023 </w:t>
            </w:r>
            <w:r>
              <w:rPr>
                <w:rFonts w:ascii="Times New Roman;sans-serif" w:hAnsi="Times New Roman;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Measurement Period Adjustments </w:t>
            </w:r>
            <w:r>
              <w:rPr>
                <w:rFonts w:ascii="Times New Roman;sans-serif" w:hAnsi="Times New Roman;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 Price Allocation as of December 31, 2023 (as adjusted)</w:t>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(excluding inventories and net of cash acquired)</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Identified intangible assets</w:t>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(net of $34.7 of cash acquired)</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bidi w:val="0"/>
        <w:spacing w:lineRule="auto" w:line="288" w:before="0" w:after="60"/>
        <w:ind w:left="0" w:right="0" w:firstLine="36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As previously reported in the Company’s Quarterly Report on Form 10-Q for the three months ended March 31, 2023.</w:t>
      </w:r>
    </w:p>
    <w:p>
      <w:pPr>
        <w:pStyle w:val="TextBody"/>
        <w:bidi w:val="0"/>
        <w:spacing w:lineRule="auto" w:line="288" w:before="0" w:after="0"/>
        <w:ind w:left="0" w:right="0" w:firstLine="360"/>
        <w:jc w:val="left"/>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20"/>
        </w:rPr>
        <w:t>The measurement period adjustments were recorded in the fourth quarter of 2023 and are related to income taxes.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Company recorded a step-up in the fair value of inventory of approximately $29.3 million, which was fully amortized during the year ended December 31, 2023 and was included in </w:t>
      </w:r>
      <w:r>
        <w:rPr>
          <w:rFonts w:ascii="Times New Roman;sans-serif" w:hAnsi="Times New Roman;sans-serif"/>
          <w:b w:val="false"/>
          <w:i/>
          <w:color w:val="000000"/>
          <w:sz w:val="20"/>
        </w:rPr>
        <w:t>Cost of sales</w:t>
      </w:r>
      <w:r>
        <w:rPr>
          <w:color w:val="000000"/>
        </w:rPr>
        <w:t xml:space="preserve"> </w:t>
      </w:r>
      <w:r>
        <w:rPr>
          <w:rFonts w:ascii="Times New Roman;sans-serif" w:hAnsi="Times New Roman;sans-serif"/>
          <w:b w:val="false"/>
          <w:color w:val="000000"/>
          <w:sz w:val="20"/>
        </w:rPr>
        <w:t>in the consolidated statement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identified intangible assets of $334.0 million are comprised of product rights and licenses related to a commercial asset, Tyrvaya®, for the treatment of dry eye disease, that have an estimated useful life of 10 years. Significant assumptions utilized in the valuation of identified intangible assets were based on company specific information and projections which are not observable in the market and are thus considered Level 3 measurements as defined by U.S. GAAP.</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goodwill of $6.7 million arising from the acquisition consisted largely of the value of the employee workforce and the expected value of products to be developed in the future. All of the goodwill was assigned to the Developed Markets segment. None of the goodwill recognized in this transaction is expected to be deductible for income tax purposes. The operating results of Oyster Point have been included in the Company’s consolidated statements of operations since the acquisition date. The total revenues of Oyster Point for the period from the acquisition date to December 31, 2023 were $41.7 million and net loss, net of tax, was approximately $163.1 million. The net loss for the period includes the effect of the purchase accounting adjustments and acquisition related costs.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unaudited pro forma information for the acquisition, as if it had occurred on January 1, 2022. The unaudited pro forma results reflect certain adjustments related to past operating performance and acquisition accounting adjustments, such as increased amortization expense based on the fair value of assets acquired, the impact of transaction costs and the related income tax effects. The unaudited pro forma results do not include any anticipated synergies which may be achievable, or have been achieved, subsequent to the closing of the acquisition. Accordingly, the unaudited pro forma results are not necessarily indicative of the results that actually would have occurred had the acquisitions been completed on the stated date above, nor are they indicative of the future operating results of Viatris and its subsidiaries.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7481" w:type="dxa"/>
        <w:jc w:val="left"/>
        <w:tblInd w:w="0" w:type="dxa"/>
        <w:tblLayout w:type="fixed"/>
        <w:tblCellMar>
          <w:top w:w="28" w:type="dxa"/>
          <w:left w:w="28" w:type="dxa"/>
          <w:bottom w:w="28" w:type="dxa"/>
          <w:right w:w="28" w:type="dxa"/>
        </w:tblCellMar>
      </w:tblPr>
      <w:tblGrid>
        <w:gridCol w:w="1331"/>
        <w:gridCol w:w="1170"/>
        <w:gridCol w:w="1174"/>
        <w:gridCol w:w="109"/>
        <w:gridCol w:w="109"/>
        <w:gridCol w:w="109"/>
        <w:gridCol w:w="109"/>
        <w:gridCol w:w="265"/>
        <w:gridCol w:w="1097"/>
        <w:gridCol w:w="137"/>
        <w:gridCol w:w="109"/>
        <w:gridCol w:w="109"/>
        <w:gridCol w:w="109"/>
        <w:gridCol w:w="263"/>
        <w:gridCol w:w="1089"/>
        <w:gridCol w:w="192"/>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871" w:type="dxa"/>
            <w:gridSpan w:val="6"/>
            <w:tcBorders/>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(Unaudited,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15,426.9 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1,905.7 </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9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Famy Life Sciences Acquisition</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November 7, 2022, the Company entered into a definitive agreement to acquire the remaining equity shares of Famy Life Sciences, a privately-owned research company with a complementary portfolio of ophthalmology therapies under development, for consideration of $281 million. The Company had previously entered into a Master Development Agreement with Famy Life Sciences on December 20, 2019 under which the Company obtained rights with respect to acquiring certain pharmaceutical products and a 13.5% equity interest in Famy Life Sciences for $25.0 million. The investment was accounted for in accordance with ASC 321,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transaction to acquire the remaining equity shares of Famy Life Sciences closed during the first quarter of 2023. The Company recognized a gain of $18.9 million during the first quarter of 2023 as a result of remeasuring its pre-existing 13.5% equity interest in Famy Life Sciences to fair value, which was recognized as a component of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statements of operations.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The U.S. GAAP purchase price allocated to the transaction was $325.0 million, which consisted of $281 million of cash consideration paid for the remaining equity shares and $43.9 million for the fair value of the pre-existing 13.5% equity interest. </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an adjustment was made to the preliminary purchase price recorded at January 3, 2023, and is reflected as “Measurement Period Adjustments” in the table below. The allocation of the purchase price to the assets acquired and liabilities assumed for Famy Life Sciences is as follows:</w:t>
      </w:r>
    </w:p>
    <w:tbl>
      <w:tblPr>
        <w:tblW w:w="10205" w:type="dxa"/>
        <w:jc w:val="left"/>
        <w:tblInd w:w="0" w:type="dxa"/>
        <w:tblLayout w:type="fixed"/>
        <w:tblCellMar>
          <w:top w:w="28" w:type="dxa"/>
          <w:left w:w="28" w:type="dxa"/>
          <w:bottom w:w="28" w:type="dxa"/>
          <w:right w:w="28" w:type="dxa"/>
        </w:tblCellMar>
      </w:tblPr>
      <w:tblGrid>
        <w:gridCol w:w="873"/>
        <w:gridCol w:w="756"/>
        <w:gridCol w:w="706"/>
        <w:gridCol w:w="600"/>
        <w:gridCol w:w="1752"/>
        <w:gridCol w:w="311"/>
        <w:gridCol w:w="109"/>
        <w:gridCol w:w="109"/>
        <w:gridCol w:w="109"/>
        <w:gridCol w:w="517"/>
        <w:gridCol w:w="1035"/>
        <w:gridCol w:w="269"/>
        <w:gridCol w:w="109"/>
        <w:gridCol w:w="109"/>
        <w:gridCol w:w="109"/>
        <w:gridCol w:w="586"/>
        <w:gridCol w:w="1713"/>
        <w:gridCol w:w="433"/>
      </w:tblGrid>
      <w:tr>
        <w:trPr/>
        <w:tc>
          <w:tcPr>
            <w:tcW w:w="87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26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Preliminary Purchase Price Allocation as of January 3, 2023 </w:t>
            </w:r>
            <w:r>
              <w:rPr>
                <w:rFonts w:ascii="Times New Roman;sans-serif" w:hAnsi="Times New Roman;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Measurement Period Adjustments </w:t>
            </w:r>
            <w:r>
              <w:rPr>
                <w:rFonts w:ascii="Times New Roman;sans-serif" w:hAnsi="Times New Roman;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 Price Allocation as of December 31, 2023 (as adjusted)</w:t>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2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(net of $0.2 of cash acquired)</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bidi w:val="0"/>
        <w:spacing w:lineRule="auto" w:line="288" w:before="0" w:after="60"/>
        <w:ind w:left="0" w:right="0" w:firstLine="36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As previously reported in the Company’s Quarterly Report on Form 10-Q for the three months ended March 31, 2023.</w:t>
      </w:r>
    </w:p>
    <w:p>
      <w:pPr>
        <w:pStyle w:val="TextBody"/>
        <w:bidi w:val="0"/>
        <w:spacing w:lineRule="auto" w:line="288" w:before="0" w:after="0"/>
        <w:ind w:left="0" w:right="0" w:firstLine="360"/>
        <w:jc w:val="left"/>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20"/>
        </w:rPr>
        <w:t>The measurement period adjustment was recorded in the fourth quarter of 2023 and is related to income taxes.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$290.0 million was based on the excess earnings method, which utilizes forecasts of expected cash inflows (including estimates for ongoing costs) and other contributory charges. A discount rate of 23.9% was utilized to discount net cash inflows to present values. IPR&amp;D is accounted for as an indefinite-lived intangible asset and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pPr>
      <w:r>
        <w:rPr>
          <w:rFonts w:ascii="Times New Roman;sans-serif" w:hAnsi="Times New Roman;sans-serif"/>
          <w:b w:val="false"/>
          <w:color w:val="000000"/>
          <w:sz w:val="20"/>
        </w:rPr>
        <w:t xml:space="preserve">be subject to impairment testing until completion or abandonment of the projects. Upon successful completion and launch of each product, the Company will make a determination of the estimated useful life of the individual asset. The acquired IPR&amp;D projects are in various stages of completion. There are risks and uncertainties associated with the timely and successful completion of the projects included in IPR&amp;D, and no assurances can be given that the underlying assumptions used to estimate the fair value of IPR&amp;D will not change or the timely completion of each project to commercial success will occur. Refer to Note 8 </w:t>
      </w:r>
      <w:r>
        <w:rPr>
          <w:rFonts w:ascii="Times New Roman;sans-serif" w:hAnsi="Times New Roman;sans-serif"/>
          <w:b w:val="false"/>
          <w:i/>
          <w:color w:val="000000"/>
          <w:sz w:val="20"/>
        </w:rPr>
        <w:t xml:space="preserve">Goodwill and Intangible Assets </w:t>
      </w:r>
      <w:r>
        <w:rPr>
          <w:rFonts w:ascii="Times New Roman;sans-serif" w:hAnsi="Times New Roman;sans-serif"/>
          <w:b w:val="false"/>
          <w:color w:val="000000"/>
          <w:sz w:val="20"/>
        </w:rPr>
        <w:t>for additional information.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goodwill of $89.2 million arising from the acquisition consisted largely of the value of the employee workforce and the expected value of products to be developed in the future. All of the goodwill was assigned to the Developed Markets segment. None of the goodwill recognized in this transaction is expected to be deductible for income tax purposes. The acquisition did not have a material impact on the Company’s results of operations since the acquisition date or on a pro forma basis for the years ended December 31, 2023 and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Ophthalmology is one of the key therapeutic areas of focus that the Company announced in February 2022 when it announced plans for certain strategic actions. With the combination of Viatris' global commercial footprint, R&amp;D and regulatory capabilities and supply chain, along with Oyster Point's deep knowledge of the ophthalmology space from a clinical, medical, regulatory and commercial perspective, the Company believes it has the foundation to create a leading global ophthalmology franchise, accelerating efforts to address the unmet needs of patients with ophthalmic disease and the eye care professionals who treat them.</w:t>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5.Divestitures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the Company announced it had received an offer for the divestiture of its OTC Business and had entered into definitive agreements to divest its women’s healthcare business primarily related to oral and injectable contraceptives, its API business in India, its rights to two women’s healthcare products in certain countries, and commercialization rights in the Upjohn Distributor Markets. The Company has substantially completed all these divestitures by the end of 2024. The OTC, API and women’s healthcare businesses were deemed businesses for U.S. GAAP accounting purposes. As such, the assets and liabilities included an allocation of goodwill. The sale of the rights to two women’s healthcare products in certain countries was accounted for as an asset sale. In conjunction with these transactions, Viatris and the respective buyers entered into various agreements to provide a framework for our relationship with the respective buyers after the closing of the divestitures, including transition services agreements, manufacturing and supply agreements, and distribution agreements, as necessary.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During the years ended December 31, 2024, 2023 and 2022, the Company recognized TSA income related to all divestitures of approximately $69.9 million, $168.0 million, and $17.7 million, respectively. TSA income is recorded as a component of </w:t>
      </w:r>
      <w:r>
        <w:rPr>
          <w:rFonts w:ascii="Times New Roman;sans-serif" w:hAnsi="Times New Roman;sans-serif"/>
          <w:b w:val="false"/>
          <w:i/>
          <w:color w:val="000000"/>
          <w:sz w:val="20"/>
        </w:rPr>
        <w:t>Other Expense (Income), Net.</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Women’s Healthcare</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the third quarter of 2023, Viatris executed an agreement to divest its women’s healthcare business to Insud Pharma, S.L., a leading Spanish multinational pharmaceutical company. The divestiture of the women’s healthcare business was primarily related to our oral and injectable contraceptives and did not include all of our women’s healthcare related products. The transaction included two manufacturing facilities in India. Assets and liabilities associated with the women’s healthcare business divested were classified as held for sale in the consolidated balance sheet as of December 31, 2023. The transaction closed in March 2024 and during the year ended December 31, 2024, the Company recognized a pre-tax gain on sale of approximately $77.8 million for the difference between the consideration received and the carrying value of the assets transferred (including an allocation of goodwill), which was recorded as a component of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the third quarter of 2023, Viatris also entered into a separate agreement to divest its rights to women’s healthcare products Duphaston® and Femoston® in certain countries to Theramex HQ UK Limited, a leading global specialty pharmaceutical company dedicated to women’s health. The transaction (other than in the U.K.) closed in December 2023, and upon closing, the Company recognized a pre-tax gain on sale of approximately $156.2 million in that quarter for the difference between the consideration received and the carrying value of the assets transferred. In the third quarter of 2024, the Company closed the divestiture of the product rights to Duphaston® and Femoston® in the U.K. to Insud Pharma, S.L., and recognized a pre-tax gain on sale of approximately $10.8 million. The respective pre-tax gains were recorded as a component of </w:t>
      </w:r>
      <w:r>
        <w:rPr>
          <w:rFonts w:ascii="Times New Roman;sans-serif" w:hAnsi="Times New Roman;sans-serif"/>
          <w:b w:val="false"/>
          <w:i/>
          <w:color w:val="000000"/>
          <w:sz w:val="20"/>
        </w:rPr>
        <w:t xml:space="preserve">SG&amp;A </w:t>
      </w:r>
      <w:r>
        <w:rPr>
          <w:rFonts w:ascii="Times New Roman;sans-serif" w:hAnsi="Times New Roman;sans-serif"/>
          <w:b w:val="false"/>
          <w:color w:val="000000"/>
          <w:sz w:val="20"/>
        </w:rPr>
        <w:t>expense in the consolidated statement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OTC</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 2023, Viatris received an offer from Cooper Consumer Health SAS, a leading European OTC drug manufacturer and distributor, for Viatris to divest its OTC Business, including two manufacturing sites located in Merignac, France, and Confienza, Italy, and an R&amp;D site in Monza, Italy. In January 2024, we exercised our option to accept the offer in the OTC Transaction and entered into a definitive transaction agreement with respect to such OTC Transaction. The Company retained the rights for Viagra®, Dymista® (which, in certain limited markets, are sold as OTC products) and select OTC products in certain markets. The OTC Transaction closed on July 3,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OTC Business divested met the criteria to be classified as held for sale on October 1, 2023. As such, the related assets and liabilities were classified as held for sale in the consolidated balance sheet as of December 31, 2023. Upon classification as held for sale in the fourth quarter of 2023, we recognized a total charge of approximately $734.7 million, which was comprised of a goodwill impairment charge of approximately $580.1 million (recorded as a component of </w:t>
      </w:r>
      <w:r>
        <w:rPr>
          <w:rFonts w:ascii="Times New Roman;sans-serif" w:hAnsi="Times New Roman;sans-serif"/>
          <w:b w:val="false"/>
          <w:i/>
          <w:color w:val="000000"/>
          <w:sz w:val="20"/>
        </w:rPr>
        <w:t xml:space="preserve">SG&amp;A </w:t>
      </w:r>
      <w:r>
        <w:rPr>
          <w:rFonts w:ascii="Times New Roman;sans-serif" w:hAnsi="Times New Roman;sans-serif"/>
          <w:b w:val="false"/>
          <w:color w:val="000000"/>
          <w:sz w:val="20"/>
        </w:rPr>
        <w:t xml:space="preserve">expense), and a charge of approximately $154.7 million to write down the disposal group to fair value, less cost to sell (recorded as a component of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 xml:space="preserve">in the consolidated statement of operations. During the year ended December 31, 2024, the Company recorded additional pre-tax charges of approximately $369.0 million to further write down the disposal group to fair value, less cost to sell. The additional charges were recorded as a component of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 xml:space="preserve">in the consolidated statement of operations, and were primarily due to an increase in estimated transaction related costs, including the assumption of additional contractual obligations, as well as the impact of working capital and other transaction-related adjustments on the proceeds. </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API</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October 1, 2023, Viatris executed an agreement to divest its API business in India to Matrix Pharma Private Limited, a privately held pharmaceutical company based in India. The transaction included three manufacturing sites and a R&amp;D lab in Hyderabad, three manufacturing sites in Vizag and third-party API sales. Viatris retained some selective R&amp;D capabilities in API. The transaction closed in June 2024. The API business in India met the criteria to be classified as held for sale on October 1, 2023 and the related assets and liabilities were reclassified as held for sale in the consolidated balance sheet as of December 31, 2023. During the year ended December 31, 2024, the Company recognized pre-tax charges of approximately $47.8 million on the disposal of the business, which were recorded as a component of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 of operations.</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Upjohn Distributor Markets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the fourth quarter of 2022, the commercialization rights in the Upjohn Distributor Markets met the criteria to be classified as held for sale. Upon classification as held for sale, the Company recognized a total charge of $374.2 million in 2022, which was comprised of a goodwill impairment charge of $117.0 million, other charges, principally inventory write-offs, of $84.3 million and a charge of approximately $172.9 million to write down the disposal group to fair value, less cost to sell. During the year ended December 31, 2023, the Company recorded charges totaling $136.4 million, primarily consisting of losses on the disposals of $85.2 million, which were recorded as a component of </w:t>
      </w:r>
      <w:r>
        <w:rPr>
          <w:rFonts w:ascii="Times New Roman;sans-serif" w:hAnsi="Times New Roman;sans-serif"/>
          <w:b w:val="false"/>
          <w:i/>
          <w:color w:val="000000"/>
          <w:sz w:val="20"/>
        </w:rPr>
        <w:t>Other Expense (Income), Net</w:t>
      </w:r>
      <w:r>
        <w:rPr>
          <w:rFonts w:ascii="Times New Roman;sans-serif" w:hAnsi="Times New Roman;sans-serif"/>
          <w:b w:val="false"/>
          <w:color w:val="000000"/>
          <w:sz w:val="20"/>
        </w:rPr>
        <w:t xml:space="preserve">. The divestitures of the commercialization rights in the majority of the Upjohn Distributor Markets closed during 2023 and 2024.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Biocon Biologics Transaction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November 29, 2022, Viatris completed a transaction to contribute its biosimilars portfolio to Biocon Biologics.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at closing. During the years ended December 31, 2024 and 2023, the Company recorded a gain of $373.5 million and a loss of $21.1 million, respectively, as a result of remeasuring the CCPS in Biocon Biologics to fair value. The current year gain is primarily related to changes in certain market factors, including Biocon’s share price. The Company’s CCPS in Biocon Biologics are classified as equity securities and are included in </w:t>
      </w:r>
      <w:r>
        <w:rPr>
          <w:rFonts w:ascii="Times New Roman;sans-serif" w:hAnsi="Times New Roman;sans-serif"/>
          <w:b w:val="false"/>
          <w:i/>
          <w:color w:val="000000"/>
          <w:sz w:val="20"/>
        </w:rPr>
        <w:t>Other Assets</w:t>
      </w:r>
      <w:r>
        <w:rPr>
          <w:color w:val="000000"/>
        </w:rPr>
        <w:t xml:space="preserve"> </w:t>
      </w:r>
      <w:r>
        <w:rPr>
          <w:rFonts w:ascii="Times New Roman;sans-serif" w:hAnsi="Times New Roman;sans-serif"/>
          <w:b w:val="false"/>
          <w:color w:val="000000"/>
          <w:sz w:val="20"/>
        </w:rPr>
        <w:t xml:space="preserve">in the consolidated balance sheets, and gains and losses recorded as a result of remeasuring the CCPS in Biocon Biologics to fair value are recorded as a component of </w:t>
      </w:r>
      <w:r>
        <w:rPr>
          <w:rFonts w:ascii="Times New Roman;sans-serif" w:hAnsi="Times New Roman;sans-serif"/>
          <w:b w:val="false"/>
          <w:i/>
          <w:color w:val="000000"/>
          <w:sz w:val="20"/>
        </w:rPr>
        <w:t>Other Expense (Income), Net</w:t>
      </w:r>
      <w:r>
        <w:rPr>
          <w:rFonts w:ascii="Times New Roman;sans-serif" w:hAnsi="Times New Roman;sans-serif"/>
          <w:b w:val="false"/>
          <w:color w:val="000000"/>
          <w:sz w:val="20"/>
        </w:rPr>
        <w:t xml:space="preserve">. The fair value is reassessed quarterly. Refer to Note 9 </w:t>
      </w:r>
      <w:r>
        <w:rPr>
          <w:rFonts w:ascii="Times New Roman;sans-serif" w:hAnsi="Times New Roman;sans-serif"/>
          <w:b w:val="false"/>
          <w:i/>
          <w:color w:val="000000"/>
          <w:sz w:val="20"/>
        </w:rPr>
        <w:t>Financial Instruments and Risk Management</w:t>
      </w:r>
      <w:r>
        <w:rPr>
          <w:color w:val="000000"/>
        </w:rPr>
        <w:t xml:space="preserve"> </w:t>
      </w:r>
      <w:r>
        <w:rPr>
          <w:rFonts w:ascii="Times New Roman;sans-serif" w:hAnsi="Times New Roman;sans-serif"/>
          <w:b w:val="false"/>
          <w:color w:val="000000"/>
          <w:sz w:val="20"/>
        </w:rPr>
        <w:t xml:space="preserve">for further discussion.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Biocon Agreement provided for a closing working capital target of $250 million, of which $220 million was paid by Viatris to Biocon Biologics during 2023. In addition, pursuant to the terms of the Biocon Agreement, the Company was entitled to receive a total of $335 million of additional cash payments in 2024 as deferred consideration. The Company received $245 million in deferred cash consideration payments from Biocon Biologics during 2024, and Viatris and Biocon Biologics agreed to offset certain amounts due between the parties, including the remaining $30 million of the closing working capital target, against the deferred cash consideration. In conjunction with the final settlement of amounts due between the parties, the Company recorded a pre-tax loss of $60.0 million as a component of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 xml:space="preserve">in the consolidated statements of operations during the fourth quarter of 2024. Biocon Biologics has fulfilled its obligations with respect to all deferred cash consideration and Viatris has fulfilled its obligations with respect to the closing working capital target under the Biocon Agreement pursuant to the final settlement.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time of closing of the Biocon Biologics Transaction, Viatris and Biocon Biologics also entered an agreement pursuant to which Viatris was providing commercialization and certain other transition services on behalf of Biocon Biologics, including billings, collections and the remittance of rebates, to ensure business continuity for patients, customers and colleagues. Biocon Biologics had substantially exited all transition services with Viatris as of December 31,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Upon closing of the Biocon Biologics Transaction, the Company recognized a gain on sale of approximately $1.75 billion for the difference between the consideration received, including the fair value of the CCPS, and the carrying value of the biosimilars portfolio (including an allocation of goodwill). The gain was recognized as a component of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 xml:space="preserve">in the consolidated statement of operations during the year ended December 31, 2022. The Company has not recognized the results of the business in its consolidated financial statements subsequent to November 29, 2022.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previously entered into an exclusive collaboration with Biocon on the development, manufacturing, supply and commercialization of multiple, high value biosimilar compounds and three insulin analog products for the global marketplace. The collaboration was terminated upon closing of the Biocon Biologics Transaction.</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Held for Sale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assets and liabilities classified as held for sale at December 31, 2024. Assets and liabilities held for sale consisted of the following at December 31, 2023:</w:t>
      </w:r>
    </w:p>
    <w:tbl>
      <w:tblPr>
        <w:tblW w:w="5690" w:type="dxa"/>
        <w:jc w:val="left"/>
        <w:tblInd w:w="0" w:type="dxa"/>
        <w:tblLayout w:type="fixed"/>
        <w:tblCellMar>
          <w:top w:w="28" w:type="dxa"/>
          <w:left w:w="28" w:type="dxa"/>
          <w:bottom w:w="28" w:type="dxa"/>
          <w:right w:w="28" w:type="dxa"/>
        </w:tblCellMar>
      </w:tblPr>
      <w:tblGrid>
        <w:gridCol w:w="1305"/>
        <w:gridCol w:w="1146"/>
        <w:gridCol w:w="1149"/>
        <w:gridCol w:w="109"/>
        <w:gridCol w:w="109"/>
        <w:gridCol w:w="109"/>
        <w:gridCol w:w="109"/>
        <w:gridCol w:w="109"/>
        <w:gridCol w:w="288"/>
        <w:gridCol w:w="1047"/>
        <w:gridCol w:w="210"/>
      </w:tblGrid>
      <w:tr>
        <w:trPr/>
        <w:tc>
          <w:tcPr>
            <w:tcW w:w="130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on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pPr>
      <w:r>
        <w:rPr>
          <w:rFonts w:ascii="Times New Roman;sans-serif" w:hAnsi="Times New Roman;sans-serif"/>
          <w:b/>
          <w:color w:val="000000"/>
          <w:sz w:val="20"/>
        </w:rPr>
        <w:t>6.Balance Sheet Components</w:t>
      </w:r>
      <w:r>
        <w:rPr>
          <w:color w:val="000000"/>
        </w:rPr>
        <w:t xml:space="preserv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Selected balance sheet components consist of the following:</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and restricted cash</w:t>
      </w:r>
    </w:p>
    <w:tbl>
      <w:tblPr>
        <w:tblW w:w="9728" w:type="dxa"/>
        <w:jc w:val="left"/>
        <w:tblInd w:w="0" w:type="dxa"/>
        <w:tblLayout w:type="fixed"/>
        <w:tblCellMar>
          <w:top w:w="28" w:type="dxa"/>
          <w:left w:w="28" w:type="dxa"/>
          <w:bottom w:w="28" w:type="dxa"/>
          <w:right w:w="28" w:type="dxa"/>
        </w:tblCellMar>
      </w:tblPr>
      <w:tblGrid>
        <w:gridCol w:w="2081"/>
        <w:gridCol w:w="1827"/>
        <w:gridCol w:w="1837"/>
        <w:gridCol w:w="247"/>
        <w:gridCol w:w="721"/>
        <w:gridCol w:w="127"/>
        <w:gridCol w:w="109"/>
        <w:gridCol w:w="109"/>
        <w:gridCol w:w="109"/>
        <w:gridCol w:w="247"/>
        <w:gridCol w:w="721"/>
        <w:gridCol w:w="127"/>
        <w:gridCol w:w="109"/>
        <w:gridCol w:w="109"/>
        <w:gridCol w:w="109"/>
        <w:gridCol w:w="212"/>
        <w:gridCol w:w="772"/>
        <w:gridCol w:w="155"/>
      </w:tblGrid>
      <w:tr>
        <w:trPr/>
        <w:tc>
          <w:tcPr>
            <w:tcW w:w="2081"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prepaid expenses and other current assets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Inventories</w:t>
      </w:r>
    </w:p>
    <w:tbl>
      <w:tblPr>
        <w:tblW w:w="4795" w:type="dxa"/>
        <w:jc w:val="left"/>
        <w:tblInd w:w="0" w:type="dxa"/>
        <w:tblLayout w:type="fixed"/>
        <w:tblCellMar>
          <w:top w:w="28" w:type="dxa"/>
          <w:left w:w="28" w:type="dxa"/>
          <w:bottom w:w="28" w:type="dxa"/>
          <w:right w:w="28" w:type="dxa"/>
        </w:tblCellMar>
      </w:tblPr>
      <w:tblGrid>
        <w:gridCol w:w="517"/>
        <w:gridCol w:w="453"/>
        <w:gridCol w:w="454"/>
        <w:gridCol w:w="291"/>
        <w:gridCol w:w="1058"/>
        <w:gridCol w:w="150"/>
        <w:gridCol w:w="109"/>
        <w:gridCol w:w="109"/>
        <w:gridCol w:w="109"/>
        <w:gridCol w:w="288"/>
        <w:gridCol w:w="1047"/>
        <w:gridCol w:w="210"/>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3,854.1 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reserves totaled $454.5 million and $479.3 million at December 31, 2024 and 2023, respectively. Included as a component of cost of sales is expense related to the net realizable value of inventories of $289.3 million, $226.9 million and $326.1 million for the years ended December 31, 2024, 2023 and 2022, respectively.</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tbl>
      <w:tblPr>
        <w:tblW w:w="7585" w:type="dxa"/>
        <w:jc w:val="center"/>
        <w:tblInd w:w="0" w:type="dxa"/>
        <w:tblLayout w:type="fixed"/>
        <w:tblCellMar>
          <w:top w:w="28" w:type="dxa"/>
          <w:left w:w="28" w:type="dxa"/>
          <w:bottom w:w="28" w:type="dxa"/>
          <w:right w:w="28" w:type="dxa"/>
        </w:tblCellMar>
      </w:tblPr>
      <w:tblGrid>
        <w:gridCol w:w="1528"/>
        <w:gridCol w:w="1342"/>
        <w:gridCol w:w="1344"/>
        <w:gridCol w:w="291"/>
        <w:gridCol w:w="1058"/>
        <w:gridCol w:w="150"/>
        <w:gridCol w:w="109"/>
        <w:gridCol w:w="109"/>
        <w:gridCol w:w="109"/>
        <w:gridCol w:w="288"/>
        <w:gridCol w:w="1047"/>
        <w:gridCol w:w="210"/>
      </w:tblGrid>
      <w:tr>
        <w:trPr/>
        <w:tc>
          <w:tcPr>
            <w:tcW w:w="152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consideration due from Biocon Biologics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securities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financial instruments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 for taxes on intercompany profit</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2,028.1 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consist primarily of prepaid rent, insurance and other individually insignificant items.</w:t>
      </w:r>
    </w:p>
    <w:p>
      <w:pPr>
        <w:pStyle w:val="TextBody"/>
        <w:bidi w:val="0"/>
        <w:spacing w:lineRule="auto" w:line="288" w:before="0" w:after="60"/>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tbl>
      <w:tblPr>
        <w:tblW w:w="6446" w:type="dxa"/>
        <w:jc w:val="center"/>
        <w:tblInd w:w="0" w:type="dxa"/>
        <w:tblLayout w:type="fixed"/>
        <w:tblCellMar>
          <w:top w:w="28" w:type="dxa"/>
          <w:left w:w="28" w:type="dxa"/>
          <w:bottom w:w="28" w:type="dxa"/>
          <w:right w:w="28" w:type="dxa"/>
        </w:tblCellMar>
      </w:tblPr>
      <w:tblGrid>
        <w:gridCol w:w="1112"/>
        <w:gridCol w:w="975"/>
        <w:gridCol w:w="988"/>
        <w:gridCol w:w="291"/>
        <w:gridCol w:w="1058"/>
        <w:gridCol w:w="150"/>
        <w:gridCol w:w="109"/>
        <w:gridCol w:w="109"/>
        <w:gridCol w:w="109"/>
        <w:gridCol w:w="288"/>
        <w:gridCol w:w="1047"/>
        <w:gridCol w:w="210"/>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plant and equipment</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2,010.7 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costs included in our consolidated balance sheets were $157.7 million and $167.2 million, net of accumulated depreciation, at December 31, 2024 and 2023, respectively. The Company periodically reviews the estimated useful lives of assets and makes adjustments when appropriate. Depreciation expense was approximately $357.0 million, $362.1 million and $349.5 million for the years ended December 31, 2024, 2023 and 2022, respectively.</w:t>
      </w:r>
    </w:p>
    <w:p>
      <w:pPr>
        <w:pStyle w:val="TextBody"/>
        <w:bidi w:val="0"/>
        <w:spacing w:lineRule="auto" w:line="288" w:before="0" w:after="60"/>
        <w:jc w:val="left"/>
        <w:rPr>
          <w:rFonts w:ascii="Times New Roman;sans-serif" w:hAnsi="Times New Roman;sans-serif"/>
          <w:b/>
          <w:i/>
          <w:color w:val="000000"/>
          <w:sz w:val="20"/>
        </w:rPr>
      </w:pPr>
      <w:r>
        <w:rPr>
          <w:rFonts w:ascii="Times New Roman;sans-serif" w:hAnsi="Times New Roman;sans-serif"/>
          <w:b/>
          <w:i/>
          <w:color w:val="000000"/>
          <w:sz w:val="20"/>
        </w:rPr>
        <w:t>Other assets</w:t>
      </w:r>
    </w:p>
    <w:tbl>
      <w:tblPr>
        <w:tblW w:w="6595" w:type="dxa"/>
        <w:jc w:val="left"/>
        <w:tblInd w:w="0" w:type="dxa"/>
        <w:tblLayout w:type="fixed"/>
        <w:tblCellMar>
          <w:top w:w="28" w:type="dxa"/>
          <w:left w:w="28" w:type="dxa"/>
          <w:bottom w:w="28" w:type="dxa"/>
          <w:right w:w="28" w:type="dxa"/>
        </w:tblCellMar>
      </w:tblPr>
      <w:tblGrid>
        <w:gridCol w:w="1169"/>
        <w:gridCol w:w="1026"/>
        <w:gridCol w:w="1029"/>
        <w:gridCol w:w="291"/>
        <w:gridCol w:w="1058"/>
        <w:gridCol w:w="150"/>
        <w:gridCol w:w="109"/>
        <w:gridCol w:w="109"/>
        <w:gridCol w:w="109"/>
        <w:gridCol w:w="288"/>
        <w:gridCol w:w="1047"/>
        <w:gridCol w:w="210"/>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CCPS in Biocon Biologics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Non-marketable equity investments </w:t>
            </w:r>
            <w:r>
              <w:rPr>
                <w:rFonts w:ascii="Times New Roman;sans-serif" w:hAnsi="Times New Roman;sans-serif"/>
                <w:b w:val="false"/>
                <w:color w:val="000000"/>
                <w:sz w:val="13"/>
              </w:rPr>
              <w:t>(1)</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2,208.7 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 xml:space="preserve">Refer to Note 18 </w:t>
      </w:r>
      <w:r>
        <w:rPr>
          <w:rFonts w:ascii="Times New Roman;sans-serif" w:hAnsi="Times New Roman;sans-serif"/>
          <w:b w:val="false"/>
          <w:i/>
          <w:color w:val="000000"/>
          <w:sz w:val="20"/>
        </w:rPr>
        <w:t>Licensing and Other Partner Agreements</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0" w:after="60"/>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Accounts payable</w:t>
      </w:r>
    </w:p>
    <w:tbl>
      <w:tblPr>
        <w:tblW w:w="5411" w:type="dxa"/>
        <w:jc w:val="left"/>
        <w:tblInd w:w="0" w:type="dxa"/>
        <w:tblLayout w:type="fixed"/>
        <w:tblCellMar>
          <w:top w:w="28" w:type="dxa"/>
          <w:left w:w="28" w:type="dxa"/>
          <w:bottom w:w="28" w:type="dxa"/>
          <w:right w:w="28" w:type="dxa"/>
        </w:tblCellMar>
      </w:tblPr>
      <w:tblGrid>
        <w:gridCol w:w="740"/>
        <w:gridCol w:w="649"/>
        <w:gridCol w:w="651"/>
        <w:gridCol w:w="291"/>
        <w:gridCol w:w="1058"/>
        <w:gridCol w:w="150"/>
        <w:gridCol w:w="109"/>
        <w:gridCol w:w="109"/>
        <w:gridCol w:w="109"/>
        <w:gridCol w:w="288"/>
        <w:gridCol w:w="1047"/>
        <w:gridCol w:w="210"/>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payable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1,938.2 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has certain voluntary supply chain finance programs with financial intermediaries which provide participating suppliers the option to be paid by the intermediary earlier than the original invoice due date. The Company’s responsibility is limited to making payments on the terms originally negotiated with the suppliers, regardless of whether the intermediary pays the supplier in advance of the original due date. The range of payment terms the Company negotiates with suppliers are consistent, regardless of whether a supplier participates in a supply chain finance program. The total amounts due to financial intermediaries to settle supplier invoices under supply chain finance programs as of December 31, 2024 and 2023 were $41.9 million and $65.1 million, respectively. These amounts are included within </w:t>
      </w:r>
      <w:r>
        <w:rPr>
          <w:rFonts w:ascii="Times New Roman;sans-serif" w:hAnsi="Times New Roman;sans-serif"/>
          <w:b w:val="false"/>
          <w:i/>
          <w:color w:val="000000"/>
          <w:sz w:val="20"/>
        </w:rPr>
        <w:t>Accounts payable</w:t>
      </w:r>
      <w:r>
        <w:rPr>
          <w:color w:val="000000"/>
        </w:rPr>
        <w:t xml:space="preserve"> </w:t>
      </w:r>
      <w:r>
        <w:rPr>
          <w:rFonts w:ascii="Times New Roman;sans-serif" w:hAnsi="Times New Roman;sans-serif"/>
          <w:b w:val="false"/>
          <w:color w:val="000000"/>
          <w:sz w:val="20"/>
        </w:rPr>
        <w:t>in the consolidated balance sheets.</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rollforward of the Company’s outstanding obligations under its supply chain finance program for the year ended December 31, 2024 is as follows: </w:t>
      </w:r>
    </w:p>
    <w:tbl>
      <w:tblPr>
        <w:tblW w:w="7027" w:type="dxa"/>
        <w:jc w:val="left"/>
        <w:tblInd w:w="0" w:type="dxa"/>
        <w:tblLayout w:type="fixed"/>
        <w:tblCellMar>
          <w:top w:w="28" w:type="dxa"/>
          <w:left w:w="28" w:type="dxa"/>
          <w:bottom w:w="28" w:type="dxa"/>
          <w:right w:w="28" w:type="dxa"/>
        </w:tblCellMar>
      </w:tblPr>
      <w:tblGrid>
        <w:gridCol w:w="1907"/>
        <w:gridCol w:w="1672"/>
        <w:gridCol w:w="1686"/>
        <w:gridCol w:w="381"/>
        <w:gridCol w:w="922"/>
        <w:gridCol w:w="196"/>
        <w:gridCol w:w="109"/>
        <w:gridCol w:w="154"/>
      </w:tblGrid>
      <w:tr>
        <w:trPr/>
        <w:tc>
          <w:tcPr>
            <w:tcW w:w="190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Confirmed obligations outstanding at the beginning of the year</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Invoices confirmed during the year</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Confirmed invoices paid during the year</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Confirmed obligations outstanding at the end of the year</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current liabilities</w:t>
      </w:r>
    </w:p>
    <w:tbl>
      <w:tblPr>
        <w:tblW w:w="8441" w:type="dxa"/>
        <w:jc w:val="center"/>
        <w:tblInd w:w="0" w:type="dxa"/>
        <w:tblLayout w:type="fixed"/>
        <w:tblCellMar>
          <w:top w:w="28" w:type="dxa"/>
          <w:left w:w="28" w:type="dxa"/>
          <w:bottom w:w="28" w:type="dxa"/>
          <w:right w:w="28" w:type="dxa"/>
        </w:tblCellMar>
      </w:tblPr>
      <w:tblGrid>
        <w:gridCol w:w="1838"/>
        <w:gridCol w:w="1609"/>
        <w:gridCol w:w="1623"/>
        <w:gridCol w:w="291"/>
        <w:gridCol w:w="1058"/>
        <w:gridCol w:w="150"/>
        <w:gridCol w:w="109"/>
        <w:gridCol w:w="109"/>
        <w:gridCol w:w="109"/>
        <w:gridCol w:w="288"/>
        <w:gridCol w:w="1047"/>
        <w:gridCol w:w="210"/>
      </w:tblGrid>
      <w:tr>
        <w:trPr/>
        <w:tc>
          <w:tcPr>
            <w:tcW w:w="18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allowances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Payroll and employee benefit liabilities </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professional accruals, including litigation accruals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financial instruments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liabilities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i/>
          <w:color w:val="000000"/>
          <w:sz w:val="20"/>
        </w:rPr>
      </w:pPr>
      <w:r>
        <w:rPr>
          <w:rFonts w:ascii="Times New Roman;sans-serif" w:hAnsi="Times New Roman;sans-serif"/>
          <w:b/>
          <w:i/>
          <w:color w:val="000000"/>
          <w:sz w:val="20"/>
        </w:rPr>
        <w:t>Other long-term obligations</w:t>
      </w:r>
    </w:p>
    <w:tbl>
      <w:tblPr>
        <w:tblW w:w="6955" w:type="dxa"/>
        <w:jc w:val="left"/>
        <w:tblInd w:w="0" w:type="dxa"/>
        <w:tblLayout w:type="fixed"/>
        <w:tblCellMar>
          <w:top w:w="28" w:type="dxa"/>
          <w:left w:w="28" w:type="dxa"/>
          <w:bottom w:w="28" w:type="dxa"/>
          <w:right w:w="28" w:type="dxa"/>
        </w:tblCellMar>
      </w:tblPr>
      <w:tblGrid>
        <w:gridCol w:w="1301"/>
        <w:gridCol w:w="1140"/>
        <w:gridCol w:w="1143"/>
        <w:gridCol w:w="291"/>
        <w:gridCol w:w="1058"/>
        <w:gridCol w:w="150"/>
        <w:gridCol w:w="109"/>
        <w:gridCol w:w="109"/>
        <w:gridCol w:w="109"/>
        <w:gridCol w:w="288"/>
        <w:gridCol w:w="1047"/>
        <w:gridCol w:w="210"/>
      </w:tblGrid>
      <w:tr>
        <w:trPr/>
        <w:tc>
          <w:tcPr>
            <w:tcW w:w="130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liabilities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Contingent consideration </w:t>
            </w:r>
            <w:r>
              <w:rPr>
                <w:rFonts w:ascii="Times New Roman;sans-serif" w:hAnsi="Times New Roman;sans-serif"/>
                <w:b w:val="false"/>
                <w:color w:val="000000"/>
                <w:sz w:val="13"/>
              </w:rPr>
              <w:t>(1)</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related items, including contingencies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long-term obligations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 xml:space="preserve">Balance as of December 31, 2024 includes a total of $378.0 million related to the Idorsia Transaction. Refer to Note 9 </w:t>
      </w:r>
      <w:r>
        <w:rPr>
          <w:rFonts w:ascii="Times New Roman;sans-serif" w:hAnsi="Times New Roman;sans-serif"/>
          <w:b w:val="false"/>
          <w:i/>
          <w:color w:val="000000"/>
          <w:sz w:val="20"/>
        </w:rPr>
        <w:t>Financial Instruments and Risk Management</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12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7.Leases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of real estate, consisting primarily of administrative offices, manufacturing and distribution facilities, and R&amp;D facilities. We also have operating leases of certain equipment, primarily automobiles, and certain limited supply arrangements.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elected to apply the practical expedient to not separate lease and non-lease components for our leases except for those related to certain limited supply arrangements. We have also elected to apply the short-term lease recognition exemption which means we will not recognize ROU assets or lease liabilities for leases with an initial term of 12 months of less.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As of December 31, 2024, the Company recognized ROU assets of $253.1 million and total lease liabilities of $266.4 million. The Company’s ROU assets are recorded in other assets. The related lease liability balances are recorded in other current liabilities and other long-term obligations in the consolidated balance sheets. Refer to Note 6 </w:t>
      </w:r>
      <w:r>
        <w:rPr>
          <w:rFonts w:ascii="Times New Roman;sans-serif" w:hAnsi="Times New Roman;sans-serif"/>
          <w:b w:val="false"/>
          <w:i/>
          <w:color w:val="000000"/>
          <w:sz w:val="20"/>
        </w:rPr>
        <w:t>Balance Sheet Components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ROU assets and liabilities are recognized at the present value of the future minimum lease payments over the lease term at commencement date. As most of our leases do not provide an implicit rate, we use an applicable incremental borrowing rate based on the information available at commencement date in determining the present value of future payments. Options to extend or terminate the ROU assets are reviewed at lease inception and these options are accounted for when they are reasonably certain of being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was as follows:</w:t>
      </w:r>
    </w:p>
    <w:tbl>
      <w:tblPr>
        <w:tblW w:w="5293" w:type="dxa"/>
        <w:jc w:val="left"/>
        <w:tblInd w:w="0" w:type="dxa"/>
        <w:tblLayout w:type="fixed"/>
        <w:tblCellMar>
          <w:top w:w="28" w:type="dxa"/>
          <w:left w:w="28" w:type="dxa"/>
          <w:bottom w:w="28" w:type="dxa"/>
          <w:right w:w="28" w:type="dxa"/>
        </w:tblCellMar>
      </w:tblPr>
      <w:tblGrid>
        <w:gridCol w:w="1207"/>
        <w:gridCol w:w="1060"/>
        <w:gridCol w:w="1062"/>
        <w:gridCol w:w="399"/>
        <w:gridCol w:w="399"/>
        <w:gridCol w:w="1166"/>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lease terms</w:t>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 year to 15 years</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years</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maturities of lease liabilities were as follows for each of the years ending December 31:</w:t>
      </w:r>
    </w:p>
    <w:tbl>
      <w:tblPr>
        <w:tblW w:w="2826" w:type="dxa"/>
        <w:jc w:val="left"/>
        <w:tblInd w:w="0" w:type="dxa"/>
        <w:tblLayout w:type="fixed"/>
        <w:tblCellMar>
          <w:top w:w="28" w:type="dxa"/>
          <w:left w:w="28" w:type="dxa"/>
          <w:bottom w:w="28" w:type="dxa"/>
          <w:right w:w="28" w:type="dxa"/>
        </w:tblCellMar>
      </w:tblPr>
      <w:tblGrid>
        <w:gridCol w:w="669"/>
        <w:gridCol w:w="587"/>
        <w:gridCol w:w="589"/>
        <w:gridCol w:w="211"/>
        <w:gridCol w:w="616"/>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additional leases, primarily for administrative offices, that have not yet commenced totaling approximately $5.8 million. For the years ended December 31, 2024, 2023 and 2022, the Company had operating lease expense of approximately $89.8 million, $87.6 million and $90.9 million, respectively. Operating lease costs are classified primarily as SG&amp;A and cost of sales in the consolidated statements of operations.</w:t>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8.Goodwill and Intangible Assets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years ended December 31, 2024 and 2023 are as follows:</w:t>
      </w:r>
    </w:p>
    <w:tbl>
      <w:tblPr>
        <w:tblW w:w="10205" w:type="dxa"/>
        <w:jc w:val="left"/>
        <w:tblInd w:w="0" w:type="dxa"/>
        <w:tblLayout w:type="fixed"/>
        <w:tblCellMar>
          <w:top w:w="28" w:type="dxa"/>
          <w:left w:w="28" w:type="dxa"/>
          <w:bottom w:w="28" w:type="dxa"/>
          <w:right w:w="28" w:type="dxa"/>
        </w:tblCellMar>
      </w:tblPr>
      <w:tblGrid>
        <w:gridCol w:w="1064"/>
        <w:gridCol w:w="805"/>
        <w:gridCol w:w="789"/>
        <w:gridCol w:w="291"/>
        <w:gridCol w:w="1060"/>
        <w:gridCol w:w="150"/>
        <w:gridCol w:w="109"/>
        <w:gridCol w:w="109"/>
        <w:gridCol w:w="109"/>
        <w:gridCol w:w="247"/>
        <w:gridCol w:w="724"/>
        <w:gridCol w:w="128"/>
        <w:gridCol w:w="109"/>
        <w:gridCol w:w="109"/>
        <w:gridCol w:w="109"/>
        <w:gridCol w:w="211"/>
        <w:gridCol w:w="616"/>
        <w:gridCol w:w="109"/>
        <w:gridCol w:w="109"/>
        <w:gridCol w:w="109"/>
        <w:gridCol w:w="109"/>
        <w:gridCol w:w="283"/>
        <w:gridCol w:w="1031"/>
        <w:gridCol w:w="146"/>
        <w:gridCol w:w="109"/>
        <w:gridCol w:w="109"/>
        <w:gridCol w:w="109"/>
        <w:gridCol w:w="211"/>
        <w:gridCol w:w="871"/>
        <w:gridCol w:w="161"/>
      </w:tblGrid>
      <w:tr>
        <w:trPr/>
        <w:tc>
          <w:tcPr>
            <w:tcW w:w="106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Developed Markets</w:t>
            </w:r>
            <w:r>
              <w:rPr>
                <w:color w:val="000000"/>
              </w:rPr>
              <w:t xml:space="preserv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JANZ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Emerging Markets </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Impairment</w:t>
            </w:r>
            <w:r>
              <w:rPr>
                <w:color w:val="000000"/>
              </w:rPr>
              <w:t xml:space="preserve"> </w:t>
            </w:r>
            <w:r>
              <w:rPr>
                <w:rFonts w:ascii="Times New Roman;sans-serif" w:hAnsi="Times New Roman;sans-serif"/>
                <w:b w:val="false"/>
                <w:color w:val="000000"/>
                <w:sz w:val="13"/>
              </w:rPr>
              <w:t>(4)</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assets held for sale</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9,867.1 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Balances as of December 31, 2024 and 2023 include an accumulated impairment loss of $929.0 million. Balance as of December 31, 2022 includes an accumulated impairment loss of $385.0 million.</w:t>
      </w:r>
    </w:p>
    <w:p>
      <w:pPr>
        <w:pStyle w:val="TextBody"/>
        <w:bidi w:val="0"/>
        <w:spacing w:lineRule="auto" w:line="288" w:before="0" w:after="60"/>
        <w:ind w:left="0" w:right="0" w:hanging="360"/>
        <w:jc w:val="left"/>
        <w:rPr/>
      </w:pPr>
      <w:r>
        <w:rPr>
          <w:rFonts w:ascii="Times New Roman;sans-serif" w:hAnsi="Times New Roman;sans-serif"/>
          <w:b w:val="false"/>
          <w:color w:val="000000"/>
          <w:sz w:val="14"/>
        </w:rPr>
        <w:t>(2)</w:t>
      </w:r>
      <w:r>
        <w:rPr>
          <w:rFonts w:ascii="Times New Roman;sans-serif" w:hAnsi="Times New Roman;sans-serif"/>
          <w:b w:val="false"/>
          <w:color w:val="000000"/>
          <w:sz w:val="20"/>
        </w:rPr>
        <w:t>Balance as of December 31, 2024 includes an accumulated impairment loss of $351.0 million. Balance as of December 31, 2023 includes an accumulated impairment loss of $30.0 million.</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Balances as of December 31, 2024 and 2023 include an accumulated impairment loss of $124.0 million. Balance as of December 31, 2022 includes an accumulated impairment loss of $117.0 million.</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Reflects goodwill relating to the divestitures. Refer to Note 5 </w:t>
      </w:r>
      <w:r>
        <w:rPr>
          <w:rFonts w:ascii="Times New Roman;sans-serif" w:hAnsi="Times New Roman;sans-serif"/>
          <w:b w:val="false"/>
          <w:i/>
          <w:color w:val="000000"/>
          <w:sz w:val="20"/>
        </w:rPr>
        <w:t xml:space="preserve">Divestitures </w:t>
      </w:r>
      <w:r>
        <w:rPr>
          <w:rFonts w:ascii="Times New Roman;sans-serif" w:hAnsi="Times New Roman;sans-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goodwill for impairment annually on April 1st or more frequently if events or changes in circumstances indicate that the carrying value of goodwill may not be recoverable. The Company performed the annual goodwill impairment test as of April 1, 2024.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its annual goodwill impairment test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compared to the prior year’s annual goodwill impairment test completed on April 1, 2023, due to certain macroeconomic conditions, the Company has experienced fluctuations in foreign exchange rates in certain international markets, combined with an increase in market interest rates. These conditions impacted all reporting units, with the most significant impact in JANZ and Emerging Markets. The impact in the other reporting units was offset by changes in other discount rate assumptions.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2024, the allocation of the Company’s total goodwill was as follows: North America $3.12 billion, Europe $3.86 billion, Emerging Markets $1.17 billion, JANZ $0.62 billion and Greater China $0.93 billion.</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conjunction with its annual goodwill impairment test, the Company recorded a goodwill impairment charge of $321.0 million during the second quarter of 2024 related to its JANZ reporting unit, which was recorded within </w:t>
      </w:r>
      <w:r>
        <w:rPr>
          <w:rFonts w:ascii="Times New Roman;sans-serif" w:hAnsi="Times New Roman;sans-serif"/>
          <w:b w:val="false"/>
          <w:i/>
          <w:color w:val="000000"/>
          <w:sz w:val="20"/>
        </w:rPr>
        <w:t>SG&amp;A</w:t>
      </w:r>
      <w:r>
        <w:rPr>
          <w:color w:val="000000"/>
        </w:rPr>
        <w:t xml:space="preserve"> </w:t>
      </w:r>
      <w:r>
        <w:rPr>
          <w:rFonts w:ascii="Times New Roman;sans-serif" w:hAnsi="Times New Roman;sans-serif"/>
          <w:b w:val="false"/>
          <w:color w:val="000000"/>
          <w:sz w:val="20"/>
        </w:rPr>
        <w:t>in the consolidated statement of operations. The impairment charge was primarily the result of a 1.0% increase in the discount rate and a 0.5% reduction in the terminal growth rate assumption for the reporting unit.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JANZ reporting unit at April 1, 2024, the Company forecasted cash flows for the next 10 years. During the forecast period, the revenue compound annual growth rate was approximately negative 0.3%. A terminal year value was calculated with a 1.0% revenue growth rate applied. The discount rate utilized was 8.0% and the estimated tax rate was 30.3%.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goodwill impairment charge recorded in the JANZ reporting unit, the carrying value of the reporting unit was equal to its estimated fair value as of April 1, 2024. If market conditions or the projected results were to change materially, it may be necessary to record further impairment charges to the JANZ reporting unit in future periods.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2024, the Company determined that the fair values of the North America, Greater China, and Emerging Markets reporting units were substantially in excess of the respective unit’s carrying value.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Europe reporting unit, the estimated fair value exceeded its carrying value by approximately $882 million or 7.9% for the annual goodwill impairment test. As it relates to the discounted cash flow approach for the Europe reporting unit at April 1, 2024, the Company forecasted cash flows for the next 10 years. During the forecast period, the revenue compound annual growth rate was approximately 2.5%. A terminal year value was calculated with a 2.0% revenue growth rate applied. The discount rate utilized was 10.0% and the estimated tax rate was 15.7%. If all other assumptions are held constant, a reduction in the terminal value growth rate by 1.5% or an increase in discount rate by 1.0% would result in an impairment charge for the Europe reporting unit.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In the third quarter of 2023, the Company allocated goodwill of $69 million to its women’s healthcare business using a relative fair value approach and reclassified the amount to</w:t>
      </w:r>
      <w:r>
        <w:rPr>
          <w:color w:val="000000"/>
        </w:rPr>
        <w:t xml:space="preserve"> </w:t>
      </w:r>
      <w:r>
        <w:rPr>
          <w:rFonts w:ascii="Times New Roman;sans-serif" w:hAnsi="Times New Roman;sans-serif"/>
          <w:b w:val="false"/>
          <w:i/>
          <w:color w:val="000000"/>
          <w:sz w:val="20"/>
        </w:rPr>
        <w:t>Assets Held for Sale</w:t>
      </w:r>
      <w:r>
        <w:rPr>
          <w:rFonts w:ascii="Times New Roman;sans-serif" w:hAnsi="Times New Roman;sans-serif"/>
          <w:b w:val="false"/>
          <w:color w:val="000000"/>
          <w:sz w:val="20"/>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In the fourth quarter of 2023, the Company allocated goodwill of $120 million to its API business in India using a relative fair value approach and reclassified the amount to</w:t>
      </w:r>
      <w:r>
        <w:rPr>
          <w:color w:val="000000"/>
        </w:rPr>
        <w:t xml:space="preserve"> </w:t>
      </w:r>
      <w:r>
        <w:rPr>
          <w:rFonts w:ascii="Times New Roman;sans-serif" w:hAnsi="Times New Roman;sans-serif"/>
          <w:b w:val="false"/>
          <w:i/>
          <w:color w:val="000000"/>
          <w:sz w:val="20"/>
        </w:rPr>
        <w:t>Assets Held for Sale</w:t>
      </w:r>
      <w:r>
        <w:rPr>
          <w:rFonts w:ascii="Times New Roman;sans-serif" w:hAnsi="Times New Roman;sans-serif"/>
          <w:b w:val="false"/>
          <w:color w:val="000000"/>
          <w:sz w:val="20"/>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the fourth quarter of 2023, the OTC Business met the criteria to be classified as held for sale. The Company allocated goodwill to its OTC Business using a relative fair value approach and recorded a goodwill impairment charge of $580.1 million in that quarter within the Europe (majority of the charge), JANZ and Emerging Markets reporting units, which was recorded within </w:t>
      </w:r>
      <w:r>
        <w:rPr>
          <w:rFonts w:ascii="Times New Roman;sans-serif" w:hAnsi="Times New Roman;sans-serif"/>
          <w:b w:val="false"/>
          <w:i/>
          <w:color w:val="000000"/>
          <w:sz w:val="20"/>
        </w:rPr>
        <w:t>SG&amp;A</w:t>
      </w:r>
      <w:r>
        <w:rPr>
          <w:color w:val="000000"/>
        </w:rPr>
        <w:t xml:space="preserve"> </w:t>
      </w:r>
      <w:r>
        <w:rPr>
          <w:rFonts w:ascii="Times New Roman;sans-serif" w:hAnsi="Times New Roman;sans-serif"/>
          <w:b w:val="false"/>
          <w:color w:val="000000"/>
          <w:sz w:val="20"/>
        </w:rPr>
        <w:t>in the consolidated statement of operations. The goodwill impairment charge was the result of the estimated proceeds less selling costs from the planned divestiture of the OTC Business being below the carrying value of the net assets of the disposal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Biocon Biologics Transaction, the Company allocated goodwill to its biosimilars portfolio using a relative fair value approach and reclassified the amount to assets held for sale. Upon closing of the Biocon Biologics Transaction on November 29, 2022, we derecognized goodwill of $919.7 million allocated to the biosimilars portfolio.</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the fourth quarter of 2022, the commercialization rights in the Upjohn Distributor Markets met the criteria to be classified as held for sale. The Company allocated goodwill to its commercialization rights in the Upjohn Distributor Markets using a relative fair value approach and recorded a goodwill impairment charge of $117.0 million in that quarter within the Emerging Markets reporting unit, which was recorded within </w:t>
      </w:r>
      <w:r>
        <w:rPr>
          <w:rFonts w:ascii="Times New Roman;sans-serif" w:hAnsi="Times New Roman;sans-serif"/>
          <w:b w:val="false"/>
          <w:i/>
          <w:color w:val="000000"/>
          <w:sz w:val="20"/>
        </w:rPr>
        <w:t>SG&amp;A</w:t>
      </w:r>
      <w:r>
        <w:rPr>
          <w:color w:val="000000"/>
        </w:rPr>
        <w:t xml:space="preserve"> </w:t>
      </w:r>
      <w:r>
        <w:rPr>
          <w:rFonts w:ascii="Times New Roman;sans-serif" w:hAnsi="Times New Roman;sans-serif"/>
          <w:b w:val="false"/>
          <w:color w:val="000000"/>
          <w:sz w:val="20"/>
        </w:rPr>
        <w:t>in the consolidated statement of operations. The goodwill impairment charge was the result of the estimated proceeds less selling costs from the disposal of the commercialization rights in the Upjohn Distributor Markets being below the carrying value of the net assets of the disposal group.</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Refer to Note 5 </w:t>
      </w:r>
      <w:r>
        <w:rPr>
          <w:rFonts w:ascii="Times New Roman;sans-serif" w:hAnsi="Times New Roman;sans-serif"/>
          <w:b w:val="false"/>
          <w:i/>
          <w:color w:val="000000"/>
          <w:sz w:val="20"/>
        </w:rPr>
        <w:t xml:space="preserve">Divestitures </w:t>
      </w:r>
      <w:r>
        <w:rPr>
          <w:rFonts w:ascii="Times New Roman;sans-serif" w:hAnsi="Times New Roman;sans-serif"/>
          <w:b w:val="false"/>
          <w:color w:val="000000"/>
          <w:sz w:val="20"/>
        </w:rPr>
        <w:t>for additional information on these divestitures.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76"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 components at December 31, 2024 and 2023:</w:t>
      </w:r>
    </w:p>
    <w:tbl>
      <w:tblPr>
        <w:tblW w:w="10205" w:type="dxa"/>
        <w:jc w:val="left"/>
        <w:tblInd w:w="0" w:type="dxa"/>
        <w:tblLayout w:type="fixed"/>
        <w:tblCellMar>
          <w:top w:w="28" w:type="dxa"/>
          <w:left w:w="28" w:type="dxa"/>
          <w:bottom w:w="28" w:type="dxa"/>
          <w:right w:w="28" w:type="dxa"/>
        </w:tblCellMar>
      </w:tblPr>
      <w:tblGrid>
        <w:gridCol w:w="1026"/>
        <w:gridCol w:w="865"/>
        <w:gridCol w:w="866"/>
        <w:gridCol w:w="694"/>
        <w:gridCol w:w="694"/>
        <w:gridCol w:w="696"/>
        <w:gridCol w:w="109"/>
        <w:gridCol w:w="109"/>
        <w:gridCol w:w="109"/>
        <w:gridCol w:w="211"/>
        <w:gridCol w:w="871"/>
        <w:gridCol w:w="109"/>
        <w:gridCol w:w="109"/>
        <w:gridCol w:w="109"/>
        <w:gridCol w:w="109"/>
        <w:gridCol w:w="337"/>
        <w:gridCol w:w="1397"/>
        <w:gridCol w:w="174"/>
        <w:gridCol w:w="109"/>
        <w:gridCol w:w="109"/>
        <w:gridCol w:w="109"/>
        <w:gridCol w:w="218"/>
        <w:gridCol w:w="902"/>
        <w:gridCol w:w="164"/>
      </w:tblGrid>
      <w:tr>
        <w:trPr/>
        <w:tc>
          <w:tcPr>
            <w:tcW w:w="102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Product rights, licenses and other </w:t>
            </w:r>
            <w:r>
              <w:rPr>
                <w:rFonts w:ascii="Times New Roman;sans-serif" w:hAnsi="Times New Roman;sans-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17,070.9 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Product rights, licenses and other </w:t>
            </w:r>
            <w:r>
              <w:rPr>
                <w:rFonts w:ascii="Times New Roman;sans-serif" w:hAnsi="Times New Roman;sans-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15,316.4 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19,181.1 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amortizable intangible assets. Other intangible assets consist principally of customer lists and contractual rights.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During the year ended December 31, 2024, the Company recorded IPR&amp;D assets of approximately $675.0 million as part of the Idorsia Transaction. Refer to Note 4 </w:t>
      </w:r>
      <w:r>
        <w:rPr>
          <w:rFonts w:ascii="Times New Roman;sans-serif" w:hAnsi="Times New Roman;sans-serif"/>
          <w:b w:val="false"/>
          <w:i/>
          <w:color w:val="000000"/>
          <w:sz w:val="20"/>
        </w:rPr>
        <w:t>Acquisitions and Other Transactions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rights and licenses are primarily comprised of the products marketed at the time of acquisition. These product rights and licenses relate to numerous individual products, the net book value of which, by product category, is as follows:</w:t>
      </w:r>
    </w:p>
    <w:tbl>
      <w:tblPr>
        <w:tblW w:w="10205" w:type="dxa"/>
        <w:jc w:val="left"/>
        <w:tblInd w:w="0" w:type="dxa"/>
        <w:tblLayout w:type="fixed"/>
        <w:tblCellMar>
          <w:top w:w="28" w:type="dxa"/>
          <w:left w:w="28" w:type="dxa"/>
          <w:bottom w:w="28" w:type="dxa"/>
          <w:right w:w="28" w:type="dxa"/>
        </w:tblCellMar>
      </w:tblPr>
      <w:tblGrid>
        <w:gridCol w:w="891"/>
        <w:gridCol w:w="767"/>
        <w:gridCol w:w="761"/>
        <w:gridCol w:w="272"/>
        <w:gridCol w:w="989"/>
        <w:gridCol w:w="140"/>
        <w:gridCol w:w="109"/>
        <w:gridCol w:w="109"/>
        <w:gridCol w:w="109"/>
        <w:gridCol w:w="223"/>
        <w:gridCol w:w="811"/>
        <w:gridCol w:w="115"/>
        <w:gridCol w:w="109"/>
        <w:gridCol w:w="109"/>
        <w:gridCol w:w="109"/>
        <w:gridCol w:w="211"/>
        <w:gridCol w:w="766"/>
        <w:gridCol w:w="109"/>
        <w:gridCol w:w="109"/>
        <w:gridCol w:w="109"/>
        <w:gridCol w:w="109"/>
        <w:gridCol w:w="265"/>
        <w:gridCol w:w="964"/>
        <w:gridCol w:w="137"/>
        <w:gridCol w:w="109"/>
        <w:gridCol w:w="109"/>
        <w:gridCol w:w="109"/>
        <w:gridCol w:w="250"/>
        <w:gridCol w:w="1037"/>
        <w:gridCol w:w="189"/>
      </w:tblGrid>
      <w:tr>
        <w:trPr/>
        <w:tc>
          <w:tcPr>
            <w:tcW w:w="89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Rights and Licenses</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16,256.6 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1"/>
        <w:gridCol w:w="767"/>
        <w:gridCol w:w="761"/>
        <w:gridCol w:w="272"/>
        <w:gridCol w:w="989"/>
        <w:gridCol w:w="140"/>
        <w:gridCol w:w="109"/>
        <w:gridCol w:w="109"/>
        <w:gridCol w:w="109"/>
        <w:gridCol w:w="223"/>
        <w:gridCol w:w="811"/>
        <w:gridCol w:w="115"/>
        <w:gridCol w:w="109"/>
        <w:gridCol w:w="109"/>
        <w:gridCol w:w="109"/>
        <w:gridCol w:w="211"/>
        <w:gridCol w:w="766"/>
        <w:gridCol w:w="109"/>
        <w:gridCol w:w="109"/>
        <w:gridCol w:w="109"/>
        <w:gridCol w:w="109"/>
        <w:gridCol w:w="265"/>
        <w:gridCol w:w="964"/>
        <w:gridCol w:w="137"/>
        <w:gridCol w:w="109"/>
        <w:gridCol w:w="109"/>
        <w:gridCol w:w="109"/>
        <w:gridCol w:w="250"/>
        <w:gridCol w:w="1037"/>
        <w:gridCol w:w="189"/>
      </w:tblGrid>
      <w:tr>
        <w:trPr/>
        <w:tc>
          <w:tcPr>
            <w:tcW w:w="89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16,747.1 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Rights and Licenses</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18,861.0 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pPr>
      <w:r>
        <w:rPr>
          <w:rFonts w:ascii="Times New Roman;sans-serif" w:hAnsi="Times New Roman;sans-serif"/>
          <w:b w:val="false"/>
          <w:color w:val="000000"/>
          <w:sz w:val="20"/>
        </w:rPr>
        <w:t xml:space="preserve">Amortization expense, intangible asset disposal &amp; impairment charges and IPR&amp;D intangible asset impairment charges (which are included as a component of amortization expense) are classified primarily within </w:t>
      </w:r>
      <w:r>
        <w:rPr>
          <w:rFonts w:ascii="Times New Roman;sans-serif" w:hAnsi="Times New Roman;sans-serif"/>
          <w:b w:val="false"/>
          <w:i/>
          <w:color w:val="000000"/>
          <w:sz w:val="20"/>
        </w:rPr>
        <w:t>Cost of Sales</w:t>
      </w:r>
      <w:r>
        <w:rPr>
          <w:color w:val="000000"/>
        </w:rPr>
        <w:t xml:space="preserve"> </w:t>
      </w:r>
      <w:r>
        <w:rPr>
          <w:rFonts w:ascii="Times New Roman;sans-serif" w:hAnsi="Times New Roman;sans-serif"/>
          <w:b w:val="false"/>
          <w:color w:val="000000"/>
          <w:sz w:val="20"/>
        </w:rPr>
        <w:t>in the consolidated statements of operations, and were as follows for the years ended December 31, 2024, 2023 and 2022:</w:t>
      </w:r>
    </w:p>
    <w:tbl>
      <w:tblPr>
        <w:tblW w:w="10205" w:type="dxa"/>
        <w:jc w:val="left"/>
        <w:tblInd w:w="0" w:type="dxa"/>
        <w:tblLayout w:type="fixed"/>
        <w:tblCellMar>
          <w:top w:w="28" w:type="dxa"/>
          <w:left w:w="28" w:type="dxa"/>
          <w:bottom w:w="28" w:type="dxa"/>
          <w:right w:w="28" w:type="dxa"/>
        </w:tblCellMar>
      </w:tblPr>
      <w:tblGrid>
        <w:gridCol w:w="2268"/>
        <w:gridCol w:w="1978"/>
        <w:gridCol w:w="2000"/>
        <w:gridCol w:w="211"/>
        <w:gridCol w:w="766"/>
        <w:gridCol w:w="109"/>
        <w:gridCol w:w="109"/>
        <w:gridCol w:w="109"/>
        <w:gridCol w:w="109"/>
        <w:gridCol w:w="211"/>
        <w:gridCol w:w="766"/>
        <w:gridCol w:w="109"/>
        <w:gridCol w:w="109"/>
        <w:gridCol w:w="109"/>
        <w:gridCol w:w="109"/>
        <w:gridCol w:w="211"/>
        <w:gridCol w:w="766"/>
        <w:gridCol w:w="156"/>
      </w:tblGrid>
      <w:tr>
        <w:trPr/>
        <w:tc>
          <w:tcPr>
            <w:tcW w:w="2268"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 intangible asset impairment charges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disposal &amp; impairment charges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 amortization expense (including disposal &amp; impairment charges)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the Company concluded that certain of its IPR&amp;D assets were fully impaired due to unfavorable clinical results and/or changes in market conditions which led to the termination of the development programs.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assessment for impairment of finite-lived intangibles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The fair value of finite-lived intangible assets was calculated as the present value of the estimated future net cash flows using a market rate of return. The assumptions inherent in the estimated future cash flows include, among other things, the impact of the current competitive environment and future market expectations. Any future long-lived assets impairment charges could have a material impact on the Company’s consolidated financial condition and results of operations.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During the years ended December 31, 2023 and 2022, the Company recognized intangible asset charges of approximately $32.0 million and $172.9 million, respectively, recorded within </w:t>
      </w:r>
      <w:r>
        <w:rPr>
          <w:rFonts w:ascii="Times New Roman;sans-serif" w:hAnsi="Times New Roman;sans-serif"/>
          <w:b w:val="false"/>
          <w:i/>
          <w:color w:val="000000"/>
          <w:sz w:val="20"/>
        </w:rPr>
        <w:t xml:space="preserve">Cost of Sales </w:t>
      </w:r>
      <w:r>
        <w:rPr>
          <w:rFonts w:ascii="Times New Roman;sans-serif" w:hAnsi="Times New Roman;sans-serif"/>
          <w:b w:val="false"/>
          <w:color w:val="000000"/>
          <w:sz w:val="20"/>
        </w:rPr>
        <w:t>in the consolidated statements of operations, to write down the disposal group to fair value, less cost to sell, related to our commercialization rights in the Upjohn Distributor Markets, which was classified as held for sal</w:t>
      </w:r>
      <w:r>
        <w:rPr>
          <w:rFonts w:ascii="Times New Roman;sans-serif" w:hAnsi="Times New Roman;sans-serif"/>
          <w:b w:val="false"/>
          <w:color w:val="000000"/>
          <w:sz w:val="20"/>
          <w:shd w:fill="FFFFFF" w:val="clear"/>
        </w:rPr>
        <w:t xml:space="preserve">e. Refer to Note 5 </w:t>
      </w:r>
      <w:r>
        <w:rPr>
          <w:rFonts w:ascii="Times New Roman;sans-serif" w:hAnsi="Times New Roman;sans-serif"/>
          <w:b w:val="false"/>
          <w:i/>
          <w:color w:val="000000"/>
          <w:sz w:val="20"/>
          <w:shd w:fill="FFFFFF" w:val="clear"/>
        </w:rPr>
        <w:t xml:space="preserve">Divestitures </w:t>
      </w:r>
      <w:r>
        <w:rPr>
          <w:rFonts w:ascii="Times New Roman;sans-serif" w:hAnsi="Times New Roman;sans-serif"/>
          <w:b w:val="false"/>
          <w:color w:val="000000"/>
          <w:sz w:val="20"/>
          <w:shd w:fill="FFFFFF" w:val="clear"/>
        </w:rPr>
        <w:t>for additional information.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IPR&amp;D assets are tested at least annually for impairment or upon the occurrence of a triggering event. Impairment is determined to exist when the fair value of IPR&amp;D assets, which is based upon updated forecasts and commercial development plans, is less than the carrying value of the assets being tested. The fair value of IPR&amp;D was calculated as the present value of the estimated future net cash flows using a market rate of return. The assumptions inherent in the estimated future cash flows include, among other things, the impact of changes to the development programs, the projected development and regulatory time frames and the current competitive environment. Discount rates ranging between 11.0% and 24.0% were utilized in the valuations performed during the year ended December 31, 2024. Discount rates ranging between 10.0% and 24.0% were utilized in the valuations performed during the year ended December 31, 2023. A discount rate of 10.5% was utilized in the valuations performed during the year ended December 31, 2022.</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fair value of both IPR&amp;D and finite-lived intangible assets was determined based upon detailed valuations employing the income approach which utilized Level 3 inputs, as defined in Note 9 </w:t>
      </w:r>
      <w:r>
        <w:rPr>
          <w:rFonts w:ascii="Times New Roman;sans-serif" w:hAnsi="Times New Roman;sans-serif"/>
          <w:b w:val="false"/>
          <w:i/>
          <w:color w:val="000000"/>
          <w:sz w:val="20"/>
        </w:rPr>
        <w:t>Financial Instruments and Risk Management</w:t>
      </w:r>
      <w:r>
        <w:rPr>
          <w:rFonts w:ascii="Times New Roman;sans-serif" w:hAnsi="Times New Roman;sans-serif"/>
          <w:b w:val="false"/>
          <w:color w:val="000000"/>
          <w:sz w:val="20"/>
        </w:rPr>
        <w:t>. Changes to any of the Company’s assumptions including changes to or abandonment of development programs, regulatory timelines, discount rates or the competitive environment related to the assets could lead to future material impairment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 for the years ending December 31, 2025 through 2029 is estimated to be as follows:</w:t>
      </w:r>
    </w:p>
    <w:tbl>
      <w:tblPr>
        <w:tblW w:w="1971" w:type="dxa"/>
        <w:jc w:val="left"/>
        <w:tblInd w:w="0" w:type="dxa"/>
        <w:tblLayout w:type="fixed"/>
        <w:tblCellMar>
          <w:top w:w="28" w:type="dxa"/>
          <w:left w:w="28" w:type="dxa"/>
          <w:bottom w:w="28" w:type="dxa"/>
          <w:right w:w="28" w:type="dxa"/>
        </w:tblCellMar>
      </w:tblPr>
      <w:tblGrid>
        <w:gridCol w:w="359"/>
        <w:gridCol w:w="315"/>
        <w:gridCol w:w="316"/>
        <w:gridCol w:w="211"/>
        <w:gridCol w:w="616"/>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9.Financial Instruments and Risk Management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certain financial risks relating to its ongoing business operations. The primary financial risks that are managed by using derivative instruments are foreign currency risk and interest rate risk.</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Foreign Currency Risk Management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consolidated balance sheets. Any gains or losses on the foreign exchange forward contracts are recognized in earnings in the period incurred in the consolidated statements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entered into forward contracts to hedge forecasted foreign currency denominated sales from certain international subsidiaries and a portion of forecasted intercompany inventory sales denominated in Euro, Japanese Yen, Chinese Renminbi and Indian Rupee for up to twenty-four months. These contracts are designated as cash flow hedges to manage foreign currency transaction risk and are measured at fair value and reported as current assets or current liabilities in the consolidated balance sheets. Any changes in the fair value of designated cash flow hedges are deferred in AOCE and are reclassified into earnings when the hedged item impacts earnings.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Net Investment Hedges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principal amounts of the Company’s outstanding Euro and Yen borrowings and the notional amounts of the Euro and Yen borrowings designated as net investment hedges:</w:t>
      </w:r>
    </w:p>
    <w:tbl>
      <w:tblPr>
        <w:tblW w:w="9559" w:type="dxa"/>
        <w:jc w:val="center"/>
        <w:tblInd w:w="0" w:type="dxa"/>
        <w:tblLayout w:type="fixed"/>
        <w:tblCellMar>
          <w:top w:w="28" w:type="dxa"/>
          <w:left w:w="28" w:type="dxa"/>
          <w:bottom w:w="28" w:type="dxa"/>
          <w:right w:w="28" w:type="dxa"/>
        </w:tblCellMar>
      </w:tblPr>
      <w:tblGrid>
        <w:gridCol w:w="1191"/>
        <w:gridCol w:w="1045"/>
        <w:gridCol w:w="1048"/>
        <w:gridCol w:w="109"/>
        <w:gridCol w:w="109"/>
        <w:gridCol w:w="109"/>
        <w:gridCol w:w="261"/>
        <w:gridCol w:w="1008"/>
        <w:gridCol w:w="126"/>
        <w:gridCol w:w="109"/>
        <w:gridCol w:w="109"/>
        <w:gridCol w:w="109"/>
        <w:gridCol w:w="343"/>
        <w:gridCol w:w="1323"/>
        <w:gridCol w:w="165"/>
        <w:gridCol w:w="165"/>
        <w:gridCol w:w="165"/>
        <w:gridCol w:w="165"/>
        <w:gridCol w:w="343"/>
        <w:gridCol w:w="1323"/>
        <w:gridCol w:w="234"/>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 Designated as a Net Investment Hedge</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Euro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2.250% Euro Senior Notes due 2024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1.023% Euro Senior Notes due 2024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2.125% Euro Senior Notes due 2025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1.362% Euro Senior Notes due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Euro Senior Notes due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1.908% Euro Senior Notes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Foreign currency forward contracts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Company de-designated €189.2 million of the 2.250% Euro Senior Notes due 2024 as net investment hedges in the third quarter of 2024 and an additional €200.0 million in October 2024. The Euro Senior Notes were repaid at maturity during the fourth quarter of 2024.</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Euro Senior Notes were repaid at maturity during the second quarter of 2024.</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In conjunction with the partial Senior Notes repayment during the third quarter of 2024 (refer to Note 10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for more information), the Company de-designated the €500 million 2.125% Euro Senior Notes due 2025 as net investment hedges. The remaining Senior Notes were fully redeemed in October 2024.</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The principal amount of the foreign currency forward contracts at December 31, 2023 was €500 million. The contracts matured in July 2024.</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the principal amount of the Company’s outstanding Yen borrowings and the notional amount of the Yen borrowings designated as net investment hedges was $254.4 million.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Company executed fixed-rate cross-currency interest rate swaps with notional amounts totaling Japanese Yen 14.6 billion with settlement dates through 2026. During the second quarter of 2024, the Company executed fixed-rate cross-currency interest rate swaps with notional amounts totaling €500 million with settlement dates through 2026. The transactions hedge a portion of the Company’s net investment in certain Yen- and Euro-functional currency subsidiaries. All changes in the fair value of these derivative instruments, which are designated as net investment hedges, are marked-to-market using the current spot exchange rate as of the end of the period. The portion of these changes related to the excluded component will be amortized in interest expense over the life of the derivative while the remainder will be recorded in AOCE until the sale or substantial liquidation of the underlying net investments. The semiannual net interest payment received related to the fixed-rate component of the cross-currency interest rate swaps will be reflected in operating cash flows.</w:t>
      </w:r>
    </w:p>
    <w:p>
      <w:pPr>
        <w:pStyle w:val="TextBody"/>
        <w:bidi w:val="0"/>
        <w:spacing w:lineRule="auto" w:line="288" w:before="10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the Company executed foreign currency forward contracts with notional amounts totaling €500 million. During the second quarter of 2024, the Company executed additional foreign currency forward contracts with notional amounts totaling €600 million. The transactions hedged a portion of the Company’s net investment in certain Euro functional currency subsidiaries. The contracts were designated as a net investment hedge and matured in July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Rate Risk Management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 Hedging Relationships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consolidated statements of operations.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Credit Risk Management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consolidated balance sheets. Accordingly, there are no offsetting amounts that net assets against liabilities.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classification and fair values of derivative instruments in our consolidated balance sheets:</w:t>
      </w:r>
    </w:p>
    <w:tbl>
      <w:tblPr>
        <w:tblW w:w="10205" w:type="dxa"/>
        <w:jc w:val="left"/>
        <w:tblInd w:w="0" w:type="dxa"/>
        <w:tblLayout w:type="fixed"/>
        <w:tblCellMar>
          <w:top w:w="28" w:type="dxa"/>
          <w:left w:w="28" w:type="dxa"/>
          <w:bottom w:w="28" w:type="dxa"/>
          <w:right w:w="28" w:type="dxa"/>
        </w:tblCellMar>
      </w:tblPr>
      <w:tblGrid>
        <w:gridCol w:w="820"/>
        <w:gridCol w:w="564"/>
        <w:gridCol w:w="569"/>
        <w:gridCol w:w="539"/>
        <w:gridCol w:w="473"/>
        <w:gridCol w:w="474"/>
        <w:gridCol w:w="293"/>
        <w:gridCol w:w="857"/>
        <w:gridCol w:w="151"/>
        <w:gridCol w:w="293"/>
        <w:gridCol w:w="857"/>
        <w:gridCol w:w="151"/>
        <w:gridCol w:w="109"/>
        <w:gridCol w:w="109"/>
        <w:gridCol w:w="109"/>
        <w:gridCol w:w="458"/>
        <w:gridCol w:w="359"/>
        <w:gridCol w:w="360"/>
        <w:gridCol w:w="293"/>
        <w:gridCol w:w="857"/>
        <w:gridCol w:w="151"/>
        <w:gridCol w:w="289"/>
        <w:gridCol w:w="846"/>
        <w:gridCol w:w="224"/>
      </w:tblGrid>
      <w:tr>
        <w:trPr/>
        <w:tc>
          <w:tcPr>
            <w:tcW w:w="8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Asset Derivatives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Derivatives</w:t>
            </w:r>
          </w:p>
        </w:tc>
      </w:tr>
      <w:tr>
        <w:trPr/>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2024 Fair Value</w:t>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2023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2024 Fair Value</w:t>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2023 Fair Value</w:t>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hedges:</w:t>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interest rate swaps</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&amp; other current assets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&amp; other current assets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designated as hedges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hedges:</w:t>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&amp; other current assets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not designated as hedges</w:t>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derivatives </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information about the gains/(losses) incurred to hedge or offset operational foreign exchange or interest rate risk:</w:t>
      </w:r>
    </w:p>
    <w:tbl>
      <w:tblPr>
        <w:tblW w:w="10205" w:type="dxa"/>
        <w:jc w:val="left"/>
        <w:tblInd w:w="0" w:type="dxa"/>
        <w:tblLayout w:type="fixed"/>
        <w:tblCellMar>
          <w:top w:w="28" w:type="dxa"/>
          <w:left w:w="28" w:type="dxa"/>
          <w:bottom w:w="28" w:type="dxa"/>
          <w:right w:w="28" w:type="dxa"/>
        </w:tblCellMar>
      </w:tblPr>
      <w:tblGrid>
        <w:gridCol w:w="1565"/>
        <w:gridCol w:w="1319"/>
        <w:gridCol w:w="1329"/>
        <w:gridCol w:w="659"/>
        <w:gridCol w:w="631"/>
        <w:gridCol w:w="634"/>
        <w:gridCol w:w="109"/>
        <w:gridCol w:w="109"/>
        <w:gridCol w:w="109"/>
        <w:gridCol w:w="269"/>
        <w:gridCol w:w="652"/>
        <w:gridCol w:w="139"/>
        <w:gridCol w:w="269"/>
        <w:gridCol w:w="652"/>
        <w:gridCol w:w="139"/>
        <w:gridCol w:w="269"/>
        <w:gridCol w:w="726"/>
        <w:gridCol w:w="139"/>
        <w:gridCol w:w="109"/>
        <w:gridCol w:w="109"/>
        <w:gridCol w:w="109"/>
        <w:gridCol w:w="160"/>
      </w:tblGrid>
      <w:tr>
        <w:trPr/>
        <w:tc>
          <w:tcPr>
            <w:tcW w:w="1565"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Recognized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 in Net Investment Hedging Relationships:</w:t>
            </w:r>
          </w:p>
        </w:tc>
        <w:tc>
          <w:tcPr>
            <w:tcW w:w="1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interest rate swaps</w:t>
            </w:r>
          </w:p>
        </w:tc>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expense</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 Not Designated as Hedging Instruments:</w:t>
            </w:r>
          </w:p>
        </w:tc>
        <w:tc>
          <w:tcPr>
            <w:tcW w:w="1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option and forward contracts</w:t>
            </w:r>
          </w:p>
        </w:tc>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expense (income), net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2"/>
        <w:gridCol w:w="664"/>
        <w:gridCol w:w="669"/>
        <w:gridCol w:w="421"/>
        <w:gridCol w:w="359"/>
        <w:gridCol w:w="360"/>
        <w:gridCol w:w="109"/>
        <w:gridCol w:w="109"/>
        <w:gridCol w:w="109"/>
        <w:gridCol w:w="249"/>
        <w:gridCol w:w="727"/>
        <w:gridCol w:w="128"/>
        <w:gridCol w:w="249"/>
        <w:gridCol w:w="643"/>
        <w:gridCol w:w="128"/>
        <w:gridCol w:w="249"/>
        <w:gridCol w:w="727"/>
        <w:gridCol w:w="128"/>
        <w:gridCol w:w="109"/>
        <w:gridCol w:w="109"/>
        <w:gridCol w:w="109"/>
        <w:gridCol w:w="245"/>
        <w:gridCol w:w="594"/>
        <w:gridCol w:w="126"/>
        <w:gridCol w:w="245"/>
        <w:gridCol w:w="594"/>
        <w:gridCol w:w="126"/>
        <w:gridCol w:w="245"/>
        <w:gridCol w:w="594"/>
        <w:gridCol w:w="189"/>
      </w:tblGrid>
      <w:tr>
        <w:trPr/>
        <w:tc>
          <w:tcPr>
            <w:tcW w:w="89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Recognized in AOCE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Reclassified from AOCE into Earnings</w:t>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Derivative Financial Instruments in Cash Flow Hedging Relationships </w:t>
            </w:r>
            <w:r>
              <w:rPr>
                <w:rFonts w:ascii="Times New Roman;sans-serif" w:hAnsi="Times New Roman;sans-serif"/>
                <w:b/>
                <w:color w:val="000000"/>
                <w:sz w:val="12"/>
              </w:rPr>
              <w:t xml:space="preserve">(1) </w:t>
            </w:r>
            <w:r>
              <w:rPr>
                <w:rFonts w:ascii="Times New Roman;sans-serif" w:hAnsi="Times New Roman;sans-serif"/>
                <w:b/>
                <w:color w:val="000000"/>
                <w:sz w:val="18"/>
              </w:rPr>
              <w:t>:</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sales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expense (income), net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 in Net Investment Hedging Relationships: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interest rate swaps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forward contracts </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Non-derivative Financial Instruments in Net Investment Hedging Relationships: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borrowings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10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At December 31, 2024, the Company expects that approximately $19.0 million of pre-tax net gains on cash flow hedges will be reclassified from AOCE into earnings during the next twelve months.</w:t>
      </w:r>
    </w:p>
    <w:p>
      <w:pPr>
        <w:pStyle w:val="TextBody"/>
        <w:bidi w:val="0"/>
        <w:spacing w:lineRule="auto" w:line="288" w:before="0" w:after="10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the location of the gain/(loss) recognized in earnings on derivatives.</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the location of the gain/(loss) reclassified from AOCE into earnings.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pStyle w:val="TextBody"/>
        <w:bidi w:val="0"/>
        <w:spacing w:lineRule="auto" w:line="288" w:before="0" w:after="120"/>
        <w:ind w:left="0" w:right="0" w:hanging="900"/>
        <w:jc w:val="left"/>
        <w:rPr/>
      </w:pPr>
      <w:r>
        <w:rPr>
          <w:rFonts w:ascii="Times New Roman;sans-serif" w:hAnsi="Times New Roman;sans-serif"/>
          <w:b w:val="false"/>
          <w:i/>
          <w:color w:val="000000"/>
          <w:sz w:val="20"/>
        </w:rPr>
        <w:t>Level 1:</w:t>
      </w:r>
      <w:r>
        <w:rPr>
          <w:color w:val="000000"/>
        </w:rPr>
        <w:t>        </w:t>
      </w:r>
      <w:r>
        <w:rPr>
          <w:rFonts w:ascii="Times New Roman;sans-serif" w:hAnsi="Times New Roman;sans-serif"/>
          <w:b w:val="false"/>
          <w:color w:val="000000"/>
          <w:sz w:val="20"/>
        </w:rPr>
        <w:t>Quoted prices (unadjusted) in active markets that are accessible at the measurement date for identical assets or liabilities. The fair value hierarchy gives the highest priority to Level 1 inputs.</w:t>
      </w:r>
    </w:p>
    <w:p>
      <w:pPr>
        <w:pStyle w:val="TextBody"/>
        <w:bidi w:val="0"/>
        <w:spacing w:lineRule="auto" w:line="288" w:before="0" w:after="120"/>
        <w:ind w:left="0" w:right="0" w:hanging="900"/>
        <w:jc w:val="left"/>
        <w:rPr/>
      </w:pPr>
      <w:r>
        <w:rPr>
          <w:rFonts w:ascii="Times New Roman;sans-serif" w:hAnsi="Times New Roman;sans-serif"/>
          <w:b w:val="false"/>
          <w:i/>
          <w:color w:val="000000"/>
          <w:sz w:val="20"/>
        </w:rPr>
        <w:t>Level 2:</w:t>
      </w:r>
      <w:r>
        <w:rPr>
          <w:color w:val="000000"/>
        </w:rPr>
        <w:t>        </w:t>
      </w:r>
      <w:r>
        <w:rPr>
          <w:rFonts w:ascii="Times New Roman;sans-serif" w:hAnsi="Times New Roman;sans-serif"/>
          <w:b w:val="false"/>
          <w:color w:val="000000"/>
          <w:sz w:val="20"/>
        </w:rPr>
        <w:t>Observable market-based inputs other than quoted prices in active markets for identical assets or liabilities.</w:t>
      </w:r>
    </w:p>
    <w:p>
      <w:pPr>
        <w:pStyle w:val="TextBody"/>
        <w:bidi w:val="0"/>
        <w:spacing w:lineRule="auto" w:line="288" w:before="0" w:after="240"/>
        <w:ind w:left="0" w:right="0" w:hanging="900"/>
        <w:jc w:val="left"/>
        <w:rPr/>
      </w:pPr>
      <w:r>
        <w:rPr>
          <w:rFonts w:ascii="Times New Roman;sans-serif" w:hAnsi="Times New Roman;sans-serif"/>
          <w:b w:val="false"/>
          <w:i/>
          <w:color w:val="000000"/>
          <w:sz w:val="20"/>
        </w:rPr>
        <w:t>Level 3:</w:t>
      </w:r>
      <w:r>
        <w:rPr>
          <w:color w:val="000000"/>
        </w:rPr>
        <w:t>        </w:t>
      </w:r>
      <w:r>
        <w:rPr>
          <w:rFonts w:ascii="Times New Roman;sans-serif" w:hAnsi="Times New Roman;sans-serif"/>
          <w:b w:val="false"/>
          <w:color w:val="000000"/>
          <w:sz w:val="20"/>
        </w:rPr>
        <w:t>Unobservable inputs are used when little or no market data is available. The fair value hierarchy gives the lowest priority to Level 3 inputs.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carried at fair value are classified in the tables below in one of the three categories described above:</w:t>
      </w:r>
    </w:p>
    <w:tbl>
      <w:tblPr>
        <w:tblW w:w="10205" w:type="dxa"/>
        <w:jc w:val="left"/>
        <w:tblInd w:w="0" w:type="dxa"/>
        <w:tblLayout w:type="fixed"/>
        <w:tblCellMar>
          <w:top w:w="28" w:type="dxa"/>
          <w:left w:w="28" w:type="dxa"/>
          <w:bottom w:w="28" w:type="dxa"/>
          <w:right w:w="28" w:type="dxa"/>
        </w:tblCellMar>
      </w:tblPr>
      <w:tblGrid>
        <w:gridCol w:w="1085"/>
        <w:gridCol w:w="832"/>
        <w:gridCol w:w="840"/>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0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traded funds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CCPS in Biocon Biologics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investments: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fixed income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derivative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derivative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recurring fair value measurement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derivative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at recurring fair value measurement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financial assets and liabilities that utilize Level 2 inputs, the Company utilizes both direct and indirect observable price quotes, including interest rate yield curves, foreign exchange forward prices and bank price quotes. For the years ended December 31, 2024 and 2023, there were no transfers between Level 1 and 2 of the fair value hierarchy. Below is a summary of valuation techniques for the Company’s financial assets and liabilities: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Cash equivalents</w:t>
      </w:r>
      <w:r>
        <w:rPr>
          <w:color w:val="000000"/>
        </w:rPr>
        <w:t xml:space="preserve"> — </w:t>
      </w:r>
      <w:r>
        <w:rPr>
          <w:rFonts w:ascii="Times New Roman;sans-serif" w:hAnsi="Times New Roman;sans-serif"/>
          <w:b w:val="false"/>
          <w:color w:val="000000"/>
          <w:sz w:val="20"/>
        </w:rPr>
        <w:t>valued at observable net asset value prices.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Equity securities, exchange traded funds</w:t>
      </w:r>
      <w:r>
        <w:rPr>
          <w:color w:val="000000"/>
        </w:rPr>
        <w:t xml:space="preserve"> — </w:t>
      </w:r>
      <w:r>
        <w:rPr>
          <w:rFonts w:ascii="Times New Roman;sans-serif" w:hAnsi="Times New Roman;sans-serif"/>
          <w:b w:val="false"/>
          <w:color w:val="000000"/>
          <w:sz w:val="20"/>
        </w:rPr>
        <w:t xml:space="preserve">valued at the active quoted market prices from broker or dealer quotations or transparent pricing sources at the reporting date. Unrealized gains and losses attributable to changes in fair value are included in </w:t>
      </w:r>
      <w:r>
        <w:rPr>
          <w:rFonts w:ascii="Times New Roman;sans-serif" w:hAnsi="Times New Roman;sans-serif"/>
          <w:b w:val="false"/>
          <w:i/>
          <w:color w:val="000000"/>
          <w:sz w:val="20"/>
        </w:rPr>
        <w:t>Other Expense (Income), Net</w:t>
      </w:r>
      <w:r>
        <w:rPr>
          <w:rFonts w:ascii="Times New Roman;sans-serif" w:hAnsi="Times New Roman;sans-serif"/>
          <w:b w:val="false"/>
          <w:color w:val="000000"/>
          <w:sz w:val="20"/>
        </w:rPr>
        <w:t>, in the consolidated statements of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 xml:space="preserve">Equity securities, marketable securities </w:t>
      </w:r>
      <w:r>
        <w:rPr>
          <w:color w:val="000000"/>
        </w:rPr>
        <w:t xml:space="preserve">— </w:t>
      </w:r>
      <w:r>
        <w:rPr>
          <w:rFonts w:ascii="Times New Roman;sans-serif" w:hAnsi="Times New Roman;sans-serif"/>
          <w:b w:val="false"/>
          <w:color w:val="000000"/>
          <w:sz w:val="20"/>
        </w:rPr>
        <w:t xml:space="preserve">valued using quoted stock prices from public exchanges at the reporting date. Unrealized gains and losses attributable to changes in fair value are included in </w:t>
      </w:r>
      <w:r>
        <w:rPr>
          <w:rFonts w:ascii="Times New Roman;sans-serif" w:hAnsi="Times New Roman;sans-serif"/>
          <w:b w:val="false"/>
          <w:i/>
          <w:color w:val="000000"/>
          <w:sz w:val="20"/>
        </w:rPr>
        <w:t>Other Expense (Income), Net</w:t>
      </w:r>
      <w:r>
        <w:rPr>
          <w:rFonts w:ascii="Times New Roman;sans-serif" w:hAnsi="Times New Roman;sans-serif"/>
          <w:b w:val="false"/>
          <w:color w:val="000000"/>
          <w:sz w:val="20"/>
        </w:rPr>
        <w:t>, in the consolidated statements of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CCPS in Biocon Biologics</w:t>
      </w:r>
      <w:r>
        <w:rPr>
          <w:color w:val="000000"/>
        </w:rPr>
        <w:t xml:space="preserve"> — </w:t>
      </w:r>
      <w:r>
        <w:rPr>
          <w:rFonts w:ascii="Times New Roman;sans-serif" w:hAnsi="Times New Roman;sans-serif"/>
          <w:b w:val="false"/>
          <w:color w:val="000000"/>
          <w:sz w:val="20"/>
        </w:rPr>
        <w:t xml:space="preserve">valued using a Monte Carlo simulation model using Level 3 inputs. The fair value of the CCPS is sensitive to changes in the forecasts of operating metrics, changes in volatility and discount rates, and share dilution. The Company elected the fair value option for the CCPS under </w:t>
      </w:r>
      <w:r>
        <w:rPr>
          <w:rFonts w:ascii="Times New Roman;sans-serif" w:hAnsi="Times New Roman;sans-serif"/>
          <w:b w:val="false"/>
          <w:i/>
          <w:color w:val="000000"/>
          <w:sz w:val="20"/>
        </w:rPr>
        <w:t xml:space="preserve">ASC 825. </w:t>
      </w:r>
      <w:r>
        <w:rPr>
          <w:rFonts w:ascii="Times New Roman;sans-serif" w:hAnsi="Times New Roman;sans-serif"/>
          <w:b w:val="false"/>
          <w:color w:val="000000"/>
          <w:sz w:val="20"/>
        </w:rPr>
        <w:t xml:space="preserve">The fair value is reassessed quarterly and any change in the fair value estimate is recorded in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statements of operations for that period.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Available-for-sale fixed income investments</w:t>
      </w:r>
      <w:r>
        <w:rPr>
          <w:color w:val="000000"/>
        </w:rPr>
        <w:t xml:space="preserve"> — </w:t>
      </w:r>
      <w:r>
        <w:rPr>
          <w:rFonts w:ascii="Times New Roman;sans-serif" w:hAnsi="Times New Roman;sans-serif"/>
          <w:b w:val="false"/>
          <w:color w:val="000000"/>
          <w:sz w:val="20"/>
        </w:rPr>
        <w:t>valued at the quoted market prices from broker or dealer quotations or transparent pricing sources at the reporting date. Unrealized gains and losses attributable to changes in fair value, net of income taxes, are included in accumulated other comprehensive loss as a component of shareholders’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000000"/>
          <w:sz w:val="20"/>
        </w:rPr>
        <w:t>Foreign exchange derivative assets and liabilities</w:t>
      </w:r>
      <w:r>
        <w:rPr>
          <w:color w:val="000000"/>
        </w:rPr>
        <w:t xml:space="preserve"> — </w:t>
      </w:r>
      <w:r>
        <w:rPr>
          <w:rFonts w:ascii="Times New Roman;sans-serif" w:hAnsi="Times New Roman;sans-serif"/>
          <w:b w:val="false"/>
          <w:color w:val="000000"/>
          <w:sz w:val="20"/>
        </w:rPr>
        <w:t>valued using quoted forward foreign exchange prices and spot rates at the reporting date. Counterparties to these contracts are highly rated financial institutions.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Consideration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2011, the Company completed the acquisition of the exclusive worldwide rights to develop, manufacture and commercialize a generic equivalent to GlaxoSmithKline’s Advair Diskus® incorporating Pfizer’s Respiratory Delivery Platform. The Company accounted for this transaction as a purchase of a business and utilized the acquisition method of accounting. On January 30, 2019, the Company received FDA approval of Wixela Inhub® (fluticasone propionate and salmeterol inhalation powder, USP), the first generic of GlaxoSmithKline’s Advair Diskus®. The commercial launch of the Wixela Inhub® occurred in February 2019.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As of December 31, 2024, the Company had a contingent consideration liability of $378.0 million related to the Idorsia Transaction. As of December 31, 2024 and 2023, the Company had a contingent consideration liability of $176.3 million and $177.6 million, respectively, related to the Respiratory Delivery Platform, and as of December 31, 2023, the Company had a contingent consideration liability of $15.8 million related to the Biocon Biologics Transaction. Refer to Note 5 </w:t>
      </w:r>
      <w:r>
        <w:rPr>
          <w:rFonts w:ascii="Times New Roman;sans-serif" w:hAnsi="Times New Roman;sans-serif"/>
          <w:b w:val="false"/>
          <w:i/>
          <w:color w:val="000000"/>
          <w:sz w:val="20"/>
        </w:rPr>
        <w:t xml:space="preserve">Divestitures </w:t>
      </w:r>
      <w:r>
        <w:rPr>
          <w:rFonts w:ascii="Times New Roman;sans-serif" w:hAnsi="Times New Roman;sans-serif"/>
          <w:b w:val="false"/>
          <w:color w:val="000000"/>
          <w:sz w:val="20"/>
        </w:rPr>
        <w:t xml:space="preserve">for additional information. The measurement of these contingent consideration liabilities is calculated using unobservable Level 3 inputs based on the Company’s own assumptions primarily related to the probability and timing of future events and payments which are discounted using a market rate of return. At December 31, 2024 and 2023, discount rates ranging from 9.0% to 19.0%, and 6.4% to 8.0%, respectively, were utilized in the valuations. Significant changes in unobservable inputs could result in material changes to the contingent consideration liabilities.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rollforward of the activity in the Company’s fair value of contingent consideration from December 31, 2022 to December 31, 2024 is as follows:</w:t>
      </w:r>
    </w:p>
    <w:tbl>
      <w:tblPr>
        <w:tblW w:w="8872" w:type="dxa"/>
        <w:jc w:val="left"/>
        <w:tblInd w:w="0" w:type="dxa"/>
        <w:tblLayout w:type="fixed"/>
        <w:tblCellMar>
          <w:top w:w="28" w:type="dxa"/>
          <w:left w:w="28" w:type="dxa"/>
          <w:bottom w:w="28" w:type="dxa"/>
          <w:right w:w="28" w:type="dxa"/>
        </w:tblCellMar>
      </w:tblPr>
      <w:tblGrid>
        <w:gridCol w:w="941"/>
        <w:gridCol w:w="826"/>
        <w:gridCol w:w="828"/>
        <w:gridCol w:w="369"/>
        <w:gridCol w:w="895"/>
        <w:gridCol w:w="190"/>
        <w:gridCol w:w="109"/>
        <w:gridCol w:w="109"/>
        <w:gridCol w:w="109"/>
        <w:gridCol w:w="385"/>
        <w:gridCol w:w="1126"/>
        <w:gridCol w:w="199"/>
        <w:gridCol w:w="109"/>
        <w:gridCol w:w="109"/>
        <w:gridCol w:w="109"/>
        <w:gridCol w:w="527"/>
        <w:gridCol w:w="1544"/>
        <w:gridCol w:w="388"/>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Current Portion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Long-Term Portion</w:t>
            </w:r>
            <w:r>
              <w:rPr>
                <w:color w:val="000000"/>
              </w:rPr>
              <w:t xml:space="preserve">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Contingent Consideration</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Fair value loss </w:t>
            </w:r>
            <w:r>
              <w:rPr>
                <w:rFonts w:ascii="Times New Roman;sans-serif" w:hAnsi="Times New Roman;sans-serif"/>
                <w:b w:val="false"/>
                <w:color w:val="000000"/>
                <w:sz w:val="13"/>
              </w:rPr>
              <w:t>(3)</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Fair value loss </w:t>
            </w:r>
            <w:r>
              <w:rPr>
                <w:rFonts w:ascii="Times New Roman;sans-serif" w:hAnsi="Times New Roman;sans-serif"/>
                <w:b w:val="false"/>
                <w:color w:val="000000"/>
                <w:sz w:val="13"/>
              </w:rPr>
              <w:t>(3)</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Included in other current liabilities in the consolidated balance sheets.</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Included in other long-term obligations in the consolidated balance sheets.</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Included in litigation settlements and other contingencies, net in the consolidated statements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not elected the fair value option for financial assets and liabilities other than the CCPS, any future transacted financial asset or liability will be evaluated for the fair value election.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Available-for-Sale Securities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estimated fair value of available-for-sale securities were as follows:</w:t>
      </w:r>
    </w:p>
    <w:tbl>
      <w:tblPr>
        <w:tblW w:w="10205" w:type="dxa"/>
        <w:jc w:val="left"/>
        <w:tblInd w:w="0" w:type="dxa"/>
        <w:tblLayout w:type="fixed"/>
        <w:tblCellMar>
          <w:top w:w="28" w:type="dxa"/>
          <w:left w:w="28" w:type="dxa"/>
          <w:bottom w:w="28" w:type="dxa"/>
          <w:right w:w="28" w:type="dxa"/>
        </w:tblCellMar>
      </w:tblPr>
      <w:tblGrid>
        <w:gridCol w:w="1234"/>
        <w:gridCol w:w="1081"/>
        <w:gridCol w:w="1060"/>
        <w:gridCol w:w="1020"/>
        <w:gridCol w:w="1006"/>
        <w:gridCol w:w="1009"/>
        <w:gridCol w:w="109"/>
        <w:gridCol w:w="109"/>
        <w:gridCol w:w="109"/>
        <w:gridCol w:w="211"/>
        <w:gridCol w:w="511"/>
        <w:gridCol w:w="109"/>
        <w:gridCol w:w="109"/>
        <w:gridCol w:w="109"/>
        <w:gridCol w:w="109"/>
        <w:gridCol w:w="109"/>
        <w:gridCol w:w="109"/>
        <w:gridCol w:w="252"/>
        <w:gridCol w:w="503"/>
        <w:gridCol w:w="131"/>
        <w:gridCol w:w="109"/>
        <w:gridCol w:w="109"/>
        <w:gridCol w:w="109"/>
        <w:gridCol w:w="211"/>
        <w:gridCol w:w="511"/>
        <w:gridCol w:w="157"/>
      </w:tblGrid>
      <w:tr>
        <w:trPr/>
        <w:tc>
          <w:tcPr>
            <w:tcW w:w="123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investments</w:t>
            </w:r>
          </w:p>
        </w:tc>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investments</w:t>
            </w:r>
          </w:p>
        </w:tc>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available-for-sale fixed income investments at fair value as of December 31, 2024, were as follows:</w:t>
      </w:r>
    </w:p>
    <w:tbl>
      <w:tblPr>
        <w:tblW w:w="3366" w:type="dxa"/>
        <w:jc w:val="left"/>
        <w:tblInd w:w="0" w:type="dxa"/>
        <w:tblLayout w:type="fixed"/>
        <w:tblCellMar>
          <w:top w:w="28" w:type="dxa"/>
          <w:left w:w="28" w:type="dxa"/>
          <w:bottom w:w="28" w:type="dxa"/>
          <w:right w:w="28" w:type="dxa"/>
        </w:tblCellMar>
      </w:tblPr>
      <w:tblGrid>
        <w:gridCol w:w="904"/>
        <w:gridCol w:w="792"/>
        <w:gridCol w:w="794"/>
        <w:gridCol w:w="211"/>
        <w:gridCol w:w="511"/>
        <w:gridCol w:w="154"/>
      </w:tblGrid>
      <w:tr>
        <w:trPr/>
        <w:tc>
          <w:tcPr>
            <w:tcW w:w="90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within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one to five years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five years and later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10.Debt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provides an overview of the Company’s short-term credit facilities.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Receivables Facility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$400 million Receivables Facility which expires in April 2025. 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outstanding under the Receivables Facility bear interest at the applicable base rate plus 0.775% and are included as a component of short-term borrowings, while the accounts receivable securing these obligations remain as a component of accounts receivable, net, in our consolidated balance sheets. In addition, the agreement governing the Receivables Facility contains various customary affirmative and negative covenants, and customary default and termination provisions with which the Company was compliant as of December 31, 2024. As of December 31, 2024 and 2023, the Company had $484.1 million and $564.5 million, respectively, of accounts receivable balances sold to its subsidiary Mylan Securitization LLC under the Receivables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Long-Term Debt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long-term debt is as follows:</w:t>
      </w:r>
    </w:p>
    <w:tbl>
      <w:tblPr>
        <w:tblW w:w="9350" w:type="dxa"/>
        <w:jc w:val="left"/>
        <w:tblInd w:w="0" w:type="dxa"/>
        <w:tblLayout w:type="fixed"/>
        <w:tblCellMar>
          <w:top w:w="28" w:type="dxa"/>
          <w:left w:w="28" w:type="dxa"/>
          <w:bottom w:w="28" w:type="dxa"/>
          <w:right w:w="28" w:type="dxa"/>
        </w:tblCellMar>
      </w:tblPr>
      <w:tblGrid>
        <w:gridCol w:w="1229"/>
        <w:gridCol w:w="1079"/>
        <w:gridCol w:w="1082"/>
        <w:gridCol w:w="641"/>
        <w:gridCol w:w="641"/>
        <w:gridCol w:w="1597"/>
        <w:gridCol w:w="109"/>
        <w:gridCol w:w="109"/>
        <w:gridCol w:w="109"/>
        <w:gridCol w:w="211"/>
        <w:gridCol w:w="871"/>
        <w:gridCol w:w="109"/>
        <w:gridCol w:w="109"/>
        <w:gridCol w:w="109"/>
        <w:gridCol w:w="109"/>
        <w:gridCol w:w="211"/>
        <w:gridCol w:w="871"/>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portion of long-term debt:</w:t>
            </w:r>
          </w:p>
        </w:tc>
        <w:tc>
          <w:tcPr>
            <w:tcW w:w="2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2024 Euro Senior Notes </w:t>
            </w: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2024 Euro Senior Notes </w:t>
            </w: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20"/>
              </w:rPr>
              <w:t>****</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fees</w:t>
            </w:r>
          </w:p>
        </w:tc>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portion of long-term debt:</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2025 Euro Senior Notes </w:t>
            </w: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20"/>
              </w:rPr>
              <w:t>*</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2025 Senior Notes </w:t>
            </w:r>
            <w:r>
              <w:rPr>
                <w:rFonts w:ascii="Times New Roman;sans-serif" w:hAnsi="Times New Roman;sans-serif"/>
                <w:b w:val="false"/>
                <w:color w:val="000000"/>
                <w:sz w:val="13"/>
              </w:rPr>
              <w:t xml:space="preserve">(c) </w:t>
            </w:r>
            <w:r>
              <w:rPr>
                <w:rFonts w:ascii="Times New Roman;sans-serif" w:hAnsi="Times New Roman;sans-serif"/>
                <w:b w:val="false"/>
                <w:color w:val="000000"/>
                <w:sz w:val="20"/>
              </w:rPr>
              <w:t>***</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2026 Senior Notes </w:t>
            </w:r>
            <w:r>
              <w:rPr>
                <w:rFonts w:ascii="Times New Roman;sans-serif" w:hAnsi="Times New Roman;sans-serif"/>
                <w:b w:val="false"/>
                <w:color w:val="000000"/>
                <w:sz w:val="13"/>
              </w:rPr>
              <w:t xml:space="preserve">(c) </w:t>
            </w:r>
            <w:r>
              <w:rPr>
                <w:rFonts w:ascii="Times New Roman;sans-serif" w:hAnsi="Times New Roman;sans-serif"/>
                <w:b w:val="false"/>
                <w:color w:val="000000"/>
                <w:sz w:val="20"/>
              </w:rPr>
              <w:t>**</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Euro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Euro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Euro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2040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2043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2046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2048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2050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 Facility</w:t>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fees</w:t>
            </w:r>
          </w:p>
        </w:tc>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     </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(a)    </w:t>
      </w:r>
      <w:r>
        <w:rPr>
          <w:rFonts w:ascii="Times New Roman;sans-serif" w:hAnsi="Times New Roman;sans-serif"/>
          <w:b w:val="false"/>
          <w:color w:val="000000"/>
          <w:sz w:val="20"/>
        </w:rPr>
        <w:t>The 2024 Euro Senior Notes were repaid at maturity in the fourth quarter of 2024.</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(b)    </w:t>
      </w:r>
      <w:r>
        <w:rPr>
          <w:rFonts w:ascii="Times New Roman;sans-serif" w:hAnsi="Times New Roman;sans-serif"/>
          <w:b w:val="false"/>
          <w:color w:val="000000"/>
          <w:sz w:val="20"/>
        </w:rPr>
        <w:t>The 2024 Euro Senior Notes were repaid at maturity in the second quarter of 2024.</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(c)    </w:t>
      </w:r>
      <w:r>
        <w:rPr>
          <w:rFonts w:ascii="Times New Roman;sans-serif" w:hAnsi="Times New Roman;sans-serif"/>
          <w:b w:val="false"/>
          <w:color w:val="000000"/>
          <w:sz w:val="20"/>
        </w:rPr>
        <w:t xml:space="preserve">Refer to </w:t>
      </w:r>
      <w:r>
        <w:rPr>
          <w:rFonts w:ascii="Times New Roman;sans-serif" w:hAnsi="Times New Roman;sans-serif"/>
          <w:b w:val="false"/>
          <w:i/>
          <w:color w:val="000000"/>
          <w:sz w:val="20"/>
        </w:rPr>
        <w:t xml:space="preserve">Senior Notes – Senior Notes Repayment </w:t>
      </w:r>
      <w:r>
        <w:rPr>
          <w:rFonts w:ascii="Times New Roman;sans-serif" w:hAnsi="Times New Roman;sans-serif"/>
          <w:b w:val="false"/>
          <w:color w:val="000000"/>
          <w:sz w:val="20"/>
        </w:rPr>
        <w:t>section below for additional details.</w:t>
      </w:r>
    </w:p>
    <w:p>
      <w:pPr>
        <w:pStyle w:val="TextBody"/>
        <w:bidi w:val="0"/>
        <w:spacing w:lineRule="auto" w:line="276" w:before="0" w:after="60"/>
        <w:ind w:left="0" w:right="0" w:hanging="360"/>
        <w:jc w:val="left"/>
        <w:rPr/>
      </w:pP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Instrument was issued by Mylan Inc.</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originally issued by Mylan N.V.; now held by Utah Acquisition Sub Inc.</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issued by Viatris Inc.</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issued by Upjohn Finance B.V.</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Assumptions and Guarantees of Senior Unsecured Notes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is the issuer of the Upjohn U.S. Dollar Notes, which are fully and unconditionally guaranteed on a senior unsecured basis by Mylan Inc., Mylan II B.V. and Utah Acquisition Sub Inc.</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Upjohn Finance B.V. is the issuer of the Upjohn Euro Notes, which are fully and unconditionally guaranteed on a senior unsecured basis by Viatris Inc., Mylan Inc., Mylan II B.V. and Utah Acquisition Sub Inc.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Combination, Utah Acquisition Sub Inc. is the issuer of the Utah U.S. Dollar Notes and the Utah Euro Notes, which are each fully and unconditionally guaranteed on a senior unsecured basis by Mylan Inc., Viatris Inc. and Mylan II B.V.</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Mylan Inc. is the issuer of the Mylan Inc. U.S. Dollar Notes, which are each fully and unconditionally guaranteed on a senior unsecured basis by Mylan II B.V., Viatris Inc. and Utah Acquisition Sub Inc.</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 Repayment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16, 2024, Viatris and Mylan Inc. completed cash tender offers for their then-outstanding 1.650% Senior Notes due 2025 (the “2025 Senior Notes”) and 2.125% Senior Notes due 2025 (the “2025 Euro Senior Notes”), respectively. Viatris paid $422.3 million to repurchase $432.0 million aggregate principal amount of the 2025 Senior Notes at a repurchase price equal to 97.8% of the aggregate principal amount of the 2025 Senior Notes accepted for tender, and also paid accrued and unpaid interest. Mylan Inc. paid €206.9 million to repurchase €208.1 million aggregate principal amount of the 2025 Euro Senior Notes at a repurchase price equal to 99.4% of the aggregate principal amount of the 2025 Euro Senior Notes accepted for tender, and also paid accrued and unpaid interest. On September 20, 2024, Utah Acquisition Sub Inc. also completed a cash tender offer for its then-outstanding 3.950% Senior Notes due 2026 (the “2026 Senior Notes” and, together with the 2025 Senior Notes and the 2025 Euro Senior Notes, the “Senior Notes”) and paid $572.5 million to repurchase $575.0 million aggregate principal amount at a repurchase price equal to 99.6% of the aggregate principal amount of the 2026 Senior Notes accepted for tender, and also paid accrued and unpaid interest.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16, 2024, after completing the tender offer, the Company irrevocably deposited with the trustee under the indenture governing the 2025 Senior Notes, U.S. government obligations in an amount sufficient to fund the payment of accrued and unpaid interest and the remaining $318.0 million aggregate principal amount as it becomes due. After the deposit of such funds with the trustee, the Company’s obligations under the 2025 Senior Notes Indenture with respect to the 2025 Senior Notes were satisfied and discharged. In addition, on September 16, 2024, after completing the tender offer, Mylan Inc. issued a notice of redemption for the remaining €291.9 million aggregate principal amount of the 2025 Euro Senior Notes and such redemption was completed on October 16,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tender offers and satisfaction and discharge of the Senior Notes were completed using cash and cash equivalents on hand and accounted for as a debt extinguishment. The total gain recognized on the debt extinguishment (net of the write off of related unamortized deferred financing fees) for the year ended December 31, 2024 was $16.5 million and is included within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statements of operations.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YEN Term Loan Facility and 2024 Revolving Facility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Viatris entered into the ¥40 billion YEN Term Loan Facility with various syndicates of banks. The YEN Term Loan Facility will mature in July 2026. On September 27, 2024, Viatris entered into a $3.5 billion amended and restated revolving credit agreement (the “2024 Revolving Facility”) with a syndicate of banks. The 2024 Revolving Facility amended and restated the 2021 Revolving Facility. The 2024 Revolving Facility bears interest at variable rates based on current market conditions and will mature in September 2029.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YEN Term Loan Facility and the 2024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require maintenance of a Maximum Leverage Ratio no greater than 3.75 to 1.00 as of the last day of any fiscal quarter,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 Up to $1.65 billion of the 2024 Revolving Facility may be used to support borrowings under our Commercial Paper Program.</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Fair Value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the aggregate fair value of the Company’s outstanding notes was approximately $11.53 billion and $15.25 billion, respectively. The fair values of the outstanding notes were valued at quoted market prices from broker or dealer quotations and were classified as Level 2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Mandatory minimum repayments remaining on the notional amount of outstanding long-term debt at December 31, 2024 were as follows for each of the years ending December 31:</w:t>
      </w:r>
    </w:p>
    <w:tbl>
      <w:tblPr>
        <w:tblW w:w="2076" w:type="dxa"/>
        <w:jc w:val="left"/>
        <w:tblInd w:w="0" w:type="dxa"/>
        <w:tblLayout w:type="fixed"/>
        <w:tblCellMar>
          <w:top w:w="28" w:type="dxa"/>
          <w:left w:w="28" w:type="dxa"/>
          <w:bottom w:w="28" w:type="dxa"/>
          <w:right w:w="28" w:type="dxa"/>
        </w:tblCellMar>
      </w:tblPr>
      <w:tblGrid>
        <w:gridCol w:w="359"/>
        <w:gridCol w:w="315"/>
        <w:gridCol w:w="316"/>
        <w:gridCol w:w="211"/>
        <w:gridCol w:w="721"/>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11.Comprehensive (Loss) Earnings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as reflected in the consolidated balance sheets, is comprised of the following:</w:t>
      </w:r>
    </w:p>
    <w:tbl>
      <w:tblPr>
        <w:tblW w:w="10205" w:type="dxa"/>
        <w:jc w:val="left"/>
        <w:tblInd w:w="0" w:type="dxa"/>
        <w:tblLayout w:type="fixed"/>
        <w:tblCellMar>
          <w:top w:w="28" w:type="dxa"/>
          <w:left w:w="28" w:type="dxa"/>
          <w:bottom w:w="28" w:type="dxa"/>
          <w:right w:w="28" w:type="dxa"/>
        </w:tblCellMar>
      </w:tblPr>
      <w:tblGrid>
        <w:gridCol w:w="2501"/>
        <w:gridCol w:w="2183"/>
        <w:gridCol w:w="2203"/>
        <w:gridCol w:w="267"/>
        <w:gridCol w:w="1065"/>
        <w:gridCol w:w="137"/>
        <w:gridCol w:w="109"/>
        <w:gridCol w:w="109"/>
        <w:gridCol w:w="109"/>
        <w:gridCol w:w="265"/>
        <w:gridCol w:w="1057"/>
        <w:gridCol w:w="200"/>
      </w:tblGrid>
      <w:tr>
        <w:trPr/>
        <w:tc>
          <w:tcPr>
            <w:tcW w:w="250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available-for-sale fixed income securities, net of tax</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and prior service cost related to defined benefit plans, net of tax</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loss on derivatives in cash flow hedging relationships, net of tax</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on derivatives in net investment hedging relationships, net of tax</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(3,212.9)</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(2,747.4)</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accumulated other comprehensive (loss) earnings, before tax, consist of the following:</w:t>
      </w:r>
    </w:p>
    <w:tbl>
      <w:tblPr>
        <w:tblW w:w="11683"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9"/>
        <w:gridCol w:w="259"/>
        <w:gridCol w:w="143"/>
        <w:gridCol w:w="109"/>
        <w:gridCol w:w="109"/>
        <w:gridCol w:w="109"/>
        <w:gridCol w:w="211"/>
        <w:gridCol w:w="511"/>
        <w:gridCol w:w="109"/>
        <w:gridCol w:w="109"/>
        <w:gridCol w:w="109"/>
        <w:gridCol w:w="109"/>
        <w:gridCol w:w="211"/>
        <w:gridCol w:w="616"/>
        <w:gridCol w:w="109"/>
        <w:gridCol w:w="109"/>
        <w:gridCol w:w="109"/>
        <w:gridCol w:w="109"/>
        <w:gridCol w:w="423"/>
        <w:gridCol w:w="844"/>
        <w:gridCol w:w="219"/>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other (expense) income, net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loss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1698"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16"/>
        <w:gridCol w:w="109"/>
        <w:gridCol w:w="109"/>
        <w:gridCol w:w="109"/>
        <w:gridCol w:w="109"/>
        <w:gridCol w:w="423"/>
        <w:gridCol w:w="844"/>
        <w:gridCol w:w="219"/>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 of defined pension plan included in SG&amp;A</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loss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1698" w:type="dxa"/>
        <w:jc w:val="left"/>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16"/>
        <w:gridCol w:w="109"/>
        <w:gridCol w:w="109"/>
        <w:gridCol w:w="109"/>
        <w:gridCol w:w="109"/>
        <w:gridCol w:w="423"/>
        <w:gridCol w:w="844"/>
        <w:gridCol w:w="219"/>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loss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 net of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12.Income Taxes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(benefit) consisted of the following components:</w:t>
      </w:r>
    </w:p>
    <w:tbl>
      <w:tblPr>
        <w:tblW w:w="7167" w:type="dxa"/>
        <w:jc w:val="left"/>
        <w:tblInd w:w="0" w:type="dxa"/>
        <w:tblLayout w:type="fixed"/>
        <w:tblCellMar>
          <w:top w:w="28" w:type="dxa"/>
          <w:left w:w="28" w:type="dxa"/>
          <w:bottom w:w="28" w:type="dxa"/>
          <w:right w:w="28" w:type="dxa"/>
        </w:tblCellMar>
      </w:tblPr>
      <w:tblGrid>
        <w:gridCol w:w="1248"/>
        <w:gridCol w:w="1092"/>
        <w:gridCol w:w="1095"/>
        <w:gridCol w:w="211"/>
        <w:gridCol w:w="691"/>
        <w:gridCol w:w="109"/>
        <w:gridCol w:w="109"/>
        <w:gridCol w:w="109"/>
        <w:gridCol w:w="109"/>
        <w:gridCol w:w="211"/>
        <w:gridCol w:w="616"/>
        <w:gridCol w:w="109"/>
        <w:gridCol w:w="109"/>
        <w:gridCol w:w="109"/>
        <w:gridCol w:w="109"/>
        <w:gridCol w:w="211"/>
        <w:gridCol w:w="76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earnings before income taxes:</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 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earnings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all periods presented, the allocation of earnings before income taxes between U.S. and non-U.S. operations includes intercompany interest allocations between certain domestic and foreign subsidiaries. These amounts are eliminated on a consolidated basis.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Temporary differences and carry-forwards that result in deferred tax assets and liabilities were as follows:</w:t>
      </w:r>
    </w:p>
    <w:tbl>
      <w:tblPr>
        <w:tblW w:w="6220" w:type="dxa"/>
        <w:jc w:val="left"/>
        <w:tblInd w:w="0" w:type="dxa"/>
        <w:tblLayout w:type="fixed"/>
        <w:tblCellMar>
          <w:top w:w="28" w:type="dxa"/>
          <w:left w:w="28" w:type="dxa"/>
          <w:bottom w:w="28" w:type="dxa"/>
          <w:right w:w="28" w:type="dxa"/>
        </w:tblCellMar>
      </w:tblPr>
      <w:tblGrid>
        <w:gridCol w:w="1034"/>
        <w:gridCol w:w="906"/>
        <w:gridCol w:w="909"/>
        <w:gridCol w:w="313"/>
        <w:gridCol w:w="1025"/>
        <w:gridCol w:w="161"/>
        <w:gridCol w:w="109"/>
        <w:gridCol w:w="109"/>
        <w:gridCol w:w="109"/>
        <w:gridCol w:w="270"/>
        <w:gridCol w:w="1078"/>
        <w:gridCol w:w="197"/>
      </w:tblGrid>
      <w:tr>
        <w:trPr/>
        <w:tc>
          <w:tcPr>
            <w:tcW w:w="10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reserves</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allowances</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and loss carry-forwards</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equipment</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and goodwill</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those foreign subsidiaries whose investments are permanent in duration, income and foreign withholding taxes have not been provided on the unremitted earnings of those subsidiaries. This amount may become taxable upon a repatriation of assets from the subsidiary or a sale or liquidation of the subsidiary. The amount of such unremitted earnings is approximately $1.11 billion at December 31, 2024. Determination of the amount of any unrecognized deferred income tax liability on these unremitted earnings is not practicable as such determination involves material uncertainties about the potential extent and timing of any distributions, the availability and complexity of calculating foreign tax credits, and the potential indirect tax consequences of such distributions, including withholding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tax rate from continuing operations differs from the applicable U.S. statutory federal income tax rate of 21.0%, due to the following:</w:t>
      </w:r>
    </w:p>
    <w:tbl>
      <w:tblPr>
        <w:tblW w:w="7886" w:type="dxa"/>
        <w:jc w:val="left"/>
        <w:tblInd w:w="0" w:type="dxa"/>
        <w:tblLayout w:type="fixed"/>
        <w:tblCellMar>
          <w:top w:w="28" w:type="dxa"/>
          <w:left w:w="28" w:type="dxa"/>
          <w:bottom w:w="28" w:type="dxa"/>
          <w:right w:w="28" w:type="dxa"/>
        </w:tblCellMar>
      </w:tblPr>
      <w:tblGrid>
        <w:gridCol w:w="1633"/>
        <w:gridCol w:w="1436"/>
        <w:gridCol w:w="1445"/>
        <w:gridCol w:w="343"/>
        <w:gridCol w:w="347"/>
        <w:gridCol w:w="271"/>
        <w:gridCol w:w="109"/>
        <w:gridCol w:w="109"/>
        <w:gridCol w:w="109"/>
        <w:gridCol w:w="291"/>
        <w:gridCol w:w="294"/>
        <w:gridCol w:w="271"/>
        <w:gridCol w:w="109"/>
        <w:gridCol w:w="109"/>
        <w:gridCol w:w="109"/>
        <w:gridCol w:w="291"/>
        <w:gridCol w:w="294"/>
        <w:gridCol w:w="316"/>
      </w:tblGrid>
      <w:tr>
        <w:trPr/>
        <w:tc>
          <w:tcPr>
            <w:tcW w:w="163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tax rate</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credits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tax carryforwards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and credits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settlements and resolution of certain tax positions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Combination and divestitures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U.S. tax on foreign earnings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impact of tax law changes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Withholding taxes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impact of internal restructuring</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all years, our effective tax rate is impacted by the jurisdictional location of earnings and the corresponding tax rates in those jurisdictions. The Company realizes benefits from lower tax rates in Singapore and Puerto Rico due to manufacturing and other incentives.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as a result of legislation changes surrounding Pillar Two Global Anti-Base Erosion Rules (“Pillar Two Rules”), the Company recognized $734.6 million of previously unrecorded Luxembourg net operating losses which are offset by a corresponding valuation allowance. During the year ended December 31, 2022, a Puerto Rico net operating loss, which was recorded in conjunction with the Combination, expired unutilized resulting in a $274.4 million write-off of deferred tax asset and corresponding valuation allowance. The expiration and valuation allowance impacts are reflected in the above table.</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Valuation Allowance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when it is more likely than not that some portion or all of the deferred tax assets will not be realized. At December 31, 2024, a valuation allowance has been applied to certain deferred tax assets in the amount of $1.23 billion.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assessing the realizability of deferred tax assets, management considers all available evidence, including historical information, long-term forecasts of future 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Net Operating Losses</w:t>
      </w:r>
    </w:p>
    <w:p>
      <w:pPr>
        <w:pStyle w:val="TextBody"/>
        <w:bidi w:val="0"/>
        <w:spacing w:lineRule="auto" w:line="276"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had the following carryforwards and attributes: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U.S. federal net operating loss carryforwards of $247.6 million, which were recorded in connection with the Oyster Point acquisition. While the utilization of these carryforwards is subject to Section 382 of the Code, the Company does not anticipate that this limitation will impair our ability to utilize the carryovers.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U.S. state income tax loss carryforwards of approximately $3.40 billion, which are largely offset by a valuation allowance.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Non-U.S. net operating loss carryforwards of approximately $4.47 billion, of which $2.34 billion can be carried forward indefinitely, with the remaining $2.13 billion expiring in years 2025 through 2044.</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U.S. and foreign credit carryovers of $276.6 million, expiring in various amounts through 2044.</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Anticipatory foreign tax credits of $48.0 million which will generate from the reversal of future taxable income in certain non-U.S. jurisdictions which are taxed both in their local jurisdictions and in the U.S.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16, 2020, the Company had a change in ownership pursuant to Section 382 of the Code. Under this provision of the Code, the utilization of any NOL or tax credit carryforwards incurred prior to the date of ownership change may be limited. Analyses of the limits for each ownership change indicates the annual limitation would not impair the Company's ability to utilize our U.S. federal credit carryovers. While state loss carryforwards may be limited by Section 382 of the Code, the carryforwards are largely offset by a valuation allowance.</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Legislative Updates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August 16, 2022, the U.S. government enacted the Inflation Reduction Act of 2022 into law, which includes a new corporate alternative minimum tax (“CAMT”) and an excise tax of 1% on the fair market value of net stock repurchases. Both provisions are effective for years after December 31, 2022. The Company reflected the applicable estimated excise tax in treasury stock as part of the cost basis of the stock repurchased and recorded a corresponding liability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in our consolidated balance sheets as of December 31, 2024 and 2023. The share repurchase and authorization amounts otherwise disclosed in this Form 10-K exclude the excise tax. The Company does not anticipate being subject to the 15% CAMT tax in 2024 based on enacted law and regulatory guidance; however, our CAMT status could change in the future, depending on new regulations or regulatory guidance issued by the U.S. Department of the Treasury.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many countries are actively considering or have proposed or enacted changes to their tax laws based on the Pillar Two Rules proposed by the OECD. The Pillar Two Rules impose a global minimum tax of 15%, and under these rules, the Company may be required to pay a “top-up” tax to the extent our effective tax rate in any given country is below 15%. Several countries have enacted the Pillar Two Rules effective January 1, 2024, with many countries postponing implementation to January 1, 2025 or later, if at all. After determining which jurisdictions are not required to calculate a Pillar Two liability as a result of the existing safe harbors, the Company has determined that the impact of the Pillar Two Rules in the countries that have enacted such rules effective for tax years ending on or before December 31, 2024, is not material to our results of operations for the year ended December 31, 2024. While the Pillar Two Rules did not have a significant impact on the 2024 tax provision or financial results, the Company will continue to monitor and evaluate the evolving tax legislation in the jurisdictions in which we operate which could impact future tax provision and financial results.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Tax Examinations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 </w:t>
      </w:r>
    </w:p>
    <w:p>
      <w:pPr>
        <w:pStyle w:val="TextBody"/>
        <w:bidi w:val="0"/>
        <w:spacing w:lineRule="auto" w:line="276"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ongoing IRS examinations. The years 2020 through 2023 are open years, with 2020 and 2021 under examination.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Several international audits are currently in progress. In some cases, the tax auditors have proposed adjustments </w:t>
      </w:r>
      <w:r>
        <w:rPr>
          <w:rFonts w:ascii="Times New Roman;sans-serif" w:hAnsi="Times New Roman;sans-serif"/>
          <w:b w:val="false"/>
          <w:color w:val="000000"/>
          <w:sz w:val="20"/>
          <w:shd w:fill="FFFFFF" w:val="clear"/>
        </w:rPr>
        <w:t xml:space="preserve">or issued assessments </w:t>
      </w:r>
      <w:r>
        <w:rPr>
          <w:rFonts w:ascii="Times New Roman;sans-serif" w:hAnsi="Times New Roman;sans-serif"/>
          <w:b w:val="false"/>
          <w:color w:val="000000"/>
          <w:sz w:val="20"/>
        </w:rPr>
        <w:t>to our tax positions, including with respect to intercompany transactions, and we are in ongoing discussions with some of the auditors regarding the validity of their tax 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Australia, the tax authorities issued notices of assessments to the Company for the years ended December 2009 to December 2020, subject to additional interest and penalties, concerning our tax position with respect to certain intercompany transactions. The tax authorities denied our objections to the assessments for the years ended December 2009 to December 2020 and we commenced litigation in the Australian Federal Court challenging those decisions. A trial took place in October 2023 and on March 20, 2024, the Court issued a decision in favor of the Company. The tax authorities did not appeal the Court decision. The Company made a partial payment of $56.0 million in 2021 and $5.2 million in 2022 in order to stay potential interest and penalties resulting from this litigation, which has been refunded.</w:t>
      </w:r>
    </w:p>
    <w:p>
      <w:pPr>
        <w:pStyle w:val="TextBody"/>
        <w:bidi w:val="0"/>
        <w:spacing w:before="0" w:after="0"/>
        <w:ind w:left="0" w:right="0" w:firstLine="72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 A decision is pending.</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issues were resolved through the Company entering into an agreement with the tax authorities in March 2023 in respect of the pricing of its international transactions. The Company recorded tax expense of approximately     $22.3 million during the year ended December 31, 2023, due to the terms of this agreement. The remaining issues are in the audit phase or are being challenged in the Indian tax courts.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2020, the Swedish Tax Authorities (“STA”) asserted an underpayment of tax against Meda A.B. for the tax years 2014 to 2019. The claim was that profits earned by its Luxembourg subsidiary should have been attributed to Meda A.B. The Company appealed the STA’s assessment to the Administrative Court of Stockholm. On September 16, 2022, the Court ruled in favor of Meda A.B. that no tax was due. The STA appealed that decision. On April 10, 2024, the Administrative Court of Appeals overturned the lower Court’s ruling and issued a decision in favor of the STA upholding its original assessment. The amount due including interest and penalties is approximately $18.2 million, which was paid during the second quarter of 2024. The Company has filed a petition seeking review of the decision to the Supreme Administrative Court.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recorded a net reserve for uncertain tax positions of $277.0 million and $287.1 million, including interest and penalties, in connection with its international audits at December 31, 2024 and 2023, respectively. In connection with our international tax audits, it is possible that we will incur material losses above the amounts reserved.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major U.S. state taxing jurisdictions remain open from fiscal year 2015 through 2023, with several state audits currently in progress. The Company’s major international taxing jurisdictions remain open from 2012 through 2023.</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for Uncertainty in Income Taxes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Company’s consolidated balance sheets reflect net liabilities for unrecognized tax benefits of $255.7 million and $272.8 million, respectively, of which $180.5 million as of December 31, 2024 would affect the Company’s effective tax rate if recognized, with the remainder being offset by potential correlative adjustments. Related accrued interest and penalties included in the consolidated balance sheets were $106.4 million and $115.7 million as of December 31, 2024 and 2023, respectively. For the years ended December 31, 2024, 2023 and 2022, the Company recognized $(0.3) million, $15.4 million, and $21.1 million of tax (benefit)/expense, respectively, related to interest and penalties on uncertain tax positions. Interest and penalties related to income taxes are included in the tax provision.</w:t>
      </w:r>
    </w:p>
    <w:p>
      <w:pPr>
        <w:pStyle w:val="TextBody"/>
        <w:bidi w:val="0"/>
        <w:spacing w:before="0" w:after="6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unrecognized tax benefits is as follows:</w:t>
      </w:r>
    </w:p>
    <w:tbl>
      <w:tblPr>
        <w:tblW w:w="8006" w:type="dxa"/>
        <w:jc w:val="left"/>
        <w:tblInd w:w="0" w:type="dxa"/>
        <w:tblLayout w:type="fixed"/>
        <w:tblCellMar>
          <w:top w:w="28" w:type="dxa"/>
          <w:left w:w="28" w:type="dxa"/>
          <w:bottom w:w="28" w:type="dxa"/>
          <w:right w:w="28" w:type="dxa"/>
        </w:tblCellMar>
      </w:tblPr>
      <w:tblGrid>
        <w:gridCol w:w="1630"/>
        <w:gridCol w:w="1429"/>
        <w:gridCol w:w="1440"/>
        <w:gridCol w:w="211"/>
        <w:gridCol w:w="616"/>
        <w:gridCol w:w="109"/>
        <w:gridCol w:w="109"/>
        <w:gridCol w:w="109"/>
        <w:gridCol w:w="109"/>
        <w:gridCol w:w="211"/>
        <w:gridCol w:w="616"/>
        <w:gridCol w:w="109"/>
        <w:gridCol w:w="109"/>
        <w:gridCol w:w="109"/>
        <w:gridCol w:w="109"/>
        <w:gridCol w:w="211"/>
        <w:gridCol w:w="61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 —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current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prior year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prior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expirations of statute of limitations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due to acquisition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 —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 is reasonably possible that the amount of unrecognized tax benefits will decrease in the next twelve months by approximately $21.0 million, involving international and state audits and settlements and expiring statutes of limitations. The Company does not anticipate significant increases to the reserve within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13.Share-Based Incentive Plan</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Prior to the Distribution, Viatris adopted and Pfizer, in the capacity as Viatris’ sole stockholder at such time, approved the 2020 Incentive Plan (the </w:t>
      </w:r>
      <w:r>
        <w:rPr>
          <w:rFonts w:ascii="Times New Roman;sans-serif" w:hAnsi="Times New Roman;sans-serif"/>
          <w:b w:val="false"/>
          <w:i/>
          <w:color w:val="000000"/>
          <w:sz w:val="20"/>
        </w:rPr>
        <w:t>Viatris Inc. 2020 Stock Incentive Plan</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which became effective as of the Distribution. In connection with the Combination, as of November 16, 2020, the Company assumed the 2003 LTIP (</w:t>
      </w:r>
      <w:r>
        <w:rPr>
          <w:rFonts w:ascii="Times New Roman;sans-serif" w:hAnsi="Times New Roman;sans-serif"/>
          <w:b w:val="false"/>
          <w:i/>
          <w:color w:val="000000"/>
          <w:sz w:val="20"/>
        </w:rPr>
        <w:t>Mylan N.V. Amended and Restated 2003 Long-Term Incentive Plan)</w:t>
      </w:r>
      <w:r>
        <w:rPr>
          <w:rFonts w:ascii="Times New Roman;sans-serif" w:hAnsi="Times New Roman;sans-serif"/>
          <w:b w:val="false"/>
          <w:color w:val="000000"/>
          <w:sz w:val="20"/>
        </w:rPr>
        <w:t>, which had previously been approved by Mylan shareholders. The 2020 Incentive Plan includes 72,500,000 shares of Viatris’ common stock authorized for grant pursuant to the 2020 Incentive Plan, which may include dividend payments payable in common stock on unvested shares granted under awards. No shares remain available for issuance under the 2003 LTIP, however, certain awards remain outstanding under the plan. The Board had approved an amendment to the 2020 Incentive Plan, subject to the approval of Viatris shareholders, to increase the maximum aggregate number of shares of Viatris common stock available for issuance under the 2020 Incentive Plan by 49,000,000 and on December 6, 2024, Viatris shareholders approved the amendment.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2020 Incentive Plan,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awards (stock options and SARs) activity:</w:t>
      </w:r>
    </w:p>
    <w:tbl>
      <w:tblPr>
        <w:tblW w:w="7631" w:type="dxa"/>
        <w:jc w:val="left"/>
        <w:tblInd w:w="0" w:type="dxa"/>
        <w:tblLayout w:type="fixed"/>
        <w:tblCellMar>
          <w:top w:w="28" w:type="dxa"/>
          <w:left w:w="28" w:type="dxa"/>
          <w:bottom w:w="28" w:type="dxa"/>
          <w:right w:w="28" w:type="dxa"/>
        </w:tblCellMar>
      </w:tblPr>
      <w:tblGrid>
        <w:gridCol w:w="1521"/>
        <w:gridCol w:w="1336"/>
        <w:gridCol w:w="1343"/>
        <w:gridCol w:w="534"/>
        <w:gridCol w:w="534"/>
        <w:gridCol w:w="536"/>
        <w:gridCol w:w="109"/>
        <w:gridCol w:w="109"/>
        <w:gridCol w:w="109"/>
        <w:gridCol w:w="321"/>
        <w:gridCol w:w="942"/>
        <w:gridCol w:w="237"/>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Under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Exercise Price</w:t>
              <w:br/>
              <w:t>per Share</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5,576,490 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(1,126,848)</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4,449,642 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283,361 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(26,457)</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(547,213)</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4,159,333 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(57,952)</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(750,595)</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3,350,786 </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December 31, 2024</w:t>
            </w:r>
          </w:p>
        </w:tc>
        <w:tc>
          <w:tcPr>
            <w:tcW w:w="10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3,345,183 </w:t>
            </w:r>
          </w:p>
        </w:tc>
        <w:tc>
          <w:tcPr>
            <w:tcW w:w="5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3,310,219 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stock awards outstanding, stock awards vested and expected to vest and stock awards exercisable each had average remaining contractual terms of 3.1 years. Also, at December 31, 2024, stock awards outstanding, stock awards vested and expected to vest and stock awards exercisable had aggregate intrinsic values of $0.5 million, $0.5 million, and $0.3 million, respectively.</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rollforward of the changes in the Company’s nonvested Restricted Stock Awards (restricted stock and restricted stock unit awards, including PSUs) from December 31, 2023 to December 31, 2024 is presented below:</w:t>
      </w:r>
    </w:p>
    <w:tbl>
      <w:tblPr>
        <w:tblW w:w="6539" w:type="dxa"/>
        <w:jc w:val="left"/>
        <w:tblInd w:w="0" w:type="dxa"/>
        <w:tblLayout w:type="fixed"/>
        <w:tblCellMar>
          <w:top w:w="28" w:type="dxa"/>
          <w:left w:w="28" w:type="dxa"/>
          <w:bottom w:w="28" w:type="dxa"/>
          <w:right w:w="28" w:type="dxa"/>
        </w:tblCellMar>
      </w:tblPr>
      <w:tblGrid>
        <w:gridCol w:w="1016"/>
        <w:gridCol w:w="891"/>
        <w:gridCol w:w="897"/>
        <w:gridCol w:w="578"/>
        <w:gridCol w:w="578"/>
        <w:gridCol w:w="556"/>
        <w:gridCol w:w="109"/>
        <w:gridCol w:w="109"/>
        <w:gridCol w:w="109"/>
        <w:gridCol w:w="364"/>
        <w:gridCol w:w="1064"/>
        <w:gridCol w:w="268"/>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Restricted</w:t>
              <w:br/>
              <w:t>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Grant-Date</w:t>
              <w:br/>
              <w:t>Fair Value Per Share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31,096,783 </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13,859,002 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(11,455,355)</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(4,416,496)</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11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29,083,934 </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Of the 13,859,002 Restricted Stock Awards granted during the year ended December 31, 2024, 9,592,720 vest ratably in three years or less and are not subject to market or performance conditions. Of the remaining Restricted Stock Awards granted, 12,920 are not subject to market conditions and will cliff vest within a three-year period, and 4,253,362 are subject to market or performance conditions and will cliff vest in three years or less.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$163.4 million of total unrecognized compensation expense, net of estimated forfeitures, related to all of its stock-based awards, which we expect to recognize over the remaining weighted average vesting period of 1.4 years. The total intrinsic value of Restricted Stock Awards released and stock options exercised during the years ended December 31, 2024 and 2023 was $141.7 million and $169.2 million, respectively.</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14.Employee Benefit Plans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Defined Benefit Plans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for Defined Benefit Pension and Other Postretirement Plans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on its balance sheet an asset or liability equal to the over- or under-funded benefit obligation of each defined benefit pension and other postretirement plan. Actuarial gains or losses and prior service costs or credits that arise during the period are not recognized as components of net periodic benefit cost, but are recognized, net of tax, as a component of other comprehensive (loss) earnings.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accumulated other comprehensive loss as of December 31, 2024 and 2023 are:</w:t>
      </w:r>
    </w:p>
    <w:tbl>
      <w:tblPr>
        <w:tblW w:w="8315" w:type="dxa"/>
        <w:jc w:val="left"/>
        <w:tblInd w:w="0" w:type="dxa"/>
        <w:tblLayout w:type="fixed"/>
        <w:tblCellMar>
          <w:top w:w="28" w:type="dxa"/>
          <w:left w:w="28" w:type="dxa"/>
          <w:bottom w:w="28" w:type="dxa"/>
          <w:right w:w="28" w:type="dxa"/>
        </w:tblCellMar>
      </w:tblPr>
      <w:tblGrid>
        <w:gridCol w:w="1201"/>
        <w:gridCol w:w="1054"/>
        <w:gridCol w:w="1060"/>
        <w:gridCol w:w="211"/>
        <w:gridCol w:w="691"/>
        <w:gridCol w:w="109"/>
        <w:gridCol w:w="109"/>
        <w:gridCol w:w="109"/>
        <w:gridCol w:w="109"/>
        <w:gridCol w:w="211"/>
        <w:gridCol w:w="691"/>
        <w:gridCol w:w="109"/>
        <w:gridCol w:w="109"/>
        <w:gridCol w:w="109"/>
        <w:gridCol w:w="109"/>
        <w:gridCol w:w="224"/>
        <w:gridCol w:w="624"/>
        <w:gridCol w:w="116"/>
        <w:gridCol w:w="116"/>
        <w:gridCol w:w="116"/>
        <w:gridCol w:w="116"/>
        <w:gridCol w:w="224"/>
        <w:gridCol w:w="624"/>
        <w:gridCol w:w="164"/>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actuarial net gain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prior service cost (credit)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unrecognized net actuarial gains exceeded 10% of the higher of the market value of plan assets or the projected benefit obligation at the beginning of the year for certain of the plans, therefore, amortization of such excess has been included in net periodic benefit costs for pension and other postretirement benefits in each of the last three years. The amortization period is the average remaining service period that active employees are expected to receive benefits, unless a plan is mostly inactive in which case the amortization period is the average remaining life expectancy of the plan participants. Unrecognized prior service cost (credit) is amortized over the future service periods of those employees who are active at the dates of the plan amendments and who are expected to receive benefits. If all or almost all of a plan's participants are inactive, unrecognized prior service cost is amortized over the remaining life expectancy of those participants.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accumulated other comprehensive loss in 2024 relating to pension benefits and other postretirement benefits consists of:</w:t>
      </w:r>
    </w:p>
    <w:tbl>
      <w:tblPr>
        <w:tblW w:w="7391" w:type="dxa"/>
        <w:jc w:val="left"/>
        <w:tblInd w:w="0" w:type="dxa"/>
        <w:tblLayout w:type="fixed"/>
        <w:tblCellMar>
          <w:top w:w="28" w:type="dxa"/>
          <w:left w:w="28" w:type="dxa"/>
          <w:bottom w:w="28" w:type="dxa"/>
          <w:right w:w="28" w:type="dxa"/>
        </w:tblCellMar>
      </w:tblPr>
      <w:tblGrid>
        <w:gridCol w:w="1256"/>
        <w:gridCol w:w="1101"/>
        <w:gridCol w:w="1107"/>
        <w:gridCol w:w="297"/>
        <w:gridCol w:w="825"/>
        <w:gridCol w:w="153"/>
        <w:gridCol w:w="109"/>
        <w:gridCol w:w="109"/>
        <w:gridCol w:w="109"/>
        <w:gridCol w:w="559"/>
        <w:gridCol w:w="1356"/>
        <w:gridCol w:w="410"/>
      </w:tblGrid>
      <w:tr>
        <w:trP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actuarial (gain) loss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prior service cost</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 cost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cost, change in projected benefit obligation, change in plan assets, funded status, fair value of plan assets, assumptions used to determine net periodic benefit cost, funding policy and estimated future benefit payments are summarized below for the Company’s pension plans and other postretirement plans.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Net Periodic Benefit Cost</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cost for the years ended December 31, 2024, 2023 and 2022 were as follows:</w:t>
      </w:r>
    </w:p>
    <w:tbl>
      <w:tblPr>
        <w:tblW w:w="10070" w:type="dxa"/>
        <w:jc w:val="left"/>
        <w:tblInd w:w="0" w:type="dxa"/>
        <w:tblLayout w:type="fixed"/>
        <w:tblCellMar>
          <w:top w:w="28" w:type="dxa"/>
          <w:left w:w="28" w:type="dxa"/>
          <w:bottom w:w="28" w:type="dxa"/>
          <w:right w:w="28" w:type="dxa"/>
        </w:tblCellMar>
      </w:tblPr>
      <w:tblGrid>
        <w:gridCol w:w="1349"/>
        <w:gridCol w:w="1184"/>
        <w:gridCol w:w="1186"/>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3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curtailment, settlement and termination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 (credit)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actuarial (gains)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Projected Benefit Obligation, Change in Plan Assets and Funded Status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components of the change in projected benefit obligation, change in plan assets and funded status at December 31, 2024 and 2023.</w:t>
      </w:r>
    </w:p>
    <w:tbl>
      <w:tblPr>
        <w:tblW w:w="9149" w:type="dxa"/>
        <w:jc w:val="left"/>
        <w:tblInd w:w="0" w:type="dxa"/>
        <w:tblLayout w:type="fixed"/>
        <w:tblCellMar>
          <w:top w:w="28" w:type="dxa"/>
          <w:left w:w="28" w:type="dxa"/>
          <w:bottom w:w="28" w:type="dxa"/>
          <w:right w:w="28" w:type="dxa"/>
        </w:tblCellMar>
      </w:tblPr>
      <w:tblGrid>
        <w:gridCol w:w="1422"/>
        <w:gridCol w:w="1248"/>
        <w:gridCol w:w="1259"/>
        <w:gridCol w:w="211"/>
        <w:gridCol w:w="766"/>
        <w:gridCol w:w="109"/>
        <w:gridCol w:w="109"/>
        <w:gridCol w:w="109"/>
        <w:gridCol w:w="109"/>
        <w:gridCol w:w="211"/>
        <w:gridCol w:w="766"/>
        <w:gridCol w:w="109"/>
        <w:gridCol w:w="109"/>
        <w:gridCol w:w="109"/>
        <w:gridCol w:w="109"/>
        <w:gridCol w:w="211"/>
        <w:gridCol w:w="691"/>
        <w:gridCol w:w="109"/>
        <w:gridCol w:w="109"/>
        <w:gridCol w:w="109"/>
        <w:gridCol w:w="109"/>
        <w:gridCol w:w="211"/>
        <w:gridCol w:w="691"/>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Projected Benefit Obligation</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contributions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 and terminations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losses (gains)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contributions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contributions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end of year</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 of plans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accrued benefit costs for pension plans and other postretirement benefits are reported in the following components of the Company’s consolidated balance sheets at December 31, 2024 and 2023:</w:t>
      </w:r>
    </w:p>
    <w:tbl>
      <w:tblPr>
        <w:tblW w:w="7214" w:type="dxa"/>
        <w:jc w:val="left"/>
        <w:tblInd w:w="0" w:type="dxa"/>
        <w:tblLayout w:type="fixed"/>
        <w:tblCellMar>
          <w:top w:w="28" w:type="dxa"/>
          <w:left w:w="28" w:type="dxa"/>
          <w:bottom w:w="28" w:type="dxa"/>
          <w:right w:w="28" w:type="dxa"/>
        </w:tblCellMar>
      </w:tblPr>
      <w:tblGrid>
        <w:gridCol w:w="777"/>
        <w:gridCol w:w="680"/>
        <w:gridCol w:w="687"/>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accrued benefit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projected benefit obligation is the actuarial present value of benefits attributable to employee service rendered to date, including the effects of estimated future pay increases. The accumulated benefit obligation is the actuarial present value of benefits attributable to employee service rendered to date, but does not include the effects of estimated future pay increases. The accumulated benefit obligation for the Company’s pension plans was $1.29 billion and $1.36 billion at December 31,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projected benefit obligation, accumulated benefit obligation and fair value of plan assets for pension plans with an accumulated benefit obligation in excess of the fair value of plan assets at December 31, 2024 and 2023 were as follows:</w:t>
      </w:r>
    </w:p>
    <w:tbl>
      <w:tblPr>
        <w:tblW w:w="8184" w:type="dxa"/>
        <w:jc w:val="left"/>
        <w:tblInd w:w="0" w:type="dxa"/>
        <w:tblLayout w:type="fixed"/>
        <w:tblCellMar>
          <w:top w:w="28" w:type="dxa"/>
          <w:left w:w="28" w:type="dxa"/>
          <w:bottom w:w="28" w:type="dxa"/>
          <w:right w:w="28" w:type="dxa"/>
        </w:tblCellMar>
      </w:tblPr>
      <w:tblGrid>
        <w:gridCol w:w="2043"/>
        <w:gridCol w:w="1789"/>
        <w:gridCol w:w="1808"/>
        <w:gridCol w:w="211"/>
        <w:gridCol w:w="766"/>
        <w:gridCol w:w="109"/>
        <w:gridCol w:w="109"/>
        <w:gridCol w:w="109"/>
        <w:gridCol w:w="109"/>
        <w:gridCol w:w="211"/>
        <w:gridCol w:w="766"/>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Plans with accumulated benefit obligation in excess of plan 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of Plan Assets</w:t>
      </w:r>
    </w:p>
    <w:p>
      <w:pPr>
        <w:pStyle w:val="TextBody"/>
        <w:bidi w:val="0"/>
        <w:spacing w:lineRule="auto" w:line="288" w:before="0" w:after="60"/>
        <w:ind w:left="0" w:right="0" w:firstLine="720"/>
        <w:jc w:val="left"/>
        <w:rPr/>
      </w:pPr>
      <w:r>
        <w:rPr>
          <w:rFonts w:ascii="Times New Roman;sans-serif" w:hAnsi="Times New Roman;sans-serif"/>
          <w:b w:val="false"/>
          <w:color w:val="000000"/>
          <w:sz w:val="20"/>
        </w:rPr>
        <w:t xml:space="preserve">The Company measures the fair value of plan assets based on the prices that would be received to sell an asset or paid to transfer a liability in an orderly transaction between market participants at the measurement date. Fair value measurements are based on a three-tier hierarchy described in Note 9 </w:t>
      </w:r>
      <w:r>
        <w:rPr>
          <w:rFonts w:ascii="Times New Roman;sans-serif" w:hAnsi="Times New Roman;sans-serif"/>
          <w:b w:val="false"/>
          <w:i/>
          <w:color w:val="000000"/>
          <w:sz w:val="20"/>
        </w:rPr>
        <w:t>Financial Instruments and Risk Management</w:t>
      </w:r>
      <w:r>
        <w:rPr>
          <w:rFonts w:ascii="Times New Roman;sans-serif" w:hAnsi="Times New Roman;sans-serif"/>
          <w:b w:val="false"/>
          <w:color w:val="000000"/>
          <w:sz w:val="20"/>
        </w:rPr>
        <w:t>. The table below presents total plan assets by investment category as of December 31, 2024 and 2023 and the classification of each investment category within the fair value hierarchy with respect to the inputs used to measure fair value:</w:t>
      </w:r>
    </w:p>
    <w:tbl>
      <w:tblPr>
        <w:tblW w:w="8550" w:type="dxa"/>
        <w:jc w:val="left"/>
        <w:tblInd w:w="0" w:type="dxa"/>
        <w:tblLayout w:type="fixed"/>
        <w:tblCellMar>
          <w:top w:w="28" w:type="dxa"/>
          <w:left w:w="28" w:type="dxa"/>
          <w:bottom w:w="28" w:type="dxa"/>
          <w:right w:w="28" w:type="dxa"/>
        </w:tblCellMar>
      </w:tblPr>
      <w:tblGrid>
        <w:gridCol w:w="1391"/>
        <w:gridCol w:w="1221"/>
        <w:gridCol w:w="1228"/>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76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by insurance companies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50" w:type="dxa"/>
        <w:jc w:val="left"/>
        <w:tblInd w:w="0" w:type="dxa"/>
        <w:tblLayout w:type="fixed"/>
        <w:tblCellMar>
          <w:top w:w="28" w:type="dxa"/>
          <w:left w:w="28" w:type="dxa"/>
          <w:bottom w:w="28" w:type="dxa"/>
          <w:right w:w="28" w:type="dxa"/>
        </w:tblCellMar>
      </w:tblPr>
      <w:tblGrid>
        <w:gridCol w:w="1391"/>
        <w:gridCol w:w="1221"/>
        <w:gridCol w:w="1228"/>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76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by insurance companies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Risk tolerance on invested pension plan assets is established through careful consideration of plan liabilities, plan funded status and corporate financial condition. Investment risk is measured and monitored on an ongoing basis through annual liability measures, periodic asset/liability studies and investment portfolio reviews. The Company’s investment strategy is to maintain, where possible, a diversified investment portfolio across several asset classes that, when combined with the Company’s contributions to the plans, will ensure that required benefit obligations are met.</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Assumptions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weighted average assumptions were used to determine the benefit obligations for the Company’s defined benefit pension and other postretirement plans as of December 31, 2024 and 2023:</w:t>
      </w:r>
    </w:p>
    <w:tbl>
      <w:tblPr>
        <w:tblW w:w="6986" w:type="dxa"/>
        <w:jc w:val="left"/>
        <w:tblInd w:w="0" w:type="dxa"/>
        <w:tblLayout w:type="fixed"/>
        <w:tblCellMar>
          <w:top w:w="28" w:type="dxa"/>
          <w:left w:w="28" w:type="dxa"/>
          <w:bottom w:w="28" w:type="dxa"/>
          <w:right w:w="28" w:type="dxa"/>
        </w:tblCellMar>
      </w:tblPr>
      <w:tblGrid>
        <w:gridCol w:w="939"/>
        <w:gridCol w:w="825"/>
        <w:gridCol w:w="831"/>
        <w:gridCol w:w="203"/>
        <w:gridCol w:w="203"/>
        <w:gridCol w:w="271"/>
        <w:gridCol w:w="109"/>
        <w:gridCol w:w="109"/>
        <w:gridCol w:w="109"/>
        <w:gridCol w:w="203"/>
        <w:gridCol w:w="203"/>
        <w:gridCol w:w="271"/>
        <w:gridCol w:w="109"/>
        <w:gridCol w:w="109"/>
        <w:gridCol w:w="109"/>
        <w:gridCol w:w="203"/>
        <w:gridCol w:w="203"/>
        <w:gridCol w:w="466"/>
        <w:gridCol w:w="187"/>
        <w:gridCol w:w="187"/>
        <w:gridCol w:w="187"/>
        <w:gridCol w:w="203"/>
        <w:gridCol w:w="203"/>
        <w:gridCol w:w="54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weighted average assumptions were used to determine the net periodic benefit cost for the Company’s defined benefit pension and other postretirement benefit plans for the three years in the period ended December 31, 2024:</w:t>
      </w:r>
    </w:p>
    <w:tbl>
      <w:tblPr>
        <w:tblW w:w="8448" w:type="dxa"/>
        <w:jc w:val="left"/>
        <w:tblInd w:w="0" w:type="dxa"/>
        <w:tblLayout w:type="fixed"/>
        <w:tblCellMar>
          <w:top w:w="28" w:type="dxa"/>
          <w:left w:w="28" w:type="dxa"/>
          <w:bottom w:w="28" w:type="dxa"/>
          <w:right w:w="28" w:type="dxa"/>
        </w:tblCellMar>
      </w:tblPr>
      <w:tblGrid>
        <w:gridCol w:w="939"/>
        <w:gridCol w:w="825"/>
        <w:gridCol w:w="831"/>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91"/>
        <w:gridCol w:w="117"/>
        <w:gridCol w:w="117"/>
        <w:gridCol w:w="117"/>
        <w:gridCol w:w="203"/>
        <w:gridCol w:w="203"/>
        <w:gridCol w:w="291"/>
        <w:gridCol w:w="117"/>
        <w:gridCol w:w="117"/>
        <w:gridCol w:w="117"/>
        <w:gridCol w:w="203"/>
        <w:gridCol w:w="203"/>
        <w:gridCol w:w="339"/>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assumptions for each plan are reviewed on an annual basis. The discount rate reflects the current rate at which the pension and other benefit liabilities could be effectively settled at the measurement date. In setting the discount rates, we utilize comparable corporate bond indices as an indication of interest rate movements and levels. Corporate bond indices were selected based on individual plan census data and duration. The expected return on plan assets was determined using historical market returns and long-term historical relationships between equities and fixed income securities. The Company compares the expected return on plan assets assumption to actual historic returns to ensure reasonableness. Current market factors such as inflation and interest rates are also evaluated.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healthcare cost trend rate used for 2024 was 8.6% declining to a projected 4.0% in the year 2048. For 2025, the assumed weighted-average healthcare cost trend rate used will be 8.7% declining to a projected 4.0% in the year 2049. In selecting rates for current and long-term healthcare cost assumptions, the Company takes into consideration a number of factors including the Company’s actual healthcare cost increases, the design of the Company’s benefit programs, the demographics of the Company’s active and retiree populations and external expectations of future medical cost inflation rates.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Estimated Future Benefit Payments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funding policy for its funded pension plans is based upon local statutory requirements. The Company’s funding policy is subject to certain statutory regulations with respect to annual minimum and maximum company contributions. Plan benefits for the non-qualified plans are paid as they come due.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Estimated benefit payments over the next ten years for the Company’s pension plans and retiree health plan are as follows:</w:t>
      </w:r>
    </w:p>
    <w:tbl>
      <w:tblPr>
        <w:tblW w:w="4915" w:type="dxa"/>
        <w:jc w:val="left"/>
        <w:tblInd w:w="0" w:type="dxa"/>
        <w:tblLayout w:type="fixed"/>
        <w:tblCellMar>
          <w:top w:w="28" w:type="dxa"/>
          <w:left w:w="28" w:type="dxa"/>
          <w:bottom w:w="28" w:type="dxa"/>
          <w:right w:w="28" w:type="dxa"/>
        </w:tblCellMar>
      </w:tblPr>
      <w:tblGrid>
        <w:gridCol w:w="359"/>
        <w:gridCol w:w="315"/>
        <w:gridCol w:w="316"/>
        <w:gridCol w:w="287"/>
        <w:gridCol w:w="839"/>
        <w:gridCol w:w="148"/>
        <w:gridCol w:w="109"/>
        <w:gridCol w:w="109"/>
        <w:gridCol w:w="109"/>
        <w:gridCol w:w="498"/>
        <w:gridCol w:w="1458"/>
        <w:gridCol w:w="368"/>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Defined Contribution Plans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defined contribution plans covering its employees in the U.S. and Puerto Rico, as well as certain employees in a number of countries outside the U.S. The Company’s domestic defined contribution plans consist primarily of a Profit Sharing 401(k) Plan and other 401(k) retirement plans. Profit sharing contributions are made at the discretion of the Company. The Company’s non-domestic plans vary in form depending on local legal requirements. The Company’s contributions are based upon employee contributions, service hours, or pre-determined amounts depending upon the plan. Obligations for contributions to defined contribution plans are recognized as expense in the consolidated statements of operations when they are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401(k) Restoration Plan, which permits employees who earn compensation in excess of the limits imposed by Section 401(a)(17) of the Code to (i) defer a portion of base salary and bonus compensation, (ii) be credited with a Company matching contribution in respect of deferrals under the 401(k) Restoration Plan, and (iii) be credited with Company non-elective contributions (to the extent so made by the Company), in each case, to the extent that participants otherwise would be able to defer or be credited with such amounts, as applicable, under the Profit Sharing 401(k) Plan if not for the limits on contributions and deferrals imposed by the Code.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Income Deferral Plan, which permits certain management or highly compensated employees who are designated by the plan administrator to participate in the Income Deferral Plan to elect to defer up to 50% of base salary and up to 100% of bonus compensation, in each case, in addition to any amounts that may be deferred by such participants under the Profit Sharing 401(k) Plan and the 401(k) Restoration Plan. In addition, under the Income Deferral Plan, eligible participants may be granted employee deferral awards, which awards will be subject to the terms and conditions (including vesting) as determined by the plan administrator at the time such awards are granted.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employer contributions to defined contribution plans were approximately $148.4 million, $129.3 million and $111.5 million for the years ended December 31, 2024, 2023 and 2022, respectively.</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15.Segment Information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the Chief Executive Officer, who evaluates the performance of its segments and allocates resources based on total revenues and our measure of segment profit or loss, segment profitability. These financial metrics are used to review operating trends, perform comparisons between periods, and monitor budget and forecast-to-actual variances on a regular basis. Net sales of our business segments exclude intersegment sales as these activities are not regularly reviewed by the CODM and are eliminated in consolidation.</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costs and gains are not included in the measurement of segment profitability, or in segment cost of sales, and segment SG&amp;A, as management excludes these costs in assessing segment financial performance. Such costs and gains include:</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Intangible asset amortization expense;</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Asset impairments (including of goodwill, intangible assets (including IPR&amp;D), and long-lived assets);</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R&amp;D and Acquired IPR&amp;D expense;</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Net charges or net gains for litigation settlements and other contingencies;</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 xml:space="preserve">Certain costs related to transactions and events such as: (i) purchase accounting adjustments, where we incur expenses associated with the amortization of fair value adjustments to inventory and property, plant and equipment; (ii) share-based compensation expense; (iii) acquisition-related costs, where we incur costs for executing the transaction, integrating the acquired operations and restructuring the combined company; and (iv) other significant items, which are substantive and/or unusual, and in some cases recurring, items (such as restructuring, including costs associated with facilities to be closed or divested, employee separation costs, impairment charges, accelerated depreciation, incremental manufacturing variances, equipment relocation costs, decommissioning and other restructuring related costs)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costs, as well as gains and losses, related to disposals of assets or businesses, including those related to divestitures, and, as applicable, any associated transition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 xml:space="preserve">Corporate and other unallocated costs associated with global functions (such as IT, facilities, legal, finance, human resources, insurance, public affairs, compliance, and procurement), patient advocacy activities and certain compensation and other corporate costs (such as certain expenses associated with our manufacturing, including manufacturing variances associated with production) and operations that are not directly assessed to an operating segment as business unit (segment) management does not manage these costs; </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Other Expense (Income), Net (including interest and dividend income, gains and losses from investments, business divestitures, and foreign exchange); and</w:t>
      </w:r>
    </w:p>
    <w:p>
      <w:pPr>
        <w:pStyle w:val="TextBody"/>
        <w:bidi w:val="0"/>
        <w:spacing w:lineRule="auto" w:line="288" w:before="0" w:after="240"/>
        <w:ind w:left="0" w:right="0" w:firstLine="360"/>
        <w:jc w:val="left"/>
        <w:rPr/>
      </w:pPr>
      <w:r>
        <w:rPr>
          <w:color w:val="000000"/>
        </w:rPr>
        <w:t>◦</w:t>
      </w:r>
      <w:r>
        <w:rPr>
          <w:rFonts w:ascii="Times New Roman;sans-serif" w:hAnsi="Times New Roman;sans-serif"/>
          <w:b w:val="false"/>
          <w:color w:val="000000"/>
          <w:sz w:val="20"/>
        </w:rPr>
        <w:t>Interest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report depreciation expense, total assets and capital expenditures by segment, as such information is not used by the CODM.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accounting policies of the segments are the same as those described in Note 2 </w:t>
      </w:r>
      <w:r>
        <w:rPr>
          <w:rFonts w:ascii="Times New Roman;sans-serif" w:hAnsi="Times New Roman;sans-serif"/>
          <w:b w:val="false"/>
          <w:i/>
          <w:color w:val="000000"/>
          <w:sz w:val="20"/>
        </w:rPr>
        <w:t>Summary of Significant Accounting Policies.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Presented in the table below is segment information for the periods identified and a reconciliation of segment information to total consolidated information.</w:t>
      </w:r>
    </w:p>
    <w:tbl>
      <w:tblPr>
        <w:tblW w:w="10205" w:type="dxa"/>
        <w:jc w:val="left"/>
        <w:tblInd w:w="0" w:type="dxa"/>
        <w:tblLayout w:type="fixed"/>
        <w:tblCellMar>
          <w:top w:w="28" w:type="dxa"/>
          <w:left w:w="28" w:type="dxa"/>
          <w:bottom w:w="28" w:type="dxa"/>
          <w:right w:w="28" w:type="dxa"/>
        </w:tblCellMar>
      </w:tblPr>
      <w:tblGrid>
        <w:gridCol w:w="929"/>
        <w:gridCol w:w="796"/>
        <w:gridCol w:w="778"/>
        <w:gridCol w:w="109"/>
        <w:gridCol w:w="109"/>
        <w:gridCol w:w="109"/>
        <w:gridCol w:w="233"/>
        <w:gridCol w:w="847"/>
        <w:gridCol w:w="120"/>
        <w:gridCol w:w="109"/>
        <w:gridCol w:w="109"/>
        <w:gridCol w:w="109"/>
        <w:gridCol w:w="215"/>
        <w:gridCol w:w="782"/>
        <w:gridCol w:w="111"/>
        <w:gridCol w:w="109"/>
        <w:gridCol w:w="109"/>
        <w:gridCol w:w="109"/>
        <w:gridCol w:w="211"/>
        <w:gridCol w:w="766"/>
        <w:gridCol w:w="109"/>
        <w:gridCol w:w="109"/>
        <w:gridCol w:w="109"/>
        <w:gridCol w:w="109"/>
        <w:gridCol w:w="230"/>
        <w:gridCol w:w="838"/>
        <w:gridCol w:w="119"/>
        <w:gridCol w:w="109"/>
        <w:gridCol w:w="109"/>
        <w:gridCol w:w="109"/>
        <w:gridCol w:w="252"/>
        <w:gridCol w:w="1043"/>
        <w:gridCol w:w="191"/>
      </w:tblGrid>
      <w:tr>
        <w:trPr/>
        <w:tc>
          <w:tcPr>
            <w:tcW w:w="92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r>
      <w:tr>
        <w:trPr/>
        <w:tc>
          <w:tcPr>
            <w:tcW w:w="25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Reportable Segments</w:t>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8,929.4 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14,692.8 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14,739.3 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6,074.7 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(including IPR&amp;D) disposal &amp;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and other unallocated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29"/>
        <w:gridCol w:w="796"/>
        <w:gridCol w:w="778"/>
        <w:gridCol w:w="109"/>
        <w:gridCol w:w="109"/>
        <w:gridCol w:w="109"/>
        <w:gridCol w:w="233"/>
        <w:gridCol w:w="847"/>
        <w:gridCol w:w="120"/>
        <w:gridCol w:w="109"/>
        <w:gridCol w:w="109"/>
        <w:gridCol w:w="109"/>
        <w:gridCol w:w="215"/>
        <w:gridCol w:w="782"/>
        <w:gridCol w:w="111"/>
        <w:gridCol w:w="109"/>
        <w:gridCol w:w="109"/>
        <w:gridCol w:w="109"/>
        <w:gridCol w:w="211"/>
        <w:gridCol w:w="766"/>
        <w:gridCol w:w="109"/>
        <w:gridCol w:w="109"/>
        <w:gridCol w:w="109"/>
        <w:gridCol w:w="109"/>
        <w:gridCol w:w="230"/>
        <w:gridCol w:w="838"/>
        <w:gridCol w:w="119"/>
        <w:gridCol w:w="109"/>
        <w:gridCol w:w="109"/>
        <w:gridCol w:w="109"/>
        <w:gridCol w:w="252"/>
        <w:gridCol w:w="1043"/>
        <w:gridCol w:w="191"/>
      </w:tblGrid>
      <w:tr>
        <w:trPr/>
        <w:tc>
          <w:tcPr>
            <w:tcW w:w="92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2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Reportable Segments</w:t>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15,426.9 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6,114.3 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(including IPR&amp;D) disposal &amp;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and other unallocated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29"/>
        <w:gridCol w:w="796"/>
        <w:gridCol w:w="778"/>
        <w:gridCol w:w="109"/>
        <w:gridCol w:w="109"/>
        <w:gridCol w:w="109"/>
        <w:gridCol w:w="233"/>
        <w:gridCol w:w="847"/>
        <w:gridCol w:w="120"/>
        <w:gridCol w:w="109"/>
        <w:gridCol w:w="109"/>
        <w:gridCol w:w="109"/>
        <w:gridCol w:w="215"/>
        <w:gridCol w:w="782"/>
        <w:gridCol w:w="111"/>
        <w:gridCol w:w="109"/>
        <w:gridCol w:w="109"/>
        <w:gridCol w:w="109"/>
        <w:gridCol w:w="211"/>
        <w:gridCol w:w="766"/>
        <w:gridCol w:w="109"/>
        <w:gridCol w:w="109"/>
        <w:gridCol w:w="109"/>
        <w:gridCol w:w="109"/>
        <w:gridCol w:w="230"/>
        <w:gridCol w:w="838"/>
        <w:gridCol w:w="119"/>
        <w:gridCol w:w="109"/>
        <w:gridCol w:w="109"/>
        <w:gridCol w:w="109"/>
        <w:gridCol w:w="252"/>
        <w:gridCol w:w="1043"/>
        <w:gridCol w:w="191"/>
      </w:tblGrid>
      <w:tr>
        <w:trPr/>
        <w:tc>
          <w:tcPr>
            <w:tcW w:w="92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2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Reportable Segments</w:t>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16,262.7 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6,085.5 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8,263.2 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(including IPR&amp;D) disposal &amp;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and other unallocated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1,614.9 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percentage of consolidated net sales to Viatris’ major customers during the years ended December 31, 2024, 2023, and 2022:</w:t>
      </w:r>
    </w:p>
    <w:tbl>
      <w:tblPr>
        <w:tblW w:w="7793" w:type="dxa"/>
        <w:jc w:val="left"/>
        <w:tblInd w:w="0" w:type="dxa"/>
        <w:tblLayout w:type="fixed"/>
        <w:tblCellMar>
          <w:top w:w="28" w:type="dxa"/>
          <w:left w:w="28" w:type="dxa"/>
          <w:bottom w:w="28" w:type="dxa"/>
          <w:right w:w="28" w:type="dxa"/>
        </w:tblCellMar>
      </w:tblPr>
      <w:tblGrid>
        <w:gridCol w:w="1710"/>
        <w:gridCol w:w="1505"/>
        <w:gridCol w:w="1510"/>
        <w:gridCol w:w="180"/>
        <w:gridCol w:w="181"/>
        <w:gridCol w:w="356"/>
        <w:gridCol w:w="143"/>
        <w:gridCol w:w="143"/>
        <w:gridCol w:w="143"/>
        <w:gridCol w:w="180"/>
        <w:gridCol w:w="181"/>
        <w:gridCol w:w="356"/>
        <w:gridCol w:w="143"/>
        <w:gridCol w:w="143"/>
        <w:gridCol w:w="143"/>
        <w:gridCol w:w="180"/>
        <w:gridCol w:w="181"/>
        <w:gridCol w:w="415"/>
      </w:tblGrid>
      <w:tr>
        <w:trPr/>
        <w:tc>
          <w:tcPr>
            <w:tcW w:w="171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Consolidated Net Sales</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Corporation</w:t>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Cencora, Inc. (formerly AmerisourceBergen Corporation)</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 Inc.</w:t>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Net sales represented less than 10% of consolidated net sales during the period.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these customers were primarily in the Developed Markets segment.</w:t>
      </w:r>
    </w:p>
    <w:p>
      <w:pPr>
        <w:pStyle w:val="TextBody"/>
        <w:bidi w:val="0"/>
        <w:spacing w:before="0" w:after="0"/>
        <w:ind w:left="0" w:right="0" w:hanging="36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by Country Information</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by country are presented on the basis of geographic location of our subsidiaries: </w:t>
      </w:r>
    </w:p>
    <w:tbl>
      <w:tblPr>
        <w:tblW w:w="5157" w:type="dxa"/>
        <w:jc w:val="left"/>
        <w:tblInd w:w="0" w:type="dxa"/>
        <w:tblLayout w:type="fixed"/>
        <w:tblCellMar>
          <w:top w:w="28" w:type="dxa"/>
          <w:left w:w="28" w:type="dxa"/>
          <w:bottom w:w="28" w:type="dxa"/>
          <w:right w:w="28" w:type="dxa"/>
        </w:tblCellMar>
      </w:tblPr>
      <w:tblGrid>
        <w:gridCol w:w="435"/>
        <w:gridCol w:w="382"/>
        <w:gridCol w:w="383"/>
        <w:gridCol w:w="211"/>
        <w:gridCol w:w="766"/>
        <w:gridCol w:w="109"/>
        <w:gridCol w:w="109"/>
        <w:gridCol w:w="109"/>
        <w:gridCol w:w="109"/>
        <w:gridCol w:w="211"/>
        <w:gridCol w:w="766"/>
        <w:gridCol w:w="109"/>
        <w:gridCol w:w="109"/>
        <w:gridCol w:w="109"/>
        <w:gridCol w:w="109"/>
        <w:gridCol w:w="211"/>
        <w:gridCol w:w="76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other country’s net sales represents more than 10% of consolidated net sales. </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16.Commitments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employment and other agreements with certain executives and other employees that provide for compensation, retirement and certain other benefits. These agreements provide for severance payments under certain circumstances. Additionally, the Company has split-dollar life insurance agreements with certain retired executives.</w:t>
      </w:r>
    </w:p>
    <w:p>
      <w:pPr>
        <w:pStyle w:val="TextBody"/>
        <w:bidi w:val="0"/>
        <w:spacing w:lineRule="auto" w:line="276"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periodically enters into retention agreements with certain key employees, whereby they may agree to continue to provide service to the Company for a period of time. The Company records the expense for these agreements over the applicable service periods.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of closing of the Biocon Biologics Transaction, Viatris and Biocon Biologics also entered an agreement pursuant to which Viatris was providing commercialization and certain other transition services on behalf of Biocon Biologics, including billings, collections and the remittance of rebates, to ensure business continuity for patients, customers and colleagues. Biocon Biologics had substantially exited all transition services with Viatris as of December 31, 2023.</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divestitures, Viatris and the respective buyers entered into transition services and/or manufacturing and supply agreements pursuant to which the Company is providing services to the respective purchasers, substantially the same as we previously provided to the related businesses, generally for a period of up to 12 months for transition services and for periods between one to 10 years for manufacturing and supply agreements, depending on the geographic market and the products subject to such agreement, subject to potential extensions in certain circumstances. In addition, in connection with the OTC Transaction and the divestiture of our women’s healthcare business, we entered into distribution agreements for certain markets for a limited period of time. In connection with the API business divestiture, we entered into a manufacturing and supply agreement pursuant to which we are purchasing a significant amount of API from the purchaser in that transaction.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Viatris periodically enters into acquisition, divestiture, collaboration, employment, legal settlement and other agreements which incorporate indemnification provisions. The maximum amount to which Viatris may be exposed under such agreements cannot be reasonably estimated due to the conditional nature of the Company’s obligations and the unique facts and circumstances involved in each particular agreement. Historically, we have not paid material amounts under these indemnification provisions. Further, for certain agreements,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17.Restructuring </w:t>
      </w:r>
    </w:p>
    <w:p>
      <w:pPr>
        <w:pStyle w:val="TextBody"/>
        <w:bidi w:val="0"/>
        <w:spacing w:lineRule="auto" w:line="276" w:before="0" w:after="240"/>
        <w:ind w:left="0" w:right="0" w:firstLine="360"/>
        <w:jc w:val="left"/>
        <w:rPr/>
      </w:pPr>
      <w:r>
        <w:rPr>
          <w:rFonts w:ascii="Times New Roman;sans-serif" w:hAnsi="Times New Roman;sans-serif"/>
          <w:b w:val="false"/>
          <w:i/>
          <w:color w:val="000000"/>
          <w:sz w:val="20"/>
        </w:rPr>
        <w:t>2020 Restructuring Program</w:t>
      </w:r>
      <w:r>
        <w:rPr>
          <w:color w:val="000000"/>
        </w:rPr>
        <w:t xml:space="preserve"> </w:t>
      </w:r>
    </w:p>
    <w:p>
      <w:pPr>
        <w:pStyle w:val="TextBody"/>
        <w:bidi w:val="0"/>
        <w:spacing w:lineRule="auto" w:line="276"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2020, Viatris announced a significant global restructuring program in order to achieve synergies and ensure that the organization was optimally structured and efficiently resourced to deliver sustainable value to patients, shareholders, customers, and other stakeholders. As part of the restructuring, the Company optimized its commercial capabilities and enabling functions, and closed, downsized or divested certain manufacturing facilities globally that were deemed to be no longer viable either due to surplus capacity, challenging market dynamics or a shift in its product portfolio toward more complex products. The actions under the 2020 restructuring program were substantially completed during 2023.</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initiation of the 2020 restructuring program, the Company has incurred total pre-tax charges of approximately $1.4 billion through December 31, 2023. Such charges included approximately $450 million of non-cash charges mainly related to accelerated depreciation and asset impairment charges, including inventory write-offs, and cash costs of approximately $950 million, primarily related to severance and employee benefits expense, as well as other costs, including those related to contract terminations and other plant disposal costs.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charges and the reserve activity for the restructuring program:</w:t>
      </w:r>
    </w:p>
    <w:tbl>
      <w:tblPr>
        <w:tblW w:w="7393" w:type="dxa"/>
        <w:jc w:val="left"/>
        <w:tblInd w:w="0" w:type="dxa"/>
        <w:tblLayout w:type="fixed"/>
        <w:tblCellMar>
          <w:top w:w="28" w:type="dxa"/>
          <w:left w:w="28" w:type="dxa"/>
          <w:bottom w:w="28" w:type="dxa"/>
          <w:right w:w="28" w:type="dxa"/>
        </w:tblCellMar>
      </w:tblPr>
      <w:tblGrid>
        <w:gridCol w:w="941"/>
        <w:gridCol w:w="826"/>
        <w:gridCol w:w="828"/>
        <w:gridCol w:w="416"/>
        <w:gridCol w:w="1214"/>
        <w:gridCol w:w="214"/>
        <w:gridCol w:w="109"/>
        <w:gridCol w:w="109"/>
        <w:gridCol w:w="109"/>
        <w:gridCol w:w="383"/>
        <w:gridCol w:w="738"/>
        <w:gridCol w:w="198"/>
        <w:gridCol w:w="109"/>
        <w:gridCol w:w="109"/>
        <w:gridCol w:w="109"/>
        <w:gridCol w:w="211"/>
        <w:gridCol w:w="61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Charges </w:t>
            </w:r>
            <w:r>
              <w:rPr>
                <w:rFonts w:ascii="Times New Roman;sans-serif" w:hAnsi="Times New Roman;sans-serif"/>
                <w:b w:val="false"/>
                <w:color w:val="000000"/>
                <w:sz w:val="13"/>
              </w:rPr>
              <w:t>(2)</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Charges </w:t>
            </w:r>
            <w:r>
              <w:rPr>
                <w:rFonts w:ascii="Times New Roman;sans-serif" w:hAnsi="Times New Roman;sans-serif"/>
                <w:b w:val="false"/>
                <w:color w:val="000000"/>
                <w:sz w:val="13"/>
              </w:rPr>
              <w:t>(1)</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Utilization </w:t>
            </w:r>
            <w:r>
              <w:rPr>
                <w:rFonts w:ascii="Times New Roman;sans-serif" w:hAnsi="Times New Roman;sans-serif"/>
                <w:b w:val="false"/>
                <w:color w:val="000000"/>
                <w:sz w:val="13"/>
              </w:rPr>
              <w:t>(3)</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76" w:before="100" w:after="120"/>
        <w:ind w:left="0" w:right="0" w:hanging="3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For the year ended December 31, 2023, total restructuring charges in Developed Markets, Greater China, JANZ, Emerging Markets, and Corporate/Other were approximately $80.3 million, $0.4 million, $29.5 million, $13.9 million, and $1.1 million, respectively. </w:t>
      </w:r>
    </w:p>
    <w:p>
      <w:pPr>
        <w:pStyle w:val="TextBody"/>
        <w:bidi w:val="0"/>
        <w:spacing w:lineRule="auto" w:line="288" w:before="0" w:after="120"/>
        <w:ind w:left="0" w:right="0" w:hanging="36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For the year ended December 31, 2022, total restructuring charges in Developed Markets, Greater China, JANZ, Emerging Markets, and Corporate/Other were approximately $74.6 million, $2.5 million, $0.9 million, $8.2 million and $0.3 million, respectively.</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For the year ended December 31, 2023, other exit costs included expense of $71.6 million relating to plant divestitures.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restructuring charges, primarily for facilities to be closed or disposed of, were incurred during the year ended December 31, 2024 and are not a component of the 2020 restructuring program. At December 31, 2024, accrued liabilities for restructuring and other cost reduction programs of $63.4 million were included in other current liabilities and $128.5 million were included in other long-term obligations in the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18.Licensing and Other Partner Agreements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consolidated balance sheets, except for obligations reflected as acquisition related contingent consideration, including those related to the Idorsia Transaction. Refer to Note 9 </w:t>
      </w:r>
      <w:r>
        <w:rPr>
          <w:rFonts w:ascii="Times New Roman;sans-serif" w:hAnsi="Times New Roman;sans-serif"/>
          <w:b w:val="false"/>
          <w:i/>
          <w:color w:val="000000"/>
          <w:sz w:val="20"/>
        </w:rPr>
        <w:t>Financial Instruments and Risk Management</w:t>
      </w:r>
      <w:r>
        <w:rPr>
          <w:color w:val="000000"/>
        </w:rPr>
        <w:t xml:space="preserve"> </w:t>
      </w:r>
      <w:r>
        <w:rPr>
          <w:rFonts w:ascii="Times New Roman;sans-serif" w:hAnsi="Times New Roman;sans-serif"/>
          <w:b w:val="false"/>
          <w:color w:val="000000"/>
          <w:sz w:val="20"/>
        </w:rPr>
        <w:t xml:space="preserve">for further discussion of contingent consideration.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potential maximum development milestones not accrued for at December 31, 2024 totaled approximately $419 million. We estimate that the amounts that may be paid during the next twelve months to be approximately $33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Mapi</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2018, the Company entered into an exclusive license and commercialization agreement with Mapi for the development and commercialization on a world-wide basis of GA Depot. Under the terms of the license and commercialization agreement, as of December 31, 2024, Mapi is eligible to receive regulatory approval and commercial launch milestone payments of up to $90.0 million. Additionally, upon commercial launch of GA Depot, Mapi is eligible to receive potential contingent payments, such as tiered royalties and tiered sales-based milestones.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December 2023, the Company entered into a letter agreement, as amended, with Mapi for the development and commercialization of certain additional products, which is subject to finalization pending the execution of a definitive agreement. The Company made an initial upfront payment of $75.0 million which was accounted for as </w:t>
      </w:r>
      <w:r>
        <w:rPr>
          <w:rFonts w:ascii="Times New Roman;sans-serif" w:hAnsi="Times New Roman;sans-serif"/>
          <w:b w:val="false"/>
          <w:i/>
          <w:color w:val="000000"/>
          <w:sz w:val="20"/>
        </w:rPr>
        <w:t>Acquired IPR&amp;D</w:t>
      </w:r>
      <w:r>
        <w:rPr>
          <w:color w:val="000000"/>
        </w:rPr>
        <w:t xml:space="preserve"> </w:t>
      </w:r>
      <w:r>
        <w:rPr>
          <w:rFonts w:ascii="Times New Roman;sans-serif" w:hAnsi="Times New Roman;sans-serif"/>
          <w:b w:val="false"/>
          <w:color w:val="000000"/>
          <w:sz w:val="20"/>
        </w:rPr>
        <w:t>expense in the consolidated statements of operations during the year ended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holds investments in preferred shares of Mapi that are accounted for at cost, less impairment, if any, adjusted for observable price changes, in accordance with ASC 321,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xml:space="preserve">. During the year ended December 31, 2023, the Company made an additional investment of $30.0 million in preferred shares of Mapi. The preferred shares are convertible on a one-to-one basis into Mapi ordinary shares at Viatris’ option. The Company recognized a gain of $45.6 million during the year ended December 31, 2023 as a result of remeasuring our pre-existing equity interest in Mapi, which was recorded as a component of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 xml:space="preserve">in the consolidated statements of operations. The Company has determined that Mapi represents a variable interest entity (“VIE”), but has concluded that Viatris is not the primary beneficiary of Mapi as we do not have the power to direct the activities of the VIE that most significantly impact the VIE’s economic performance. Accordingly, we have not consolidated Mapi’s results of operations and financial position into our consolidated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As of December 31, 2023, our consolidated balance sheets included, within </w:t>
      </w:r>
      <w:r>
        <w:rPr>
          <w:rFonts w:ascii="Times New Roman;sans-serif" w:hAnsi="Times New Roman;sans-serif"/>
          <w:b w:val="false"/>
          <w:i/>
          <w:color w:val="000000"/>
          <w:sz w:val="20"/>
        </w:rPr>
        <w:t>Other Assets</w:t>
      </w:r>
      <w:r>
        <w:rPr>
          <w:rFonts w:ascii="Times New Roman;sans-serif" w:hAnsi="Times New Roman;sans-serif"/>
          <w:b w:val="false"/>
          <w:color w:val="000000"/>
          <w:sz w:val="20"/>
        </w:rPr>
        <w:t xml:space="preserve">, $132.1 million related to our equity investments in Mapi, which included cumulative unrealized gains of $62.1 million, and within </w:t>
      </w:r>
      <w:r>
        <w:rPr>
          <w:rFonts w:ascii="Times New Roman;sans-serif" w:hAnsi="Times New Roman;sans-serif"/>
          <w:b w:val="false"/>
          <w:i/>
          <w:color w:val="000000"/>
          <w:sz w:val="20"/>
        </w:rPr>
        <w:t>Prepaid Expenses and Other Current Assets</w:t>
      </w:r>
      <w:r>
        <w:rPr>
          <w:rFonts w:ascii="Times New Roman;sans-serif" w:hAnsi="Times New Roman;sans-serif"/>
          <w:b w:val="false"/>
          <w:color w:val="000000"/>
          <w:sz w:val="20"/>
        </w:rPr>
        <w:t xml:space="preserve">, $52.5 million related to advances, including for initial orders of commercial launch supply of GA Depot under our supply agreement with Mapi. Our maximum exposure to loss as a result of our involvement with Mapi is limited to the carrying value of the investments and advances. In 2024, the Company was informed that Mapi received a Complete Response Letter (“CRL”) regarding the NDA for GA Depot 40 mg from the FDA. In December 2024, the companies met with the FDA and reviewed the content of the CRL. As a result of the meeting, Viatris and Mapi are discussing and determining the appropriate next steps for the program. We do not expect Mapi to generate positive operating cash or earnings unless and until marketing approval and commercial success for its development programs, particularly GA Depot, is attained. As a result of the additional uncertainty of regulatory and commercial timing and success of GA Depot and the financial condition of Mapi, the Company has impaired its equity investment and prepaid assets related to advances for the initial supply of commercial product. Total charges of $184.6 million were recorded during the year ended December 31, 2024 as a component of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 xml:space="preserve">in the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Revance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Revance have entered into an agreement pursuant to which the Company and Revance are collaborating exclusively, on a world-wide basis (excluding Japan), to develop, manufacture and commercialize a biosimilar to the branded biologic product (onabotulinumtoxinA) marketed as BOTOX®. Under the agreement, the Company is primarily responsible for (a) clinical development activities outside of North America (excluding Japan) (b) regulatory activities, and (c) commercialization for any approved product. Revance is primarily responsible for (a) non-clinical development activities, (b) clinical development activities in North America, and (c) manufacturing and supply of clinical drug substance and drug product; Revance is solely responsible for an initial portion of non-clinical development costs. The remaining portion of any non-clinical development costs and clinical development costs for obtaining approval in the U.S. and Europe is being shared equally between the parties, and the Company is responsible for all other clinical development costs and commercialization expenses. In February 2025, Revance was acquired by Crown Laboratories, Inc.</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Theravance Biopharma</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development and commercialization collaboration with Theravance Biopharma, for revefenacin. On November 9, 2018, the Company announced that the FDA approved the NDA for YUPELRI® (revefenacin) inhalation solution for the maintenance treatment of patients with COPD. YUPELRI®, a long-acting muscarinic antagonist, is the first and only once-daily, nebulized bronchodilator approved for the treatment of COPD in the U.S. Viatris is responsible for commercial manufacturing and commercialization. Theravance Biopharma is co-promoting the product in the hospital channel under a profit-sharing arrangement.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acquired exclusive development and commercialization rights to nebulized revefenacin in China and adjacent territories, which include Hong Kong, Macau and Taiwan, for an upfront payment of $18.5 million and additional potential development and sales milestones together with tiered royalties on net sales of nebulized revefenacin, if approved. Viatris is responsible for all aspects of development and commercialization in the partnered regions, including pre- and post-launch activities and product registration and all associated costs.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agreements, Theravance Biopharma is eligible to receive potential development and sales milestone payments totaling approximately $293 million in the aggregate. As of December 31, 2024, the Company has paid a total of $50.0 million in milestone payments to Theravance Biopharma. </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Development Agreements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2024, the Company entered into an exclusive licensing agreement with Lexicon for sotagliflozin in all markets outside of the U.S. and Europe in exchange for an upfront payment of $25.0 million, and additional potential contingent payments, including regulatory milestones, sales milestones and tiered royalties ranging from low-double-digit to upper-teens on annual net sales. Viatris will be responsible for all regulatory and commercialization activities for sotagliflozin in the licensed territories. Lexicon will be responsible for providing clinical and commercial supply of sotagliflozin to Viatris. The Company accounted for the transaction as an asset acquisition, with the upfront payment expensed as Acquired IPR&amp;D in 2024.</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actively pursuing, and are currently involved in, joint projects related to the development, distribution and marketing of both generic and branded products. Many of these arrangements provide for payments by us upon the attainment of specified milestones. While these arrangements help to reduce the financial risk for unsuccessful projects, fulfillment of specified milestones or the occurrence of other obligations may result in fluctuations in cash flows and Acquired IPR&amp;D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19.Litigation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disputes, governmental and/or regulatory inquiries, investigations and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or repurchase shares and/or stock price. If and when any reasonably possible losses associated with the resolution of such other pending proceedings, in the opinion of the Company, become material, the Company will disclose such matters.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Legal costs are recorded as incurred and are classified in SG&amp;A in the Company’s consolidated statements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EpiPen® Auto-Injector Litigation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Plaintiffs filed an amended complaint asserting federal antitrust claims which are based on allegations concerning a patent settlement between Pfizer and Teva and other alleged actions regarding the launch of Teva’s generic epinephrine auto-injector. Plaintiffs seek monetary damages, declaratory relief, attorneys’ fees and costs. In December 2024, the Company reached an agreement and paid $73.5 million to fully resolve this matter. The settlement is subject to final court approval and contains an express provision disclaiming and denying any wrongdoing by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Class certification was denied. The case is proceeding with Rochester Drug Company, Dakota Drug, and Morris &amp; Dickson Company</w:t>
      </w:r>
      <w:r>
        <w:rPr>
          <w:color w:val="000000"/>
        </w:rPr>
        <w:t xml:space="preserve"> </w:t>
      </w:r>
      <w:r>
        <w:rPr>
          <w:rFonts w:ascii="Times New Roman;sans-serif" w:hAnsi="Times New Roman;sans-serif"/>
          <w:b w:val="false"/>
          <w:color w:val="000000"/>
          <w:sz w:val="20"/>
        </w:rPr>
        <w:t>as plaintiffs and they seek monetary damages, attorneys’ fees and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2025, the State of Indiana filed a complaint in Superior Court in Marion County, Indiana against the Company and other non-Viatris affiliated companies alleging harm under Indiana state laws, including antitrust and consumer protection laws, and unjust enrichment claims. Indiana generally seeks monetary damages, restitution, disgorgement, civil penalties, injunctive relief, and attorneys’ fees and costs.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2024, the Company received a civil subpoena from the Attorney General of the State of Mississippi seeking information relating to the sales and/or marketing of EpiPen® Auto-Injector. The Company is fully cooperating with this request and has communicated with certain other State Attorneys General regarding related issues.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issues covered in the Indiana complaint, Mississippi subpoena, and communications with certain other States, generally relate to issues from litigations and/or investigations that have been previously disclosed, including the indirect purchaser class action that was resolved in 2022 and the direct purchaser litigation matters described above.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total accrual of approximately $20.5 million related to these matters at December 31, 2024, which is included in other current liabilities in the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Drug Pricing Matters </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Department of Justice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December 2015, the Company received subpoenas from the Antitrust Division of the DOJ seeking information relating to the marketing, pricing, and sale of certain of our generic products and any communications with competitors about such products.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2018, the Company received a civil investigative demand from the Civil Division of the DOJ seeking information relating to the pricing and sale of its generic drug products.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fully cooperated with these investigations, which we believe were related to a broader industry-wide investigation of the generic pharmaceutical industry. The Antitrust Division of the DOJ has advised that it no longer considers the Company, and its former President, a subject of its antitrust investigation. The Civil Division of the DOJ also informed the Company that it did not expect to take any further actions in connection with its civil investigative demand.</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Civil Litigation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2016, the Company, along with other manufacturers, has been named as a defendant in lawsuits filed in the United States and Canada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Some of the United States lawsuits also name as defendants the Company’s former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EDPA Court has ordered certain plaintiffs’ complaints regarding two single-drug product cases to proceed as bellwethers. The Company is named in those plaintiffs’ complaints that regard one of the two individual drug products and class certification and summary judgment motions are pending, with a potential for trial as soon as 2025 in those cases.</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Attorneys General Litigation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was transferred to the aforementioned MDL proceeding in the EDPA. The operative complaint includes attorneys general of forty-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states, the District of Columbia and the Commonwealth of Puerto Rico. The Company is alleged to have engaged in anticompetitive conduct with respect to four generic drug products. The amended complaint also includes claims asserted by attorneys general of thirty-three states and the Commonwealth of Puerto Rico against certain individuals, including the Company’s former President, with respect to a single drug product. The operative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The complaint has been subsequently amended, including on November 22, 2024, to add states as plaintiffs. The operative complaint is brought by attorneys general of forty-five states, certain territories and the District of Columbia. The amended complaint also includes claims asserted by attorneys general of forty-one states and certain territories against several individuals, including a Company sales employee. The operative complaint seeks declaratory and injunctive relief, disgorgement, attorneys’ fees and costs, and certain states seek monetary damages, civil penalties, restitution, and other equitable monetary relief. This lawsuit was transferred to the aforementioned MDL proceeding in the EDPA.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forty-three states, certain territories and the District of Columbia. The operative complaint seeks declaratory and injunctive relief, disgorgement, attorneys’ fees and costs, and certain states seek monetary damages, civil penalties, restitution, and other equitable monetary relief. The states’ claim for disgorgement and restitution under federal law, and certain state law claims brought by certain states, have been dismissed. This lawsuit was transferred to the aforementioned MDL proceeding in the EDPA and was ordered to proceed as a bellwether. The Company has filed a motion for summary judgment seeking to dismiss this case in its entirety, which remains pending.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aforementioned complaints have now been transferred back to the U.S. District Court for the District of Connecticut.</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Securities Related Litigation</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Purported class action complaints were filed in October 2016 against Mylan N.V. and Mylan Inc. (collectively, for the purposes of this paragraph,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(“SDNY Class Action Litigation”). The complaints alleged that defendants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w:t>
      </w:r>
      <w:r>
        <w:rPr>
          <w:color w:val="000000"/>
        </w:rPr>
        <w:t xml:space="preserve"> </w:t>
      </w:r>
      <w:r>
        <w:rPr>
          <w:rFonts w:ascii="Times New Roman;sans-serif" w:hAnsi="Times New Roman;sans-serif"/>
          <w:b w:val="false"/>
          <w:color w:val="000000"/>
          <w:sz w:val="20"/>
        </w:rPr>
        <w:t>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operative complaint was the third amended consolidated complaint, which was filed on June 17, 2019, and contained the allegations as described above against Mylan, certain of Mylan’s former directors and officers, and certain of the Company’s current directors, officers, and employees (collectively, for purposes of this paragraph, the “defendants”).</w:t>
      </w:r>
      <w:r>
        <w:rPr>
          <w:color w:val="000000"/>
        </w:rPr>
        <w:t xml:space="preserve"> </w:t>
      </w:r>
      <w:r>
        <w:rPr>
          <w:rFonts w:ascii="Times New Roman;sans-serif" w:hAnsi="Times New Roman;sans-serif"/>
          <w:b w:val="false"/>
          <w:color w:val="000000"/>
          <w:sz w:val="20"/>
        </w:rPr>
        <w:t>A class was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sought damages and costs and expenses, including attorneys’ fees and expert costs. On March 30, 2023, the Court dismissed all of Plaintiffs’ claims by granting Defendants’ motion for summary judgment and denying Plaintiffs’ cross-motion for partial summary judgment. Plaintiffs’ appeals to the U.S. Court of Appeals for the Second Circuit were rejected and the SDNY’s decision dismissing Plaintiffs’ claims was affirmed. Plaintiffs’ petition seeking review by the U.S. Supreme Court was also denied, which concludes this matter.</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2017, a similar lawsuit was filed in the Tel Aviv District Court (Economic Division) in Israel (“Israel Litigation”), which had been stayed pending a decision in the SDNY Class Action Litigation. The Israel Litigation was dismissed by the Court.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14, 2020, the Abu Dhabi Investment Authority filed a complaint against Mylan in the SDNY asserting allegations pertaining to EpiPen® Auto-Injector and certain generic drugs under the federal securities laws (“ADIA Litigation”) that overlap with those asserted in the SDNY Class Action Litigation. The complaint filed in the ADIA Litigation seeks monetary damages as well as the plaintiff’s fees and costs.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26, 2020, a putative class action complaint was filed by the Public Employees Retirement System of Mississippi, which was subsequently amended on November 13, 2020, against Mylan N.V., certain of Mylan N.V.’s former directors and officers, and a former officer/current director of the Company (collectively for the purposes of this paragraph, the “defendants”) in the U.S. District Court for the Western District of Pennsylvania (“WDPA”) on behalf of certain purchasers of securities of Mylan N.V. (“WDPA Mylan N.V. Class Action Litigation”). The amended complaint alleges that defendants made false or misleading statements and omissions of purportedly material fact, in violation of federal securities laws, in connection with disclosures relating to the Nashik and Morgantown manufacturing plants and inspections at the plants by the FDA. Plaintiff seeks certification of a class of purchasers of Mylan N.V. securities between February 16, 2016 and May 7, 2019. On May 18, 2023, the Court dismissed 45 of the 46 challenged statements. The complaint seeks monetary damages, as well as the plaintiff’s fees and costs.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15, 2021, a complaint was filed in the SDNY by Skandia Mutual Life Ins. Co., Lansforsakringar AB, KBC Asset Management N.V., and GIC Private Limited, against the Company, certain of Mylan N.V.’s former directors and officers, a former officer/current director of the Company, and certain former and current employees of the Company (“Skandia Litigation”). The Complaint filed in the Skandia Litigation asserts claims which are based on allegations that are similar to those in the SDNY Class Action Litigation and WDPA Mylan N.V. Class Action Litigation. Plaintiffs seek compensatory damages, costs and expenses and attorneys’ fees. The parties have reached an agreement in principle to resolve this matter.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28, 2021, the Company and certain of its then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alleged violations of Sections 11, 12(a)(2), and 15 of the Securities Act of 1933 for purportedly failing to disclose or misrepresenting material information in the registration statement and related prospectus issued in connection with the Combination. On January 3, 2023, an amended complaint was filed naming the same defendants and alleging the same violations as the original complaint. Plaintiffs sought monetary damages, reasonable costs and expenses, and certain other equitable and injunctive relief. The Court has approved the settlement to fully resolve this matter.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May 2023, putative class action complaints were filed against the Company and certain of the Company’s current and former officers, directors, and employees in the WDPA on behalf of certain purchasers of securities of the Company. These actions have been consolidated and, on October 23, 2023, a consolidated amended putative class action complaint was filed in the WDPA against the Company, a director, and a former officer and director (“WDPA Viatris Class Action Litigation”). The operative complaint alleges that defendants made false or misleading statements and omissions of material fact, in violation of federal securities laws, in connection with disclosures relating to the Company’s projected financial performance and biosimilars business. Plaintiffs seek certification of a class of purchasers of Company securities between March 1, 2021 and February 25, 2022. Plaintiffs seek monetary damages, reasonable costs and expenses, and certain other relief. On September 20, 2024, the Court granted Defendants’ motion to dismiss all of Plaintiffs’ claims. Plaintiffs have filed an appeal to the United States Court of Appeal for the Third Circuit, which remains pending.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August 2023, stockholder derivative actions purportedly on behalf of Viatris were filed in the WDPA against certain of the Company’s current and former officers, directors, and employees alleging that defendants failed to ensure that the Company was making truthful and accurate statements in connection with the disclosures alleged in the WDPA Viatris Class Action Litigation. Viatris is named as a nominal defendant in these derivative actions. Certain of the complaints also assert claims for corporate waste and unjust enrichment. Plaintiffs seek various forms of relief, including damages, disgorgement, restitution, costs and fees.</w:t>
      </w:r>
    </w:p>
    <w:p>
      <w:pPr>
        <w:pStyle w:val="TextBody"/>
        <w:bidi w:val="0"/>
        <w:spacing w:before="0" w:after="1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Opioids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along with other manufacturers, distributors, pharmacies, pharmacy benefit managers, and individual healthcare providers, is a defendant in more than 1,000 cases in the United States and Canada filed by various plaintiffs,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13, 2023, the Company received a civil subpoena from the Attorney General of the State of New York seeking information relating to opioids manufactured, marketed, or sold by the Company and related subject matter. Beginning in January 2024, the Company has received similar subpoenas from the Attorneys General of Alaska, Oregon, Utah, Maryland, and Louisiana. The Company is fully cooperating with these subpoena requests.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$270 million in connection with the possible resolution of certain of these matters at December 31, 2024, which is included in other current liabilities in the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Citalopram</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2013, the European Commission issued a decision finding that Lundbeck and several generic companies, including Generics [U.K.] Limited (“GUK”), had violated EU competition rules relating to various settlement agreements entered into in 2002 for citalopram. After various appeals, the European Commission’s decision was upheld in March 2021. On March 28, 2023, bodies of the national health authorities in England &amp; Wales filed a case in the U.K. Competition Appeals Tribunal against parties to the citalopram investigation, including GUK, seeking monetary damages, plus interest, purportedly arising from the settlement agreements. GUK,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€12.7 million as of December 31, 2024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Perindopril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2014, the European Commission issued a decision finding that Servier SAS, and certain of its subsidiaries (“Servier”), along with several generic companies, including the Company, had violated EU competition rules relating to various settlement agreements for perindopril. The settlement agreement involving the Company is a 2005 agreement entered into between Servier and Matrix Laboratories Ltd., which the Company acquired in 2007. After various appeals, the European Commission’s decision was upheld in June 2024. The Company satisfied its monetary obligation in 2014.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Bodies of national health authorities in England, Wales, Scotland, and Northern Ireland filed a case in the English High Court against Servier, seeking monetary damages, plus interest, purportedly arising from the settlement agreements. Servier has joined the generic companies, including the Company, as defendants in this litigation.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2024, health insurance funds located in the EU filed a case in the Amsterdam District Court against Servier and the generic companies, including the Company, seeking monetary damages, plus interest, purportedly arising from the settlement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Product Liability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$70.1 million as of December 31, 2024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Nitrosamines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A similar lawsuit pertaining to valsartan is pending in Israel. Third party payor, consumer and medical monitoring classes were certified in the valsartan MDL. The Company has also received requests to indemnify purchasers of the Company’s API and/or finished dose forms of these products. The original master complaints concerning ranitidine were dismissed on December 31, 2020. The end-payor plaintiff immediately appealed to the U.S. Court of Appeals for the Eleventh Circuit, which affirmed the dismissal. The personal injury and</w:t>
      </w:r>
      <w:r>
        <w:rPr>
          <w:color w:val="000000"/>
        </w:rPr>
        <w:t xml:space="preserve"> </w:t>
      </w:r>
      <w:r>
        <w:rPr>
          <w:rFonts w:ascii="Times New Roman;sans-serif" w:hAnsi="Times New Roman;sans-serif"/>
          <w:b w:val="false"/>
          <w:color w:val="000000"/>
          <w:sz w:val="20"/>
        </w:rPr>
        <w:t>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Lipitor</w:t>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The District Court granted Pfizer’s motion for summary judgment and dismissed all of the federal cases in 2017, which was subsequently affirmed on appeal. Since 2016, certain cases in the MDL were remanded to certain state courts. State court proceedings remain pending in Missouri and New York.</w:t>
      </w:r>
    </w:p>
    <w:p>
      <w:pPr>
        <w:pStyle w:val="TextBody"/>
        <w:bidi w:val="0"/>
        <w:spacing w:before="0" w:after="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Depo-Provera</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Beginning in October 2024, the Company (including Greenstone LLC), Pfizer and certain entities related to Pfizer, and Prasco Labs have been named in a number of lawsuits filed in federal and state courts related to claims pertaining to Depo-Provera. Certain of these lawsuits include allegations that individual plaintiffs developed meningiomas purportedly as a result of the ingestion of Depo-Provera or its authorized generic equivalent and seek compensatory and punitive damages. Putative class complaints seeking relief in the form of medical monitoring for individuals from certain states who have taken Depo-Provera or its authorized generic equivalent, but have not developed meningiomas, have also been filed. In February</w:t>
      </w:r>
      <w:r>
        <w:rPr>
          <w:color w:val="FF0000"/>
        </w:rPr>
        <w:t xml:space="preserve"> </w:t>
      </w:r>
      <w:r>
        <w:rPr>
          <w:rFonts w:ascii="Times New Roman;sans-serif" w:hAnsi="Times New Roman;sans-serif"/>
          <w:b w:val="false"/>
          <w:color w:val="000000"/>
          <w:sz w:val="20"/>
        </w:rPr>
        <w:t>2025, the federal lawsuits were transferred for consolidated pre-trial proceedings to an MDL in the U.S. District Court for the Northern District of Florida. Pfizer is the new drug application holder of Depo-Provera and markets and sells the branded version of the product. Greenstone LLC was a subsidiary of Pfizer until the closing of the Combination and sold the authorized generic of Depo-Provera until the closing of the Combination. Concurrently with the closing of the Combination, Pfizer divested the authorized generic of Depo-Provera to Prasco Labs. The Company has sought to tender its defense and is seeking indemnification for these claims from Pfizer pursuant to the Separation and Distribution Agreement and Pfizer is seeking cross-indemnification from the Company pursuant to the Separation and Distribution Agreement with respect to the authorized generic product previously sold by Greenstone LLC.</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Intellectual Property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Company is involved in a number of patent litigation lawsuits involving the validity and/or infringement of patents held by branded pharmaceutical manufacturers.</w:t>
      </w:r>
      <w:r>
        <w:rPr>
          <w:color w:val="000000"/>
        </w:rPr>
        <w:t xml:space="preserve"> </w:t>
      </w:r>
      <w:r>
        <w:rPr>
          <w:rFonts w:ascii="Times New Roman;sans-serif" w:hAnsi="Times New Roman;sans-serif"/>
          <w:b w:val="false"/>
          <w:color w:val="000000"/>
          <w:sz w:val="20"/>
        </w:rPr>
        <w:t>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or repurchase shares and/or stock price.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approximately $2.9 million accrued related to its intellectual property matters at December 31, 2024. It is reasonably possible that we may incur additional losses and fees but we cannot estimate a range of such reasonably possible losses or legal fees related to these claims at this time.</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Yupelri</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Beginning in January 2023, certain generic companies notified us that they had filed ANDAs with the FDA seeking approval to market generic versions of Yupelri® with associated Paragraph IV certifications. The companies assert the invalidity and/or non-infringement of polymorph patents expiring in 2030 and 2031, and a method of use patent expiring in 2039. The companies have not filed Paragraph IV certifications to our compound patents, which currently expire in December 2025, with one compound patent subject to a patent term extension to October 2028. Beginning in February 2023, we brought patent infringement actions against the generic filers in federal district courts, including the U.S. District Court for the District of New Jersey, the U.S. District Court for the District of Delaware, the U.S. District Court for the Middle District of North Carolina, and the U.S. District Court for the Eastern District of Pennsylvania asserting infringement of the patents by the generic companies.</w:t>
      </w:r>
      <w:r>
        <w:rPr>
          <w:color w:val="000000"/>
        </w:rPr>
        <w:t xml:space="preserve"> </w:t>
      </w:r>
      <w:r>
        <w:rPr>
          <w:rFonts w:ascii="Times New Roman;sans-serif" w:hAnsi="Times New Roman;sans-serif"/>
          <w:b w:val="false"/>
          <w:color w:val="000000"/>
          <w:sz w:val="20"/>
        </w:rPr>
        <w:t>The actions filed in Delaware, North Carolina and Pennsylvania have been dismissed and the remaining actions will proceed in New Jersey. The Company has entered into settlement agreements with Teva, Accord, Orbicular, Lupin, and Qilu granting licenses to commercialize their generic versions of Yupelri® in April 2039 or earlier depending on certain circumstances. Three ANDA filers remain in the litigation.</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Tyrvaya</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a generic company notified Oyster Point that it had filed an ANDA with the FDA seeking approval to market a generic version of Tyrvaya® with associated Paragraph IV certifications. The generic company asserts the invalidity and/or non-infringement of six Orange Book listed patents that all have expiration dates in October 2035. In July 2023, Oyster Point brought a patent infringement action against the generic filer in the U.S. District Court of the District of New Jersey asserting infringement by the generic company. In March 2024, Oyster Point filed an amended complaint asserting infringement with respect to four additional patents that were recently listed in the Orange Book for Tyrvaya® and also have expiration dates in October 2035. This lawsuit automatically stays FDA approval of the generic company’s ANDA until December 6, 2025, or until an adverse court decision, if any, whichever may occur earlier. The parties are awaiting the scheduling of a trial.</w:t>
      </w:r>
    </w:p>
    <w:p>
      <w:pPr>
        <w:pStyle w:val="TextBody"/>
        <w:bidi w:val="0"/>
        <w:spacing w:before="0" w:after="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Amitiza</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Sawai Pharmaceutical Co. (“Sawai”) filed challenges with the Japanese Patent Office (“JPO”) asserting invalidity of patent term extensions for the JPP ‘4332353 patent (the ‘353 patent) relevant to Amitiza®, which the Company commercializes in Japan as a licensee of the relevant patents, including the ‘353 patent. Towa Pharmaceutical Co. Ltd. also filed a challenge to the ‘353 patent term extension in January 2024. Separately, in December 2023, Sawai filed an invalidity action with the JPO against the ‘353 patent itself. With the granted extensions, the ‘353 patent has expiration dates for the Company’s 24µg and 12µg strengths of April 2025 and April 2027, respectively. Beginning in April 2024, Sawai filed challenges with the JPO with respect to the 12µg strength, asserting invalidity of patent term extensions of five additional patents expiring in October 2025, September 2026, August 2027, November 2027, and December 2028, and challenged the validity of the August 2027 patent itself.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Other Litigation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other legal proceedings including commercial, contractual, employment, or other similar matters that are considered normal to its business. The Company has approximately $5.7 million accrued related to these various other legal proceedings at December 31, 2024.</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9.Changes in and Disagreements with Accountants on Accounting and Financial Disclosures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9A.Controls and Procedures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December 31, 2024. Based upon that evaluation, the Principal Executive Officer and the Principal Financial Officer concluded that the Company’s disclosure controls and procedures were effective.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has not identified any changes in the Company’s internal control over financial reporting (“ICFR”) that occurred during the fourth quarter of 2024 that have materially affected, or are reasonably likely to materially affect, the Company’s ICFR.</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Report on ICFR is on page 78, which is incorporated herein by reference. The effectiveness of the Company’s ICFR as of December 31, 2024 has been audited by Deloitte &amp; Touche LLP (PCAOB ID No. 34), an independent registered public accounting firm, as stated in their report on page 82,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9B.Other Information</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Trading Arrangements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December 31, 2024, no director or “officer” of the Company adopted or terminated a “Rule 10b5-1 trading arrangement” or “non-Rule 10b5-1 trading arrangement,” as each term is defined in Item 408 of Regulation S-K.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9C.Disclosure Regarding Foreign Jurisdictions that Prevent Inspections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10.Directors, Executive Officers and Corporate Governance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by this Item will be provided in an amendment to this Annual Report on Form 10-K in accordance with General Instruction G(3) to Form 10-K.</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Code of Ethics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Viatris board of directors has adopted a Code of Ethics for the Company’s Chief Executive Officer, Chief Financial Officer and Controller. The Viatris board of directors also has adopted a Code of Business Conduct and Ethics applicable to all directors, officers, and employees. The Code of Ethics for our Chief Executive Officer, Chief Financial Officer and Controller and the Code of Business Conduct and Ethics are posted on Viatris’ website at http://www.viatris.com/en/About-Us/Corporate-Governance, and Viatris intends to post any amendments to and waivers from each of the Code of Ethics for the Company’s Chief Executive Officer, Chief Financial Officer and Controller and the Code of Business Conduct and Ethics that are required to be disclosed on that website.</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Insider Trading Policies and Procedures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 Global Insider Trading Policy and Insider Trading Policy Additional Procedures governing the purchase, sale, and/or other dispositions of our securities by our directors, officers, and employees, as well as by Viatris itself, that we believe are reasonably designed to promote compliance with insider trading laws, rules and regulations, and listing standards applicable to us. A copy of our Global Insider Trading Policy and Insider Trading Policy Additional Procedures is filed as Exhibit 19 to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11.Executive Compensation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provided in an amendment to this Annual Report on Form 10-K in accordance with General Instruction G(3) to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 xml:space="preserve">ITEM 12.Security Ownership of Certain Beneficial Owners and Management and Related Stockholder Matters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additional information required by this Item will be provided in an amendment to this Form 10-K in accordance with General Instruction G(3) to Form 10-K.</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information about the securities authorized for issuance under Viatris’ equity compensation plans as of December 31, 2024:</w:t>
      </w:r>
    </w:p>
    <w:tbl>
      <w:tblPr>
        <w:tblW w:w="10205" w:type="dxa"/>
        <w:jc w:val="left"/>
        <w:tblInd w:w="0" w:type="dxa"/>
        <w:tblLayout w:type="fixed"/>
        <w:tblCellMar>
          <w:top w:w="28" w:type="dxa"/>
          <w:left w:w="28" w:type="dxa"/>
          <w:bottom w:w="28" w:type="dxa"/>
          <w:right w:w="28" w:type="dxa"/>
        </w:tblCellMar>
      </w:tblPr>
      <w:tblGrid>
        <w:gridCol w:w="1235"/>
        <w:gridCol w:w="1083"/>
        <w:gridCol w:w="1089"/>
        <w:gridCol w:w="675"/>
        <w:gridCol w:w="675"/>
        <w:gridCol w:w="676"/>
        <w:gridCol w:w="109"/>
        <w:gridCol w:w="109"/>
        <w:gridCol w:w="109"/>
        <w:gridCol w:w="413"/>
        <w:gridCol w:w="1207"/>
        <w:gridCol w:w="214"/>
        <w:gridCol w:w="109"/>
        <w:gridCol w:w="109"/>
        <w:gridCol w:w="109"/>
        <w:gridCol w:w="668"/>
        <w:gridCol w:w="668"/>
        <w:gridCol w:w="948"/>
      </w:tblGrid>
      <w:tr>
        <w:trPr/>
        <w:tc>
          <w:tcPr>
            <w:tcW w:w="123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 be</w:t>
              <w:br/>
              <w:t>Issued upon Exercise of</w:t>
              <w:br/>
              <w:t>Outstanding Options,</w:t>
              <w:br/>
              <w:t>Warrants and 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w:t>
              <w:br/>
              <w:t>Price of Outstanding</w:t>
              <w:br/>
              <w:t>Options, Warrants and</w:t>
              <w:br/>
              <w:t>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br/>
              <w:t>Remaining Available for</w:t>
              <w:br/>
              <w:t>Future Issuance Under</w:t>
              <w:br/>
              <w:t>Equity Compensation Plans</w:t>
              <w:br/>
              <w:t>(excluding securities reflected</w:t>
              <w:br/>
              <w:t>in column (a))</w:t>
              <w:br/>
              <w:t>(c)</w:t>
            </w:r>
          </w:p>
        </w:tc>
      </w:tr>
      <w:tr>
        <w:trPr/>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Plan Category</w:t>
            </w:r>
          </w:p>
        </w:tc>
        <w:tc>
          <w:tcPr>
            <w:tcW w:w="2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32,434,720 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67,843,687 </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32,434,720 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67,843,687 </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13.Certain Relationships and Related Transactions, and Director Independence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provided in an amendment to this Annual Report on Form 10-K in accordance with General Instruction G(3) to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14.Principal Accounting Fees and Services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provided in an amendment to this Annual Report on Form 10-K in accordance with General Instruction G(3) to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15.</w:t>
      </w:r>
      <w:r>
        <w:rPr>
          <w:rFonts w:ascii="Times New Roman;sans-serif" w:hAnsi="Times New Roman;sans-serif"/>
          <w:b/>
          <w:color w:val="000000"/>
          <w:sz w:val="20"/>
        </w:rPr>
        <w:t xml:space="preserve">Exhibits, Consolidated Financial Statement Schedules </w:t>
      </w:r>
    </w:p>
    <w:p>
      <w:pPr>
        <w:pStyle w:val="TextBody"/>
        <w:bidi w:val="0"/>
        <w:spacing w:lineRule="auto" w:line="288" w:before="0" w:after="24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i/>
          <w:color w:val="000000"/>
          <w:sz w:val="20"/>
        </w:rPr>
        <w:t>Consolidated Financial Statements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listed in the Index to Consolidated Financial Statements are filed as part of this Form.</w:t>
      </w:r>
    </w:p>
    <w:p>
      <w:pPr>
        <w:pStyle w:val="TextBody"/>
        <w:bidi w:val="0"/>
        <w:spacing w:lineRule="auto" w:line="288" w:before="0" w:after="24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i/>
          <w:color w:val="000000"/>
          <w:sz w:val="20"/>
        </w:rPr>
        <w:t>Consolidated Financial Statement Schedules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SCHEDULE II — VALUATION AND QUALIFYING ACCOUNTS</w:t>
      </w:r>
    </w:p>
    <w:p>
      <w:pPr>
        <w:pStyle w:val="TextBody"/>
        <w:bidi w:val="0"/>
        <w:spacing w:lineRule="auto" w:line="288" w:before="0" w:after="240"/>
        <w:jc w:val="center"/>
        <w:rPr>
          <w:rFonts w:ascii="Times New Roman;sans-serif" w:hAnsi="Times New Roman;sans-serif"/>
          <w:b/>
          <w:i/>
          <w:color w:val="000000"/>
          <w:sz w:val="16"/>
        </w:rPr>
      </w:pPr>
      <w:r>
        <w:rPr>
          <w:rFonts w:ascii="Times New Roman;sans-serif" w:hAnsi="Times New Roman;sans-serif"/>
          <w:b/>
          <w:i/>
          <w:color w:val="000000"/>
          <w:sz w:val="16"/>
        </w:rPr>
        <w:t>(In millions)</w:t>
      </w:r>
    </w:p>
    <w:tbl>
      <w:tblPr>
        <w:tblW w:w="10205" w:type="dxa"/>
        <w:jc w:val="left"/>
        <w:tblInd w:w="0" w:type="dxa"/>
        <w:tblLayout w:type="fixed"/>
        <w:tblCellMar>
          <w:top w:w="28" w:type="dxa"/>
          <w:left w:w="28" w:type="dxa"/>
          <w:bottom w:w="28" w:type="dxa"/>
          <w:right w:w="28" w:type="dxa"/>
        </w:tblCellMar>
      </w:tblPr>
      <w:tblGrid>
        <w:gridCol w:w="843"/>
        <w:gridCol w:w="742"/>
        <w:gridCol w:w="749"/>
        <w:gridCol w:w="211"/>
        <w:gridCol w:w="616"/>
        <w:gridCol w:w="109"/>
        <w:gridCol w:w="109"/>
        <w:gridCol w:w="109"/>
        <w:gridCol w:w="109"/>
        <w:gridCol w:w="697"/>
        <w:gridCol w:w="654"/>
        <w:gridCol w:w="656"/>
        <w:gridCol w:w="109"/>
        <w:gridCol w:w="109"/>
        <w:gridCol w:w="109"/>
        <w:gridCol w:w="492"/>
        <w:gridCol w:w="492"/>
        <w:gridCol w:w="494"/>
        <w:gridCol w:w="109"/>
        <w:gridCol w:w="109"/>
        <w:gridCol w:w="109"/>
        <w:gridCol w:w="345"/>
        <w:gridCol w:w="329"/>
        <w:gridCol w:w="331"/>
        <w:gridCol w:w="109"/>
        <w:gridCol w:w="109"/>
        <w:gridCol w:w="109"/>
        <w:gridCol w:w="211"/>
        <w:gridCol w:w="766"/>
        <w:gridCol w:w="160"/>
      </w:tblGrid>
      <w:tr>
        <w:trPr/>
        <w:tc>
          <w:tcPr>
            <w:tcW w:w="84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Beginning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Additions Charged to Other</w:t>
              <w:br/>
              <w:t>Accounts</w:t>
            </w:r>
            <w:r>
              <w:rPr>
                <w:color w:val="000000"/>
              </w:rPr>
              <w:t xml:space="preserv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Deductions</w:t>
            </w:r>
            <w:r>
              <w:rPr>
                <w:color w:val="000000"/>
              </w:rPr>
              <w:t xml:space="preserve">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Ending</w:t>
              <w:br/>
              <w:t>Balance</w:t>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925.4 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 </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These amounts include balances from acquisitions.</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These amounts include balances reclassified to </w:t>
      </w:r>
      <w:r>
        <w:rPr>
          <w:rFonts w:ascii="Times New Roman;sans-serif" w:hAnsi="Times New Roman;sans-serif"/>
          <w:b w:val="false"/>
          <w:i/>
          <w:color w:val="000000"/>
          <w:sz w:val="20"/>
        </w:rPr>
        <w:t>Assets Held for Sale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Liabilities Held for Sale</w:t>
      </w:r>
      <w:r>
        <w:rPr>
          <w:rFonts w:ascii="Times New Roman;sans-serif" w:hAnsi="Times New Roman;sans-serif"/>
          <w:b w:val="false"/>
          <w:color w:val="000000"/>
          <w:sz w:val="20"/>
        </w:rPr>
        <w:t>.</w:t>
      </w:r>
    </w:p>
    <w:p>
      <w:pPr>
        <w:pStyle w:val="TextBody"/>
        <w:bidi w:val="0"/>
        <w:spacing w:before="0" w:after="60"/>
        <w:jc w:val="left"/>
        <w:rPr/>
      </w:pPr>
      <w:r>
        <w:rPr/>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i/>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172"/>
        <w:gridCol w:w="150"/>
        <w:gridCol w:w="153"/>
        <w:gridCol w:w="109"/>
        <w:gridCol w:w="109"/>
        <w:gridCol w:w="109"/>
        <w:gridCol w:w="2749"/>
        <w:gridCol w:w="2749"/>
        <w:gridCol w:w="3905"/>
      </w:tblGrid>
      <w:tr>
        <w:trPr/>
        <w:tc>
          <w:tcPr>
            <w:tcW w:w="1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"https://www.sec.gov/Archives/edgar/data/1792044/000119312520212083/d159300dex991.htm" \l "toc781435_29"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2.1(a)</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212529"/>
                <w:sz w:val="20"/>
              </w:rPr>
              <w:t>Business Combination Agreement, dated as of July 29, 2019, by and among Pfizer Inc., Upjohn Inc., Utah Acquisition Sub Inc.,</w:t>
            </w:r>
            <w:r>
              <w:rPr>
                <w:color w:val="000000"/>
              </w:rPr>
              <w:t xml:space="preserve"> </w:t>
            </w:r>
            <w:r>
              <w:rPr>
                <w:rFonts w:ascii="Times New Roman;sans-serif" w:hAnsi="Times New Roman;sans-serif"/>
                <w:b w:val="false"/>
                <w:color w:val="000000"/>
                <w:sz w:val="20"/>
              </w:rPr>
              <w:t xml:space="preserve">Mylan N.V., </w:t>
            </w:r>
            <w:r>
              <w:rPr>
                <w:rFonts w:ascii="Times New Roman;sans-serif" w:hAnsi="Times New Roman;sans-serif"/>
                <w:b w:val="false"/>
                <w:color w:val="212529"/>
                <w:sz w:val="20"/>
              </w:rPr>
              <w:t xml:space="preserve">Mylan I B.V. and Mylan II B.V., </w:t>
            </w:r>
            <w:r>
              <w:rPr>
                <w:rFonts w:ascii="Times New Roman;sans-serif" w:hAnsi="Times New Roman;sans-serif"/>
                <w:b w:val="false"/>
                <w:color w:val="000000"/>
                <w:sz w:val="20"/>
              </w:rPr>
              <w:t>included as Annex A to the Information Statement included as Exhibit 99.1 to the Report on Form 8-K filed by Upjohn Inc. with the SEC on August 6, 2020, and incorporated herein by reference.</w:t>
            </w:r>
            <w:r>
              <w:rPr>
                <w:rFonts w:ascii="Times New Roman;sans-serif" w:hAnsi="Times New Roman;sans-serif"/>
                <w:b w:val="false"/>
                <w:color w:val="212529"/>
                <w:sz w:val="20"/>
              </w:rPr>
              <w:t>^</w:t>
            </w:r>
          </w:p>
          <w:p>
            <w:pPr>
              <w:pStyle w:val="TableContents"/>
              <w:bidi w:val="0"/>
              <w:spacing w:before="0" w:after="0"/>
              <w:jc w:val="left"/>
              <w:rPr/>
            </w:pPr>
            <w:r>
              <w:rPr/>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2.1(b)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212529"/>
                <w:sz w:val="20"/>
              </w:rPr>
              <w:t xml:space="preserve">Amendment No. 1, dated as of May 29, 2020, to the Business Combination Agreement, dated as of July 29, 2019, by and among Pfizer Inc., Upjohn Inc., Utah Acquisition Sub Inc., Mylan N.V., Mylan I B.V. and Mylan II B.V., included as Annex B to the Information Statement </w:t>
            </w:r>
            <w:r>
              <w:rPr>
                <w:rFonts w:ascii="Times New Roman;sans-serif" w:hAnsi="Times New Roman;sans-serif"/>
                <w:b w:val="false"/>
                <w:color w:val="000000"/>
                <w:sz w:val="20"/>
              </w:rPr>
              <w:t xml:space="preserve">included as Exhibit </w:t>
            </w:r>
            <w:r>
              <w:rPr>
                <w:rFonts w:ascii="Times New Roman;sans-serif" w:hAnsi="Times New Roman;sans-serif"/>
                <w:b w:val="false"/>
                <w:color w:val="212529"/>
                <w:sz w:val="20"/>
              </w:rPr>
              <w:t xml:space="preserve">99.1 </w:t>
            </w:r>
            <w:r>
              <w:rPr>
                <w:rFonts w:ascii="Times New Roman;sans-serif" w:hAnsi="Times New Roman;sans-serif"/>
                <w:b w:val="false"/>
                <w:color w:val="000000"/>
                <w:sz w:val="20"/>
              </w:rPr>
              <w:t xml:space="preserve">to the Report on Form 8-K filed by Upjohn Inc. with the SEC on </w:t>
            </w:r>
            <w:r>
              <w:rPr>
                <w:rFonts w:ascii="Times New Roman;sans-serif" w:hAnsi="Times New Roman;sans-serif"/>
                <w:b w:val="false"/>
                <w:color w:val="212529"/>
                <w:sz w:val="20"/>
              </w:rPr>
              <w:t>August 6, 2020,</w:t>
            </w:r>
            <w:r>
              <w:rPr>
                <w:color w:val="000000"/>
              </w:rPr>
              <w:t xml:space="preserve"> </w:t>
            </w:r>
            <w:r>
              <w:rPr>
                <w:rFonts w:ascii="Times New Roman;sans-serif" w:hAnsi="Times New Roman;sans-serif"/>
                <w:b w:val="false"/>
                <w:color w:val="000000"/>
                <w:sz w:val="20"/>
              </w:rPr>
              <w:t>and incorporated herein by reference</w:t>
            </w:r>
            <w:r>
              <w:rPr>
                <w:rFonts w:ascii="Times New Roman;sans-serif" w:hAnsi="Times New Roman;sans-serif"/>
                <w:b w:val="false"/>
                <w:color w:val="212529"/>
                <w:sz w:val="20"/>
              </w:rPr>
              <w:t>.</w:t>
            </w:r>
            <w:r>
              <w:rPr>
                <w:rFonts w:ascii="Times New Roman;sans-serif" w:hAnsi="Times New Roman;sans-serif"/>
                <w:b w:val="false"/>
                <w:color w:val="000000"/>
                <w:sz w:val="20"/>
              </w:rPr>
              <w:t>^</w:t>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2.2(a)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and Distribution Agreement, dated as of July 29, 2019, by and between Pfizer Inc. and Upjohn Inc., filed as Exhibit 2.2 to the Report on Form 8-K filed by Mylan N.V. with the SEC on July 29, 2019, and incorporated herein by reference.^</w:t>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2.2(b)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Amendment No. 1, dated as of February 18, 2020, to the Separation and Distribution Agreement, dated as of July 29, 2019, by and between Pfizer Inc. and Upjohn Inc., </w:t>
            </w:r>
            <w:r>
              <w:rPr>
                <w:rFonts w:ascii="Times New Roman;sans-serif" w:hAnsi="Times New Roman;sans-serif"/>
                <w:b w:val="false"/>
                <w:color w:val="212529"/>
                <w:sz w:val="20"/>
              </w:rPr>
              <w:t xml:space="preserve">filed by Mylan N.V. as Exhibit 2.1 to Form 10-Q </w:t>
            </w:r>
            <w:r>
              <w:rPr>
                <w:rFonts w:ascii="Times New Roman;sans-serif" w:hAnsi="Times New Roman;sans-serif"/>
                <w:b w:val="false"/>
                <w:color w:val="000000"/>
                <w:sz w:val="20"/>
              </w:rPr>
              <w:t>for the quarter ended March 31, 2020</w:t>
            </w:r>
            <w:r>
              <w:rPr>
                <w:rFonts w:ascii="Times New Roman;sans-serif" w:hAnsi="Times New Roman;sans-serif"/>
                <w:b w:val="false"/>
                <w:color w:val="212529"/>
                <w:sz w:val="20"/>
              </w:rPr>
              <w:t>,</w:t>
            </w:r>
            <w:r>
              <w:rPr>
                <w:color w:val="000000"/>
              </w:rPr>
              <w:t xml:space="preserve"> </w:t>
            </w:r>
            <w:r>
              <w:rPr>
                <w:rFonts w:ascii="Times New Roman;sans-serif" w:hAnsi="Times New Roman;sans-serif"/>
                <w:b w:val="false"/>
                <w:color w:val="000000"/>
                <w:sz w:val="20"/>
              </w:rPr>
              <w:t>and incorporated herein by reference.</w:t>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2.2(c)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2, dated as of May 29, 2020, to the Separation and Distribution Agreement, dated as of July 29, 2019, by and between Pfizer Inc. and Upjohn Inc., filed as Exhibit 2.2 to the Report on Form 8-K filed by Mylan N.V. with the SEC on June 1, 2020, and incorporated herein by reference.^</w:t>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2.2(d)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3, dated as of September 18, 2020, to the Separation and Distribution Agreement, dated as of July 29, 2019, by and between Pfizer Inc. and Upjohn Inc., filed as Exhibit 2.6 to the Report on Form 8-K filed by Viatris Inc. with the SEC on November 19, 2020,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75"/>
        <w:gridCol w:w="153"/>
        <w:gridCol w:w="155"/>
        <w:gridCol w:w="109"/>
        <w:gridCol w:w="109"/>
        <w:gridCol w:w="109"/>
        <w:gridCol w:w="2838"/>
        <w:gridCol w:w="2711"/>
        <w:gridCol w:w="3846"/>
      </w:tblGrid>
      <w:tr>
        <w:trPr/>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2.2(e)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No. 4, dated as of November 15, 2020, to the Separation and Distribution Agreement, dated as of July 29, 2019, by and between Pfizer Inc. and Upjohn Inc., filed as Exhibit 2.7 to the Report on Form 8-K filed by Viatris Inc. with the SEC on November 19, 2020, and incorporated herein by reference.^ </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2.3(a)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Agreement, dated as of February 27, 2022, by and among Biocon Biologics Limited and Viatris Inc., filed as Exhibit 2.1 to the Report on Form 8-K filed by Viatris Inc. with the SEC on February 28, 2022, and incorporated herein by reference.^</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2.3(b)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Transaction Agreement, dated as of November 28, 2022, by and between Biocon Biologics Limited and Viatris Inc., filed as Exhibit 2.1 to the Report on Form 8-K filed by Viatris Inc. with the SEC on November 29, 2022, and incorporated herein by reference.^</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2.3(c)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Omnibus Amendment No. 1, effective as of May 17, 2023, by and among Viatris Inc., Biocon Biologics UK Limited, Biosimilar Collaborations Ireland Limited, Biosimilars Newco Limited, and Biocon Biologics Limited, filed by Viatris Inc. as Exhibit 2.1 to Form 10-Q for the quarter ended June 30, 2023, and incorporated herein by reference.</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2.3(d)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Omnibus Amendment No. 2, effective as of December 19, 2023, by and among Viatris Inc., Biocon Biologics UK Limited, Biosimilars Newco Limited, and Biocon Biologics Limited, filed by Viatris Inc. as Exhibit 2.3(d) to Form 10-K for the fiscal year ended December 31, 2023, and incorporated herein by reference.^</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23exvtrsx20241231.htm">
              <w:r>
                <w:rPr>
                  <w:rStyle w:val="InternetLink"/>
                  <w:rFonts w:ascii="Times New Roman;sans-serif" w:hAnsi="Times New Roman;sans-serif"/>
                  <w:b w:val="false"/>
                  <w:color w:val="0000FF"/>
                  <w:sz w:val="20"/>
                  <w:u w:val="single"/>
                </w:rPr>
                <w:t>2.3(e)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Omnibus Amendment No. 3, effective as of December 24, 2024, by and among Viatris Inc., Biocon Biologics UK Limited, Biosimilar Collaborations Ireland Limited, Biosimilars Newco Limited, and Biocon Biologics Limited.^</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2.4(a)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Put Option Agreement, dated October 1, 2023, between Cooper Consumer Health SAS and Viatris Inc., filed by Viatris Inc. as Exhibit 2.1 to Form 10-Q for the quarter ended September 30, 2023, and incorporated herein by reference.^</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2.4(b)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Agreement, dated as of January 29, 2024, by and among Cooper Consumer Health SAS, Cooper Consumer Health IT S.r.l., Viatris Inc., Viatris Italia S.r.l. and Ipex AB, filed as Exhibit 2.1 to the Report on Form 8-K/A filed by Viatris Inc. with the SEC on January 30, 2024, and incorporated herein by reference. ^</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3.1(a)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Upjohn Inc., effective as of November 13, 2020, filed as Exhibit 3.1 to the Report on Form 8-K filed by Viatris Inc. with the SEC on November 19, 2020, and incorporated herein by reference.</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3.1(b)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Certificate of Amendment of Amended and Restated Certificate of Incorporation of Upjohn Inc., effective as of November 16, 2020, filed as Exhibit 3.3 to the Report on Form 8-K filed by Viatris Inc. with the SEC on November 19, 2020, and incorporated herein by reference. </w:t>
            </w:r>
          </w:p>
          <w:p>
            <w:pPr>
              <w:pStyle w:val="TableContents"/>
              <w:bidi w:val="0"/>
              <w:spacing w:before="0" w:after="0"/>
              <w:jc w:val="left"/>
              <w:rPr/>
            </w:pPr>
            <w:r>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3.1(c)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of Amended and Restated Certificate of Incorporation of Viatris Inc., effective as of December 15, 2023, filed by Viatris Inc. as Exhibit 3.1(c) to Form 10-K for the fiscal year ended December 31, 2023, and incorporated herein by reference.</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3.1(d)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of Amended and Restated Certificate of Incorporation of Viatris Inc., effective as of December 15, 2023, filed by Viatris Inc. as Exhibit 3.1(d) to Form 10-K for the fiscal year ended December 31, 2023, and incorporated herein by reference.</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of Viatris Inc., effective as of December 15, 2023, filed as Exhibit 3.1 to the Report on Form 8-K filed by Viatris Inc. with the SEC on December 15, 2023, and incorporated herein by reference.</w:t>
            </w:r>
          </w:p>
          <w:p>
            <w:pPr>
              <w:pStyle w:val="TableContents"/>
              <w:bidi w:val="0"/>
              <w:spacing w:before="0" w:after="0"/>
              <w:jc w:val="left"/>
              <w:rPr/>
            </w:pPr>
            <w:r>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4.1(a)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December 21, 2012, between and among Mylan Inc., as issuer, the guarantors named therein, and The Bank of New York Mellon, as trustee, filed as Exhibit 4.1 to the Report on Form 8-K filed by Mylan Inc. with the SEC on December 24, 2012, and incorporated herein by reference.</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4.1(b)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February 27, 2015, between and among Mylan Inc., as issuer, Mylan N.V., as guarantor, and The Bank of New York Mellon, as trustee, to the Indenture, dated December 21, 2012, filed as Exhibit 4.4 to the Report on Form 8-K filed by Mylan N.V. with the SEC on February 27, 2015, and incorporated herein by reference.</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4.1(c)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March 12, 2015, between and among Mylan Inc., as issuer, Mylan N.V., as parent, and The Bank of New York Mellon, as trustee, to the Indenture, dated December 21, 2012, filed by Mylan N.V. as Exhibit 4.3(b) to Form 10-Q for the quarter ended March 31, 2015,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68"/>
        <w:gridCol w:w="147"/>
        <w:gridCol w:w="149"/>
        <w:gridCol w:w="109"/>
        <w:gridCol w:w="109"/>
        <w:gridCol w:w="109"/>
        <w:gridCol w:w="2751"/>
        <w:gridCol w:w="2751"/>
        <w:gridCol w:w="3912"/>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3912"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4.1(d)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November 16, 2020, by and among Mylan Inc., Viatris Inc., Utah Acquisition Sub Inc., Mylan II B.V. and the Bank of New York Mellon, as trustee, to the Indenture dated December 21, 2012, by and between Mylan Inc. and the Bank of New York Mellon, as trustee, filed as Exhibit 4.6 to the Report on Form 8-K/A filed by Viatris Inc. with the SEC on November 19, 2020,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4.2(a)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November 29, 2013, between Mylan Inc. and The Bank of New York Mellon, as trustee, filed as Exhibit 4.1 to the Report on Form 8-K filed by Mylan Inc. with the SEC on November 29, 2013,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4.2(b)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29, 2013, between Mylan Inc. and The Bank of New York Mellon, as trustee, filed as Exhibit 4.2 to the Report on Form 8-K filed by Mylan Inc. with the SEC on November 29, 2013,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4.2(c)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Second Supplemental Indenture, dated February 27, 2015, among Mylan Inc., as issuer, Mylan N.V., as guarantor, and The Bank of New York Mellon, as trustee, to the Indenture, dated November 29, 2013, filed as Exhibit 4.6 to the Report on Form 8-K filed by Mylan N.V. with the SEC on February 27, 2015, and incorporated herein by reference. </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4.2(d)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March 12, 2015, between and among Mylan Inc., as issuer, Mylan N.V., as parent, and The Bank of New York Mellon, as trustee, to the Indenture, dated November 29, 2013, filed by Mylan N.V. as Exhibit 4.5(b) to Form 10-Q for the quarter ended March 31, 2015,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4.2(e)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Fourth Supplemental Indenture dated November 16, 2020, by and among Mylan Inc., Viatris Inc., Utah Acquisition Sub Inc., Mylan II B.V. and the Bank of New York Mellon, as trustee, to the Indenture dated November 29, 2013, by and between Mylan Inc. and the Bank of New York Mellon, as trustee, filed as Exhibit 4.7 to the Report on Form 8-K/A filed by Viatris Inc. with the SEC on November 19, 2020, and incorporated herein by reference. </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4.3(a)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June 9, 2016, among Mylan N.V., as issuer, Mylan Inc., as guarantor, and The Bank of New York Mellon, as trustee, filed as Exhibit 4.1 to the Report on Form 8-K filed by Mylan N.V. with the SEC on June 15, 2016,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4.3(b)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16, 2020, by and among Viatris Inc., Utah Acquisition Sub Inc., Mylan II B.V., Mylan Inc. and the Bank of New York Mellon, as trustee, to the Indenture dated June 9, 2016, by and among Mylan N.V., Mylan Inc. and the Bank of New York Mellon, as trustee, filed as Exhibit 4.4 to the Report on Form 8-K/A filed by Viatris Inc. with the SEC on November 19, 2020,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4.4(a)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November 22, 2016, among Mylan N.V., as issuer, Mylan, Inc., as guarantor and Citibank, N.A., London Branch, as trustee, paying agent, transfer agent, registrar and calculation agent, filed by Mylan N.V. as Exhibit 4.9 to Form 10-K for the fiscal year ended December 31, 2016,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4.4(b)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16, 2020, by and among Viatris Inc., Utah Acquisition Sub Inc., Mylan II B.V., Mylan Inc. and Citibank, N.A., London Branch, as trustee, paying agent, transfer agent, and registrar, to the Indenture dated November 22, 2016, by and among Mylan N.V., Mylan Inc. and Citibank, N.A., London Branch, as trustee, paying agent, transfer agent, registrar and calculation agent, filed as Exhibit 4.5 to the Report on Form 8-K/A filed by Viatris Inc. with the SEC on November 19, 2020,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4.5(a)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April 9, 2018, among Mylan Inc., as issuer, Mylan N.V., as guarantor, and the Bank of New York Mellon, as trustee, filed as Exhibit 4.1 to the Report on Form 8-K filed by Mylan N.V. with the SEC on April 9, 2018,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4.5(b)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Supplemental Indenture dated November 16, 2020, by and among Mylan Inc., Viatris Inc., Utah Acquisition Sub Inc., Mylan II B.V. and the Bank of New York Mellon, as trustee, to the Indenture dated April 9, 2018, by and among Mylan Inc., Mylan N.V. and the Bank of New York Mellon, as trustee, filed as Exhibit 4.8 to the Report on Form 8-K/A filed by Viatris Inc. with the SEC on November 19, 2020, and incorporated herein by reference. </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4.6(a)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May 23, 2018, among Mylan Inc., as issuer, Mylan N.V., as guarantor, and Citibank, N.A., London Branch, as trustee, paying agent, transfer agent and registrar, filed as Exhibit 4.1 to the Report on Form 8-K filed by Mylan N.V. with the SEC on May 23, 2018,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23"/>
        <w:gridCol w:w="190"/>
        <w:gridCol w:w="154"/>
        <w:gridCol w:w="109"/>
        <w:gridCol w:w="109"/>
        <w:gridCol w:w="109"/>
        <w:gridCol w:w="2976"/>
        <w:gridCol w:w="2615"/>
        <w:gridCol w:w="3720"/>
      </w:tblGrid>
      <w:tr>
        <w:trPr/>
        <w:tc>
          <w:tcPr>
            <w:tcW w:w="2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4.6(b)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16, 2020, by and among Mylan Inc., Viatris Inc., Utah Acquisition Sub Inc., Mylan II B.V. and Citibank, N.A., London Branch, as trustee, paying agent, transfer agent, and registrar, to the Indenture dated May 23, 2018, by and among Mylan Inc., Mylan N.V. and Citibank, N.A., London Branch, as trustee, paying agent, transfer agent, and registrar, filed as Exhibit 4.9 to the Report on Form 8-K/A filed by Viatris Inc. with the SEC on November 19,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4.7(a)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Indenture, dated as of June 22, 2020, between Upjohn Inc., as issuer, and The Bank of New York Mellon, as trustee, filed as Exhibit 4.1 to the Report on Form 8-K filed by Upjohn Inc. with the SEC on June 26, 2020, and incorporated herein by reference. </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4.7(b)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Supplemental Indenture dated November 16, 2020, by and among Viatris Inc., Utah Acquisition Sub Inc., Mylan II B.V., Mylan Inc. and the Bank of New York Mellon, as trustee, to the Indenture dated June 22, 2020, by and among Viatris Inc. and the Bank of New York Mellon, as trustee, filed as Exhibit 4.1 to the Report on Form 8-K/A filed by Viatris Inc. with the SEC on November 19, 2020, and incorporated herein by reference. </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4.8(a)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June 23, 2020, among Upjohn Finance B.V., as issuer, Upjohn Inc., as guarantor, and Citibank, N.A., London Branch, as trustee, transfer agent, paying agent and registrar, filed as Exhibit 4.9 to the Report on Form 8-K filed by Upjohn Inc. with the SEC on June 26,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4.8(b)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Supplemental Indenture dated November 16, 2020, by and among Upjohn Finance B.V., Viatris Inc., Utah Acquisition Sub Inc., Mylan II B.V., Mylan Inc. and Citibank, N.A., London Branch, as trustee, paying agent, transfer agent, and registrar, to the Indenture dated June 23, 2020, by and among Upjohn Finance B.V., Viatris Inc. and Citibank, N.A., London Branch, as trustee, paying agent, transfer agent, and registrar, filed as Exhibit 4.2 to the Report on Form 8-K/A filed by Viatris Inc. with the SEC on November 19, 2020, and incorporated herein by reference. </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Viatris Inc. Securities Registered Under Section 12 of the Exchange Act, filed by Viatris Inc. as Exhibit 4.9 to Form 10-K for the fiscal year ended December 31, 2023,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10.1(a)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2020 Stock Incentive Plan, included as Exhibit 10.1 to Amendment No. 1 to Form 10 filed by Upjohn Inc. with the SEC on February 6,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101bxvtrsx20241231.htm">
              <w:r>
                <w:rPr>
                  <w:rStyle w:val="InternetLink"/>
                  <w:rFonts w:ascii="Times New Roman;sans-serif" w:hAnsi="Times New Roman;sans-serif"/>
                  <w:b w:val="false"/>
                  <w:color w:val="0000FF"/>
                  <w:sz w:val="20"/>
                  <w:u w:val="single"/>
                </w:rPr>
                <w:t>10.1(b)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to the Viatris Inc. 2020 Stock Incentive Plan dated December 6, 2024.* </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10.1(c)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Make-Whole Restricted Stock Unit Award Agreement under the Viatris 2020 Stock Incentive Plan, filed by Viatris Inc. as Exhibit 10.1(b) to Form 10-K for the fiscal year ended December 31,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10.1(d)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Retention Restricted Stock Unit Award Agreement under the Viatris 2020 Stock Incentive Plan, filed by Viatris Inc. as Exhibit 10.1(c) to Form 10-K for the fiscal year ended December 31,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10.1(e)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under the Viatris 2020 Stock Incentive Plan for Michael Goettler and Sanjeev Narula, filed by Viatris Inc. as Exhibit 10.1(d) to Form 10-K for the fiscal year ended December 31,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10.1(f)</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Value Creation Incentive Award Performance-Based Restricted Stock Unit Award Agreement for Robert J. Coury under the Viatris Inc. 2020 Stock Incentive Plan, effective as of November 23, 2020, filed by Viatris Inc. as Exhibit 10.1(e) to Form 10-K for the fiscal year ended December 31,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10.1(g)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under the Viatris Inc. 2020 Stock Incentive Plan for awards granted on or after March 2, 2021, filed by Viatris Inc. as Exhibit 10.1 to Form 10-Q for the quarter ended March 31, 2021,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10.1(h)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shd w:fill="FFFFFF" w:val="clear"/>
              </w:rPr>
              <w:t xml:space="preserve">Form of Performance-Based Restricted Stock Unit Award Agreement under the Viatris Inc. 2020 Stock Incentive Plan for awards granted on or after March 2, 2021, filed by Viatris Inc. as Exhibit 10.2 to Form 10-Q for the quarter ended March </w:t>
            </w:r>
            <w:r>
              <w:rPr>
                <w:rFonts w:ascii="Times New Roman;sans-serif" w:hAnsi="Times New Roman;sans-serif"/>
                <w:b w:val="false"/>
                <w:color w:val="000000"/>
                <w:sz w:val="20"/>
              </w:rPr>
              <w:t>3</w:t>
            </w:r>
            <w:r>
              <w:rPr>
                <w:rFonts w:ascii="Times New Roman;sans-serif" w:hAnsi="Times New Roman;sans-serif"/>
                <w:b w:val="false"/>
                <w:color w:val="000000"/>
                <w:sz w:val="20"/>
                <w:shd w:fill="FFFFFF" w:val="clear"/>
              </w:rPr>
              <w:t>1, 2021,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10.1(i)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shd w:fill="FFFFFF" w:val="clear"/>
              </w:rPr>
              <w:t>Form of Director Restricted Stock Unit Award Agreement under the Viatris Inc. 2020 Stock Incentive Plan for non-employee directors for awards granted on or after March 2, 2021, filed by Viatris Inc. as Exhibit 10.</w:t>
            </w:r>
            <w:r>
              <w:rPr>
                <w:rFonts w:ascii="Times New Roman;sans-serif" w:hAnsi="Times New Roman;sans-serif"/>
                <w:b w:val="false"/>
                <w:color w:val="000000"/>
                <w:sz w:val="20"/>
              </w:rPr>
              <w:t>3</w:t>
            </w:r>
            <w:r>
              <w:rPr>
                <w:color w:val="000000"/>
                <w:shd w:fill="FFFFFF" w:val="clear"/>
              </w:rPr>
              <w:t xml:space="preserve"> </w:t>
            </w:r>
            <w:r>
              <w:rPr>
                <w:rFonts w:ascii="Times New Roman;sans-serif" w:hAnsi="Times New Roman;sans-serif"/>
                <w:b w:val="false"/>
                <w:color w:val="000000"/>
                <w:sz w:val="20"/>
                <w:shd w:fill="FFFFFF" w:val="clear"/>
              </w:rPr>
              <w:t xml:space="preserve">to Form 10-Q for the quarter ended March </w:t>
            </w:r>
            <w:r>
              <w:rPr>
                <w:rFonts w:ascii="Times New Roman;sans-serif" w:hAnsi="Times New Roman;sans-serif"/>
                <w:b w:val="false"/>
                <w:color w:val="000000"/>
                <w:sz w:val="20"/>
              </w:rPr>
              <w:t>3</w:t>
            </w:r>
            <w:r>
              <w:rPr>
                <w:rFonts w:ascii="Times New Roman;sans-serif" w:hAnsi="Times New Roman;sans-serif"/>
                <w:b w:val="false"/>
                <w:color w:val="000000"/>
                <w:sz w:val="20"/>
                <w:shd w:fill="FFFFFF" w:val="clear"/>
              </w:rPr>
              <w:t>1, 2021,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79"/>
        <w:gridCol w:w="219"/>
        <w:gridCol w:w="200"/>
        <w:gridCol w:w="109"/>
        <w:gridCol w:w="109"/>
        <w:gridCol w:w="109"/>
        <w:gridCol w:w="2687"/>
        <w:gridCol w:w="2687"/>
        <w:gridCol w:w="3806"/>
      </w:tblGrid>
      <w:tr>
        <w:trPr/>
        <w:tc>
          <w:tcPr>
            <w:tcW w:w="27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10.1(j)</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Performance-Based Restricted Stock Unit Award Agreement under the Viatris Inc. 2020 Stock Incentive Plan for awards granted on or after March 3, 2023, filed by Viatris Inc. as Exhibit 10.3 to Form 10-Q for the quarter ended March 31, 2023,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10.1(k)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Oyster Point Pharma, Inc. 2016 Equity Incentive Plan, filed as Exhibit 99.1 to Form S-8 filed by Viatris Inc. with the SEC on March 3, 2023,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10.1(l)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Oyster Point Pharma, Inc. 2019 Equity Incentive Plan, filed as Exhibit 99.2 to Form S-8 filed by Viatris Inc. with the SEC on March 3, 2023,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10.1(m)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Oyster Point Pharma, Inc. 2021 Inducement Plan, filed as Exhibit 99.3 to Form S-8 filed by Viatris Inc. with the SEC on March 3, 2023,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Agreement with Michael Goettler, dated February 24, 2023, filed as Exhibit 10.2 to the Report on Form 8-K filed by Viatris Inc. with the SEC on February 27, 2023,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Employment Agreement, entered into on November 20, 2020, by and between Viatris Inc. and Robert J. Coury, filed by Viatris Inc. as Exhibit 10.9 to Form 10-K for the fiscal year ended December 31, 2020,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Transition and Advisory Agreement and Release, dated May 19, 2023, by and between Viatris Inc. and Robert J. Coury, filed by Viatris Inc. as Exhibit 10.2 to Form 10-Q for the quarter ended June 30, 2023,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Offer Letter with Scott A. Smith, dated February 24, 2023, filed as Exhibit 10.1 to the Report on Form 8-K filed by Viatris Inc. with the SEC on February 27, 2023,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Offer Letter with Theodora (Doretta) Mistras, dated December 15, 2023, filed by Viatris Inc. as Exhibit 10.13 to Form 10-K for the fiscal year ended December 31, 2023,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Retirement and Operating Consulting Agreement and Release with Rajiv Malik, dated October 20, 2023, filed by Viatris Inc. as Exhibit 10.14 to Form 10-K for the fiscal year ended December 31, 2023,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Agreement and Release with Anthony Mauro, dated October 20, 2023, filed by Viatris Inc. as Exhibit 10.15 to Form 10-K for the fiscal year ended December 31, 2023,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Agreement and Release with Sanjeev Narula, dated December 15, 2023, filed by Viatris Inc. as Exhibit 10.16 to Form 10-K for the fiscal year ended December 31, 2023,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"https://www.sec.gov/Archives/edgar/data/1623613/000119312516602386/d157810ddef14a.htm" \l "toc157810_69"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10.10(a)</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N.V. Amended and Restated 2003 Long-Term Incentive Plan, filed as Appendix B to Mylan N.V.’s Definitive Proxy Statement on Schedule 14A filed by Mylan N.V. with the SEC on May 25, 2016,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"https://www.sec.gov/Archives/edgar/data/1623613/000119312516602386/d157810ddef14a.htm" \l "toc157810_69"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10.10(b)</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Mylan N.V. Amended and Restated 2003 Long-Term Incentive Plan, filed as Appendix B to Mylan N.V.’s Definitive Proxy Statement on Schedule 14A filed by Mylan N.V. on May 25, 2016,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20"/>
                  <w:u w:val="single"/>
                </w:rPr>
                <w:t>10.10(c)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the Mylan N.V. Amended and Restated 2003 Long-Term Incentive Plan, adopted as of February 23, 2017, filed by Mylan N.V. as Exhibit 10.1 to Form 10-Q for the quarter ended March 31, 2017,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FF"/>
                  <w:sz w:val="20"/>
                  <w:u w:val="single"/>
                </w:rPr>
                <w:t>10.10(d)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Form of Stock Option Agreement under the Mylan N.V. 2003 Long-Term Incentive Plan for Robert J. Coury and Rajiv Malik, filed by Mylan Inc. as Exhibit 10.2 to Form 10-Q for the quarter ended September 30, 2013,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FF"/>
                  <w:sz w:val="20"/>
                  <w:u w:val="single"/>
                </w:rPr>
                <w:t>10.10(e)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Form of Stock Option Agreement under the Mylan N.V. 2003 Long-Term Incentive Plan for awards granted following fiscal year 2012, filed by Mylan Inc. as Exhibit 10.4(i) to Form 10-K for the fiscal year ended December 31, 2013,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ans-serif" w:hAnsi="Times New Roman;sans-serif"/>
                  <w:b w:val="false"/>
                  <w:color w:val="0000FF"/>
                  <w:sz w:val="20"/>
                  <w:u w:val="single"/>
                </w:rPr>
                <w:t>10.10(f)</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Mylan N.V. 2003 Long-Term Incentive Plan for Robert J. Coury and Rajiv Malik for awards granted after February 27, 2015, filed by Mylan N.V. as Exhibit 10.1(i) to Form 10-K for the fiscal year ended December 31, 2015, and incorporated herein by reference.*</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FF"/>
                  <w:sz w:val="20"/>
                  <w:u w:val="single"/>
                </w:rPr>
                <w:t>10.10(g)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Mylan N.V. 2003 Long-Term Incentive Plan for awards granted after February 27, 2015, filed by Mylan N.V. as Exhibit 10.1(l) to Form 10-K for the fiscal year ended December 31, 2015,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52"/>
        <w:gridCol w:w="221"/>
        <w:gridCol w:w="223"/>
        <w:gridCol w:w="109"/>
        <w:gridCol w:w="109"/>
        <w:gridCol w:w="109"/>
        <w:gridCol w:w="2728"/>
        <w:gridCol w:w="2667"/>
        <w:gridCol w:w="3787"/>
      </w:tblGrid>
      <w:tr>
        <w:trPr/>
        <w:tc>
          <w:tcPr>
            <w:tcW w:w="2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ans-serif" w:hAnsi="Times New Roman;sans-serif"/>
                  <w:b w:val="false"/>
                  <w:color w:val="0000FF"/>
                  <w:sz w:val="20"/>
                  <w:u w:val="single"/>
                </w:rPr>
                <w:t>10.10(h)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Mylan N.V. 2003 Long-Term Incentive Plan for Rajiv Malik for awards granted on or after February 19, 2019, filed by Mylan N.V. as Exhibit 10.7 to Form 10-Q for the quarter ended March 31, 2019,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ans-serif" w:hAnsi="Times New Roman;sans-serif"/>
                  <w:b w:val="false"/>
                  <w:color w:val="0000FF"/>
                  <w:sz w:val="20"/>
                  <w:u w:val="single"/>
                </w:rPr>
                <w:t>10.10(i)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Mylan N.V. 2003 Long-Term Incentive Plan for independent directors for awards granted on or after March 2, 2020, filed by Mylan N.V. as Exhibit 10.2 to Form 10-Q for the quarter ended March 31, 2020,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212529"/>
                <w:sz w:val="20"/>
              </w:rPr>
              <w:t>Mylan N.V. Severance Plan and Global Guidelines</w:t>
            </w:r>
            <w:r>
              <w:rPr>
                <w:rFonts w:ascii="Times New Roman;sans-serif" w:hAnsi="Times New Roman;sans-serif"/>
                <w:b w:val="false"/>
                <w:color w:val="000000"/>
                <w:sz w:val="20"/>
              </w:rPr>
              <w:t>, filed by Mylan N.V. as Exhibit 10.1 to Form 10-Q for the quarter ended September 30, 2019, and incorporated herein by reference.*</w:t>
            </w:r>
          </w:p>
          <w:p>
            <w:pPr>
              <w:pStyle w:val="TableContents"/>
              <w:bidi w:val="0"/>
              <w:spacing w:before="0" w:after="0"/>
              <w:jc w:val="left"/>
              <w:rPr/>
            </w:pPr>
            <w:r>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Benefit Agreement, dated August 31, 2009, by and between Mylan Inc. and Rajiv Malik, filed by Mylan Inc. as Exhibit 10.4 to Form 10-Q for the quarter ended September 30, 2009,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ans-serif" w:hAnsi="Times New Roman;sans-serif"/>
                  <w:b w:val="false"/>
                  <w:color w:val="0000FF"/>
                  <w:sz w:val="20"/>
                  <w:u w:val="single"/>
                </w:rPr>
                <w:t>10.13(a)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and Succession Agreement, dated January 31, 2007, between Mylan Inc. and Rajiv Malik, filed by Mylan Inc. as Exhibit 10.5 to Form 10-Q for the quarter ended March 31, 2008,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FF"/>
                  <w:sz w:val="20"/>
                  <w:u w:val="single"/>
                </w:rPr>
                <w:t>10.13(b)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Transition and Succession Agreement, dated December 22, 2008, between Mylan Inc. and Rajiv Malik, filed by Mylan Inc. as Exhibit 10.28(b) to Form 10-K for the fiscal year ended December 31, 2008,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ans-serif" w:hAnsi="Times New Roman;sans-serif"/>
                  <w:b w:val="false"/>
                  <w:color w:val="0000FF"/>
                  <w:sz w:val="20"/>
                  <w:u w:val="single"/>
                </w:rPr>
                <w:t>10.14(a)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and Succession Agreement, dated February 25, 2008, by and between Mylan Inc. and Anthony Mauro, filed by Mylan Inc. as Exhibit 10.5(a) to Form 10-Q for the quarter ended March 31, 2012,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ans-serif" w:hAnsi="Times New Roman;sans-serif"/>
                  <w:b w:val="false"/>
                  <w:color w:val="0000FF"/>
                  <w:sz w:val="20"/>
                  <w:u w:val="single"/>
                </w:rPr>
                <w:t>10.14(b)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Transition and Succession Agreement, dated December 15, 2008, by and between Mylan Inc. and Anthony Mauro, filed by Mylan Inc. as Exhibit 10.5(b) to Form 10-Q for the quarter ended March 31, 2012,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ans-serif" w:hAnsi="Times New Roman;sans-serif"/>
                  <w:b w:val="false"/>
                  <w:color w:val="0000FF"/>
                  <w:sz w:val="20"/>
                  <w:u w:val="single"/>
                </w:rPr>
                <w:t>10.14(c)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2 to Transition and Succession Agreement, dated October 15, 2009, by and between Mylan Inc. and Anthony Mauro, filed by Mylan Inc. as Exhibit 10.5(c) to Form 10-Q for the quarter ended March 31, 2012,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ans-serif" w:hAnsi="Times New Roman;sans-serif"/>
                  <w:b w:val="false"/>
                  <w:color w:val="0000FF"/>
                  <w:sz w:val="20"/>
                  <w:u w:val="single"/>
                </w:rPr>
                <w:t>10.15(a)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Mylan 401(k) Restoration Plan, dated January 1, 2010, filed as Exhibit 10.1 to the Report on Form 8-K filed by Mylan Inc. with the SEC on December 14, 2009,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ans-serif" w:hAnsi="Times New Roman;sans-serif"/>
                  <w:b w:val="false"/>
                  <w:color w:val="0000FF"/>
                  <w:sz w:val="20"/>
                  <w:u w:val="single"/>
                </w:rPr>
                <w:t>10.15(b)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Mylan 401(k) Restoration Plan, dated November 4, 2014, filed by Mylan Inc. as Exhibit 10.41(b) to Form 10-K for the fiscal year ended December 31, 2014,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ans-serif" w:hAnsi="Times New Roman;sans-serif"/>
                  <w:b w:val="false"/>
                  <w:color w:val="0000FF"/>
                  <w:sz w:val="20"/>
                  <w:u w:val="single"/>
                </w:rPr>
                <w:t>10.16(a)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Mylan Executive Income Deferral Plan, filed as Exhibit 10.2 to the Report on Form 8-K filed by Mylan Inc. with the SEC on December 14, 2009,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ans-serif" w:hAnsi="Times New Roman;sans-serif"/>
                  <w:b w:val="false"/>
                  <w:color w:val="0000FF"/>
                  <w:sz w:val="20"/>
                  <w:u w:val="single"/>
                </w:rPr>
                <w:t>10.16(b)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Mylan Executive Income Deferral Plan, dated November 4, 2014, filed by Mylan Inc. as Exhibit 10.42(b) to Form 10-K for the fiscal year ended December 31, 2014,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ans-serif" w:hAnsi="Times New Roman;sans-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Executive Nonqualified Excess Plan Adoption Agreement, effective as of December 28, 2007, between Mylan International Holdings, Inc. and Rajiv Malik, filed by Mylan Inc. as Exhibit 10.27(b) to Form 10-K for the fiscal year ended December 31, 2013,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ans-serif" w:hAnsi="Times New Roman;sans-serif"/>
                  <w:b w:val="false"/>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Executive Nonqualified Excess Plan, effective as of December 28, 2007, between Mylan International Holdings, Inc. and Rajiv Malik, filed by Mylan Inc. as Exhibit 10.57 to Form 10-K for the fiscal year ended December 31, 2013,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ans-serif" w:hAnsi="Times New Roman;sans-serif"/>
                  <w:b w:val="false"/>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Executive Employment Agreement, entered into on February 25, 2019, and effective as of April 1, 2019, by and between Mylan Inc. and Rajiv Malik, filed by Mylan N.V. as Exhibit 10.20(c) to Form 10-K for the fiscal year ended December 31, 2018, and incorporated herein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ans-serif" w:hAnsi="Times New Roman;sans-serif"/>
                  <w:b w:val="false"/>
                  <w:color w:val="0000FF"/>
                  <w:sz w:val="20"/>
                  <w:u w:val="single"/>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Employment Agreement, dated as of February 25, 2019, and effective as of April 1, 2019, by and between Mylan Inc. and Anthony Mauro, filed by Mylan N.V. as Exhibit 10.21(b) to Form 10-K for the fiscal year ended December 31, 2018, and incorporated herein by reference.*</w:t>
            </w:r>
          </w:p>
          <w:p>
            <w:pPr>
              <w:pStyle w:val="TableContents"/>
              <w:bidi w:val="0"/>
              <w:spacing w:before="0" w:after="0"/>
              <w:jc w:val="left"/>
              <w:rPr/>
            </w:pPr>
            <w:r>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ans-serif" w:hAnsi="Times New Roman;sans-serif"/>
                  <w:b w:val="false"/>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2007 Supplemental Health Insurance Plan for Certain Key Employees of Mylan Laboratories Inc., adopted as of January 29, 2007, filed by Mylan N.V. as Exhibit 10.29 to the Form 10-K for the fiscal year ended December 31, 2019,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718"/>
        <w:gridCol w:w="2718"/>
        <w:gridCol w:w="385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ans-serif" w:hAnsi="Times New Roman;sans-serif"/>
                  <w:b w:val="false"/>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between Viatris Inc. and each of its directors and its executive officers, filed by Viatris Inc. as Exhibit 10.25 to Form 10-K for the fiscal year ended December 31, 2020,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ans-serif" w:hAnsi="Times New Roman;sans-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Form of Indemnification Agreement between Mylan Inc. and each Director, filed by Mylan Inc. as Exhibit 10.38 to Form 10-K for the fiscal year ended December 31, 2013,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ans-serif" w:hAnsi="Times New Roman;sans-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between Mylan N.V. and directors, filed as Exhibit 10.1 to the Report on Form 8-K filed by Mylan N.V. with the SEC on February 27, 2015,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ans-serif" w:hAnsi="Times New Roman;sans-serif"/>
                  <w:b w:val="false"/>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Revolving Credit Agreement, dated as of September 27, 2024, among Viatris, certain affiliates and subsidiaries of Viatris from time to time party thereto as guarantors, each lender and issuing bank from time to time party thereto and Bank of America, N.A., as administrative agent, filed as Exhibit 10.1 to the Report on Form 8-K filed by Viatris Inc. with the SEC on September 27, 2024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Times New Roman;sans-serif" w:hAnsi="Times New Roman;sans-serif"/>
                  <w:b w:val="false"/>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shd w:fill="FFFFFF" w:val="clear"/>
              </w:rPr>
              <w:t xml:space="preserve">Term Loan Credit Agreement, dated as of July 1, 2021, among Viatris, the guarantors from time to time party thereto, the lenders from time to time party thereto and Mizuho Bank, Ltd., as administrative agent, filed as Exhibit 10.2 to the Report on Form 8-K filed by Viatris Inc. with the SEC on July 1, 2021, and incorporated herein by reference. </w:t>
            </w:r>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ans-serif" w:hAnsi="Times New Roman;sans-serif"/>
                  <w:b w:val="false"/>
                  <w:color w:val="0000FF"/>
                  <w:sz w:val="20"/>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Commercial Paper Dealer Agreement among Viatris Inc., Utah Acquisition Sub Inc., Mylan II B.V., Mylan Inc. and the dealer thereto, filed as Exhibit 10.1 to the Report on Form 8-K/A filed by Viatris Inc. with the SEC on November 19, 2020, and incorporated herein by reference.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ans-serif" w:hAnsi="Times New Roman;sans-serif"/>
                  <w:b w:val="false"/>
                  <w:color w:val="0000FF"/>
                  <w:sz w:val="20"/>
                  <w:u w:val="single"/>
                </w:rPr>
                <w:t>10.28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Agreement, dated as of November 16, 2020, by and between Pfizer Inc. (as Service Provider) and Upjohn Inc. (as Service Recipient), filed as Exhibit 10.1 to the Report on Form 8-K filed by Viatris Inc. with the SEC on November 19, 2020, and incorporated herein by reference.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ans-serif" w:hAnsi="Times New Roman;sans-serif"/>
                  <w:b w:val="false"/>
                  <w:color w:val="0000FF"/>
                  <w:sz w:val="20"/>
                  <w:u w:val="single"/>
                </w:rPr>
                <w:t>10.29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Agreement, dated as of November 16, 2020, by and between Upjohn Inc. (as Service Provider) and Pfizer Inc. (as Service Recipient), filed as Exhibit 10.2 to the Report on Form 8-K filed by Viatris Inc. with the SEC on November 19, 2020, and incorporated herein by reference.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ans-serif" w:hAnsi="Times New Roman;sans-serif"/>
                  <w:b w:val="false"/>
                  <w:color w:val="0000FF"/>
                  <w:sz w:val="20"/>
                  <w:u w:val="single"/>
                </w:rPr>
                <w:t>10.30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Matters Agreement, dated as of November 16, 2020, by and between Pfizer Inc. and Upjohn Inc., filed as Exhibit 10.3 to the Report on Form 8-K filed by Viatris Inc. with the SEC on November 19, 2020, and incorporated herein by reference.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ans-serif" w:hAnsi="Times New Roman;sans-serif"/>
                  <w:b w:val="false"/>
                  <w:color w:val="0000FF"/>
                  <w:sz w:val="20"/>
                  <w:u w:val="single"/>
                </w:rPr>
                <w:t>10.31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Matters Agreement, dated as of November 16, 2020, by and between Pfizer Inc. and Viatris Inc., filed as Exhibit 10.4 to the Report on Form 8-K filed by Viatris Inc. with the SEC on November 19, 2020,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Times New Roman;sans-serif" w:hAnsi="Times New Roman;sans-serif"/>
                  <w:b w:val="false"/>
                  <w:color w:val="0000FF"/>
                  <w:sz w:val="20"/>
                  <w:u w:val="single"/>
                </w:rPr>
                <w:t>10.32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Supply Agreement, dated as of November 16, 2020, by and between Pfizer Inc. (as Manufacturer) and Viatris Inc. (as Customer), filed as Exhibit 10.5 to the Report on Form 8-K filed by Viatris Inc. with the SEC on November 19, 2020,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Times New Roman;sans-serif" w:hAnsi="Times New Roman;sans-serif"/>
                  <w:b w:val="false"/>
                  <w:color w:val="0000FF"/>
                  <w:sz w:val="20"/>
                  <w:u w:val="single"/>
                </w:rPr>
                <w:t>10.33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Supply Agreement, dated as of November 16, 2020, by and between Viatris Inc. (as Manufacturer) and Pfizer Inc. (as Customer), filed as Exhibit 10.6 to the Report on Form 8-K filed by Viatris Inc. with the SEC on November 19, 2020, and incorporated herein by reference.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Times New Roman;sans-serif" w:hAnsi="Times New Roman;sans-serif"/>
                  <w:b w:val="false"/>
                  <w:color w:val="0000FF"/>
                  <w:sz w:val="20"/>
                  <w:u w:val="single"/>
                </w:rPr>
                <w:t>10.34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 Matters Agreement, dated as of November 16, 2020, by and between Pfizer Inc. and Viatris Inc., filed as Exhibit 10.7 to the Report on Form 8-K filed by Viatris Inc. with the SEC on November 19, 2020, and incorporated herein by reference.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Times New Roman;sans-serif" w:hAnsi="Times New Roman;sans-serif"/>
                  <w:b w:val="false"/>
                  <w:color w:val="0000FF"/>
                  <w:sz w:val="20"/>
                  <w:u w:val="single"/>
                </w:rPr>
                <w:t>10.35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 License Agreement, dated as of November 16, 2020, by and between Pfizer Inc. and Viatris Inc., filed as Exhibit 10.8 to the Report on Form 8-K filed by Viatris Inc. with the SEC on November 19, 2020, and incorporated herein by reference.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19xvtrsx20241231.htm">
              <w:r>
                <w:rPr>
                  <w:rStyle w:val="InternetLink"/>
                  <w:rFonts w:ascii="Times New Roman;sans-serif" w:hAnsi="Times New Roman;sans-serif"/>
                  <w:b w:val="false"/>
                  <w:color w:val="0000FF"/>
                  <w:sz w:val="20"/>
                  <w:u w:val="single"/>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Global Insider Trading Policy and Insider Trading Policy Additional Procedures.</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21xvtrsx20241231.htm">
              <w:r>
                <w:rPr>
                  <w:rStyle w:val="InternetLink"/>
                  <w:rFonts w:ascii="Times New Roman;sans-serif" w:hAnsi="Times New Roman;sans-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registrant.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22-vtrsx20241231x10xk.htm">
              <w:r>
                <w:rPr>
                  <w:rStyle w:val="InternetLink"/>
                  <w:rFonts w:ascii="Times New Roman;sans-serif" w:hAnsi="Times New Roman;sans-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subsidiary guarantors and issuers of guaranteed securities.</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23-vtrsx20241231x10xk.htm">
              <w:r>
                <w:rPr>
                  <w:rStyle w:val="InternetLink"/>
                  <w:rFonts w:ascii="Times New Roman;sans-serif" w:hAnsi="Times New Roman;sans-serif"/>
                  <w:b w:val="false"/>
                  <w:color w:val="0000FF"/>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Deloitte &amp; Touche LLP, Independent Registered Public Accounting Firm.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55"/>
        <w:gridCol w:w="211"/>
        <w:gridCol w:w="212"/>
        <w:gridCol w:w="109"/>
        <w:gridCol w:w="109"/>
        <w:gridCol w:w="109"/>
        <w:gridCol w:w="2706"/>
        <w:gridCol w:w="2682"/>
        <w:gridCol w:w="3812"/>
      </w:tblGrid>
      <w:tr>
        <w:trPr/>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rs_ex311x20241231-10k.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Section 302 of the Sarbanes-Oxley Act of 2002.</w:t>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rs_ex312x20241231-10k.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Section 302 of the Sarbanes-Oxley Act of 2002.</w:t>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rs_ex32x20241231-10k.htm">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and Principal Financial Officer pursuant to Section 906 of the Sarbanes-Oxley Act of 2002.</w:t>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2">
              <w:r>
                <w:rPr>
                  <w:rStyle w:val="InternetLink"/>
                  <w:rFonts w:ascii="Times New Roman;sans-serif" w:hAnsi="Times New Roman;sans-serif"/>
                  <w:b w:val="false"/>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Incentive-Based Compensation Recovery Policy, effective December 1, 2023, filed by Viatris Inc. as Exhibit 97 to Form 10-K for the fiscal year ended December 31, 2023, and incorporated herein by reference.</w:t>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 (included in Exhibit 101).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30"/>
        <w:gridCol w:w="2870"/>
        <w:gridCol w:w="4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Denotes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Annexes, schedules and/or exhibits have been omitted pursuant to Item 601(a)(5) of Regulation S-K. Viatris agrees to furnish supplementally a copy of any omitted attachment to the SEC on a confidential basis upon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w10:wrap type="none"/>
              </v:rect>
            </w:pict>
          </mc:Fallback>
        </mc:AlternateContent>
      </w:r>
    </w:p>
    <w:p>
      <w:pPr>
        <w:pStyle w:val="TextBody"/>
        <w:bidi w:val="0"/>
        <w:spacing w:lineRule="auto" w:line="288" w:before="0" w:after="0"/>
        <w:jc w:val="left"/>
        <w:rPr/>
      </w:pPr>
      <w:hyperlink w:anchor="i294e6e3112ae4c32a7f27a2ec714b350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Form to be signed on its behalf by the undersigned, thereunto duly authorized on February 27, 2025.</w:t>
      </w:r>
    </w:p>
    <w:tbl>
      <w:tblPr>
        <w:tblW w:w="3099" w:type="dxa"/>
        <w:jc w:val="left"/>
        <w:tblInd w:w="0" w:type="dxa"/>
        <w:tblLayout w:type="fixed"/>
        <w:tblCellMar>
          <w:top w:w="28" w:type="dxa"/>
          <w:left w:w="28" w:type="dxa"/>
          <w:bottom w:w="28" w:type="dxa"/>
          <w:right w:w="28" w:type="dxa"/>
        </w:tblCellMar>
      </w:tblPr>
      <w:tblGrid>
        <w:gridCol w:w="124"/>
        <w:gridCol w:w="109"/>
        <w:gridCol w:w="109"/>
        <w:gridCol w:w="120"/>
        <w:gridCol w:w="120"/>
        <w:gridCol w:w="121"/>
        <w:gridCol w:w="109"/>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Form has been signed below by the following persons on behalf of the registrant and in the capacities indicated as of February 27, 2025.</w:t>
      </w:r>
    </w:p>
    <w:p>
      <w:pPr>
        <w:pStyle w:val="TextBody"/>
        <w:bidi w:val="0"/>
        <w:spacing w:lineRule="auto" w:line="288" w:before="0" w:after="0"/>
        <w:ind w:left="0" w:right="0" w:firstLine="360"/>
        <w:jc w:val="left"/>
        <w:rPr>
          <w:color w:val="000000"/>
        </w:rPr>
      </w:pPr>
      <w:r>
        <w:rPr>
          <w:color w:val="000000"/>
        </w:rPr>
        <w:t> </w:t>
      </w:r>
    </w:p>
    <w:tbl>
      <w:tblPr>
        <w:tblW w:w="7615" w:type="dxa"/>
        <w:jc w:val="left"/>
        <w:tblInd w:w="0" w:type="dxa"/>
        <w:tblLayout w:type="fixed"/>
        <w:tblCellMar>
          <w:top w:w="28" w:type="dxa"/>
          <w:left w:w="28" w:type="dxa"/>
          <w:bottom w:w="28" w:type="dxa"/>
          <w:right w:w="28" w:type="dxa"/>
        </w:tblCellMar>
      </w:tblPr>
      <w:tblGrid>
        <w:gridCol w:w="1085"/>
        <w:gridCol w:w="954"/>
        <w:gridCol w:w="960"/>
        <w:gridCol w:w="109"/>
        <w:gridCol w:w="109"/>
        <w:gridCol w:w="109"/>
        <w:gridCol w:w="1248"/>
        <w:gridCol w:w="1248"/>
        <w:gridCol w:w="1793"/>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Smith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THEODORA MISTRAS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Theodora Mistras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PAUL CAMPBELL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and Corporate Controller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Paul Campbell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MELINA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Chair of the Board of Directors</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Melina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 DON CORNWELL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 Don Cornwell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JOELLEN LYONS DILLON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JoEllen Lyons Dillon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ELISHA FINNEY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Elisha Finney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LEO GROOTHUIS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Leo Groothuis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M. KILTS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M. Kilts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HARRY KORMAN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Harry Korman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RAJIV MALIK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Rajiv Malik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RICHARD 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Richard 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MARK PARRISH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Vice Chair and 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Parrish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ROGÉRIO VIVALDI COELHO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Rogério Vivaldi Coelho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2.3(e)</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v:textbox>
                <w10:wrap type="none"/>
              </v:rect>
            </w:pict>
          </mc:Fallback>
        </mc:AlternateContent>
      </w:r>
    </w:p>
    <w:p>
      <w:pPr>
        <w:pStyle w:val="TextBody"/>
        <w:bidi w:val="0"/>
        <w:spacing w:lineRule="auto" w:line="288" w:before="2" w:after="240"/>
        <w:jc w:val="center"/>
        <w:rPr>
          <w:rFonts w:ascii="Times New Roman;sans-serif" w:hAnsi="Times New Roman;sans-serif"/>
          <w:b/>
          <w:color w:val="000000"/>
          <w:sz w:val="24"/>
        </w:rPr>
      </w:pPr>
      <w:r>
        <w:rPr>
          <w:rFonts w:ascii="Times New Roman;sans-serif" w:hAnsi="Times New Roman;sans-serif"/>
          <w:b/>
          <w:color w:val="000000"/>
          <w:sz w:val="24"/>
        </w:rPr>
        <w:t>OMNIBUS AMENDMENT NO. 3</w:t>
      </w:r>
    </w:p>
    <w:p>
      <w:pPr>
        <w:pStyle w:val="TextBody"/>
        <w:bidi w:val="0"/>
        <w:spacing w:lineRule="auto" w:line="288" w:before="2" w:after="240"/>
        <w:ind w:left="0" w:right="0" w:firstLine="720"/>
        <w:jc w:val="left"/>
        <w:rPr/>
      </w:pPr>
      <w:r>
        <w:rPr>
          <w:rFonts w:ascii="Times New Roman;sans-serif" w:hAnsi="Times New Roman;sans-serif"/>
          <w:b w:val="false"/>
          <w:color w:val="000000"/>
          <w:sz w:val="24"/>
        </w:rPr>
        <w:t>This OMNIBUS AMENDMENT NO. 3, effective as of December 24, 2024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is by and among Viatris Inc., a Delaware corporation (“</w:t>
      </w:r>
      <w:r>
        <w:rPr>
          <w:rFonts w:ascii="Times New Roman;sans-serif" w:hAnsi="Times New Roman;sans-serif"/>
          <w:b w:val="false"/>
          <w:color w:val="000000"/>
          <w:sz w:val="24"/>
          <w:u w:val="single"/>
        </w:rPr>
        <w:t>Viatris</w:t>
      </w:r>
      <w:r>
        <w:rPr>
          <w:color w:val="000000"/>
        </w:rPr>
        <w:t>”</w:t>
      </w:r>
      <w:r>
        <w:rPr>
          <w:rFonts w:ascii="Times New Roman;sans-serif" w:hAnsi="Times New Roman;sans-serif"/>
          <w:b w:val="false"/>
          <w:color w:val="000000"/>
          <w:sz w:val="24"/>
        </w:rPr>
        <w:t>), Biocon Biologics UK Limited, a U.K. private limited company (“</w:t>
      </w:r>
      <w:r>
        <w:rPr>
          <w:rFonts w:ascii="Times New Roman;sans-serif" w:hAnsi="Times New Roman;sans-serif"/>
          <w:b w:val="false"/>
          <w:color w:val="000000"/>
          <w:sz w:val="24"/>
          <w:u w:val="single"/>
        </w:rPr>
        <w:t>Biocon UK</w:t>
      </w:r>
      <w:r>
        <w:rPr>
          <w:color w:val="000000"/>
        </w:rPr>
        <w:t>”</w:t>
      </w:r>
      <w:r>
        <w:rPr>
          <w:rFonts w:ascii="Times New Roman;sans-serif" w:hAnsi="Times New Roman;sans-serif"/>
          <w:b w:val="false"/>
          <w:color w:val="000000"/>
          <w:sz w:val="24"/>
        </w:rPr>
        <w:t>), Biosimilar Collaborations Ireland Limited, an Irish private limited company (“</w:t>
      </w:r>
      <w:r>
        <w:rPr>
          <w:rFonts w:ascii="Times New Roman;sans-serif" w:hAnsi="Times New Roman;sans-serif"/>
          <w:b w:val="false"/>
          <w:color w:val="000000"/>
          <w:sz w:val="24"/>
          <w:u w:val="single"/>
        </w:rPr>
        <w:t>Biosimilar Collaborations</w:t>
      </w:r>
      <w:r>
        <w:rPr>
          <w:color w:val="000000"/>
        </w:rPr>
        <w:t>”</w:t>
      </w:r>
      <w:r>
        <w:rPr>
          <w:rFonts w:ascii="Times New Roman;sans-serif" w:hAnsi="Times New Roman;sans-serif"/>
          <w:b w:val="false"/>
          <w:color w:val="000000"/>
          <w:sz w:val="24"/>
        </w:rPr>
        <w:t>), Biosimilars Newco Limited, a U.K. private limited company (“</w:t>
      </w:r>
      <w:r>
        <w:rPr>
          <w:rFonts w:ascii="Times New Roman;sans-serif" w:hAnsi="Times New Roman;sans-serif"/>
          <w:b w:val="false"/>
          <w:color w:val="000000"/>
          <w:sz w:val="24"/>
          <w:u w:val="single"/>
        </w:rPr>
        <w:t>Biosimilars Newco</w:t>
      </w:r>
      <w:r>
        <w:rPr>
          <w:color w:val="000000"/>
        </w:rPr>
        <w:t>”</w:t>
      </w:r>
      <w:r>
        <w:rPr>
          <w:rFonts w:ascii="Times New Roman;sans-serif" w:hAnsi="Times New Roman;sans-serif"/>
          <w:b w:val="false"/>
          <w:color w:val="000000"/>
          <w:sz w:val="24"/>
        </w:rPr>
        <w:t>), and Biocon Biologics Limited, a public limited company incorporated under the Indian Companies Act, 2013 (“</w:t>
      </w:r>
      <w:r>
        <w:rPr>
          <w:rFonts w:ascii="Times New Roman;sans-serif" w:hAnsi="Times New Roman;sans-serif"/>
          <w:b w:val="false"/>
          <w:color w:val="000000"/>
          <w:sz w:val="24"/>
          <w:u w:val="single"/>
        </w:rPr>
        <w:t>Biocon</w:t>
      </w:r>
      <w:r>
        <w:rPr>
          <w:color w:val="000000"/>
        </w:rPr>
        <w:t>”</w:t>
      </w:r>
      <w:r>
        <w:rPr>
          <w:rFonts w:ascii="Times New Roman;sans-serif" w:hAnsi="Times New Roman;sans-serif"/>
          <w:b w:val="false"/>
          <w:color w:val="000000"/>
          <w:sz w:val="24"/>
        </w:rPr>
        <w:t>, together with Biocon UK, Biosimilar Collaborations and Biosimilars Newco, the “</w:t>
      </w:r>
      <w:r>
        <w:rPr>
          <w:rFonts w:ascii="Times New Roman;sans-serif" w:hAnsi="Times New Roman;sans-serif"/>
          <w:b w:val="false"/>
          <w:color w:val="000000"/>
          <w:sz w:val="24"/>
          <w:u w:val="single"/>
        </w:rPr>
        <w:t>Biocon Parties</w:t>
      </w:r>
      <w:r>
        <w:rPr>
          <w:color w:val="000000"/>
        </w:rPr>
        <w:t xml:space="preserve">” </w:t>
      </w:r>
      <w:r>
        <w:rPr>
          <w:rFonts w:ascii="Times New Roman;sans-serif" w:hAnsi="Times New Roman;sans-serif"/>
          <w:b w:val="false"/>
          <w:color w:val="000000"/>
          <w:sz w:val="24"/>
        </w:rPr>
        <w:t>and each of them, a “</w:t>
      </w:r>
      <w:r>
        <w:rPr>
          <w:rFonts w:ascii="Times New Roman;sans-serif" w:hAnsi="Times New Roman;sans-serif"/>
          <w:b w:val="false"/>
          <w:color w:val="000000"/>
          <w:sz w:val="24"/>
          <w:u w:val="single"/>
        </w:rPr>
        <w:t>Biocon Party</w:t>
      </w:r>
      <w:r>
        <w:rPr>
          <w:color w:val="000000"/>
        </w:rPr>
        <w:t>”</w:t>
      </w:r>
      <w:r>
        <w:rPr>
          <w:rFonts w:ascii="Times New Roman;sans-serif" w:hAnsi="Times New Roman;sans-serif"/>
          <w:b w:val="false"/>
          <w:color w:val="000000"/>
          <w:sz w:val="24"/>
        </w:rPr>
        <w:t>). Each of the parties hereto is referred to individually as a “Party” and collectively as the “Parties.”</w:t>
      </w:r>
    </w:p>
    <w:p>
      <w:pPr>
        <w:pStyle w:val="TextBody"/>
        <w:bidi w:val="0"/>
        <w:spacing w:lineRule="auto" w:line="288" w:before="2"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bidi w:val="0"/>
        <w:spacing w:lineRule="auto" w:line="288" w:before="2" w:after="240"/>
        <w:ind w:left="0" w:right="0" w:firstLine="720"/>
        <w:jc w:val="left"/>
        <w:rPr/>
      </w:pPr>
      <w:r>
        <w:rPr>
          <w:rFonts w:ascii="Times New Roman;sans-serif" w:hAnsi="Times New Roman;sans-serif"/>
          <w:b w:val="false"/>
          <w:color w:val="000000"/>
          <w:sz w:val="24"/>
        </w:rPr>
        <w:t>WHEREAS, Viatris and Biocon are parties to that certain Transaction Agreement, dated as of February 27, 2022, as amended by Amendment No. 1 to Transaction Agreement, dated as of November 28, 2022, Omnibus Amendment No. 1, dated as of May 17, 2023 (“</w:t>
      </w:r>
      <w:r>
        <w:rPr>
          <w:rFonts w:ascii="Times New Roman;sans-serif" w:hAnsi="Times New Roman;sans-serif"/>
          <w:b w:val="false"/>
          <w:color w:val="000000"/>
          <w:sz w:val="24"/>
          <w:u w:val="single"/>
        </w:rPr>
        <w:t>Omnibus Amendment No. 1</w:t>
      </w:r>
      <w:r>
        <w:rPr>
          <w:color w:val="000000"/>
        </w:rPr>
        <w:t>”</w:t>
      </w:r>
      <w:r>
        <w:rPr>
          <w:rFonts w:ascii="Times New Roman;sans-serif" w:hAnsi="Times New Roman;sans-serif"/>
          <w:b w:val="false"/>
          <w:color w:val="000000"/>
          <w:sz w:val="24"/>
        </w:rPr>
        <w:t>), and Omnibus Amendment No. 2, dated as of December 19, 2023 (“</w:t>
      </w:r>
      <w:r>
        <w:rPr>
          <w:rFonts w:ascii="Times New Roman;sans-serif" w:hAnsi="Times New Roman;sans-serif"/>
          <w:b w:val="false"/>
          <w:color w:val="000000"/>
          <w:sz w:val="24"/>
          <w:u w:val="single"/>
        </w:rPr>
        <w:t>Omnibus Amendment No. 2</w:t>
      </w:r>
      <w:r>
        <w:rPr>
          <w:color w:val="000000"/>
        </w:rPr>
        <w:t>”</w:t>
      </w:r>
      <w:r>
        <w:rPr>
          <w:rFonts w:ascii="Times New Roman;sans-serif" w:hAnsi="Times New Roman;sans-serif"/>
          <w:b w:val="false"/>
          <w:color w:val="000000"/>
          <w:sz w:val="24"/>
        </w:rPr>
        <w:t>) (the “</w:t>
      </w:r>
      <w:r>
        <w:rPr>
          <w:rFonts w:ascii="Times New Roman;sans-serif" w:hAnsi="Times New Roman;sans-serif"/>
          <w:b w:val="false"/>
          <w:color w:val="000000"/>
          <w:sz w:val="24"/>
          <w:u w:val="single"/>
        </w:rPr>
        <w:t>Transaction Agreement</w:t>
      </w:r>
      <w:r>
        <w:rPr>
          <w:color w:val="000000"/>
        </w:rPr>
        <w:t>”</w:t>
      </w:r>
      <w:r>
        <w:rPr>
          <w:rFonts w:ascii="Times New Roman;sans-serif" w:hAnsi="Times New Roman;sans-serif"/>
          <w:b w:val="false"/>
          <w:color w:val="000000"/>
          <w:sz w:val="24"/>
        </w:rPr>
        <w:t>);</w:t>
      </w:r>
    </w:p>
    <w:p>
      <w:pPr>
        <w:pStyle w:val="TextBody"/>
        <w:bidi w:val="0"/>
        <w:spacing w:lineRule="auto" w:line="288" w:before="2" w:after="240"/>
        <w:ind w:left="0" w:right="0" w:firstLine="720"/>
        <w:jc w:val="left"/>
        <w:rPr/>
      </w:pPr>
      <w:r>
        <w:rPr>
          <w:rFonts w:ascii="Times New Roman;sans-serif" w:hAnsi="Times New Roman;sans-serif"/>
          <w:b w:val="false"/>
          <w:color w:val="000000"/>
          <w:sz w:val="24"/>
        </w:rPr>
        <w:t>WHEREAS, Viatris and Biocon UK are parties to that certain letter agreement, dated as of February 27, 2022, relating to payments of Closing Working Capital, as amended by that certain Amendment No. 1 to Letter Agreement, dated as of November 29, 2022, Omnibus Amendment No. 1 and Omnibus Amendment No. 2 (the “</w:t>
      </w:r>
      <w:r>
        <w:rPr>
          <w:rFonts w:ascii="Times New Roman;sans-serif" w:hAnsi="Times New Roman;sans-serif"/>
          <w:b w:val="false"/>
          <w:color w:val="000000"/>
          <w:sz w:val="24"/>
          <w:u w:val="single"/>
        </w:rPr>
        <w:t>Working Capital Letter</w:t>
      </w:r>
      <w:r>
        <w:rPr>
          <w:color w:val="000000"/>
        </w:rPr>
        <w:t>”</w:t>
      </w:r>
      <w:r>
        <w:rPr>
          <w:rFonts w:ascii="Times New Roman;sans-serif" w:hAnsi="Times New Roman;sans-serif"/>
          <w:b w:val="false"/>
          <w:color w:val="000000"/>
          <w:sz w:val="24"/>
        </w:rPr>
        <w:t>);</w:t>
      </w:r>
    </w:p>
    <w:p>
      <w:pPr>
        <w:pStyle w:val="TextBody"/>
        <w:bidi w:val="0"/>
        <w:spacing w:lineRule="auto" w:line="288" w:before="2" w:after="240"/>
        <w:ind w:left="0" w:right="0" w:firstLine="720"/>
        <w:jc w:val="left"/>
        <w:rPr/>
      </w:pPr>
      <w:r>
        <w:rPr>
          <w:rFonts w:ascii="Times New Roman;sans-serif" w:hAnsi="Times New Roman;sans-serif"/>
          <w:b w:val="false"/>
          <w:color w:val="000000"/>
          <w:sz w:val="24"/>
        </w:rPr>
        <w:t>WHEREAS, Viatris and the Biocon Parties are parties to that certain Transition Services Agreement, dated as of November 29, 2022, as amended by Omnibus Amendment No. 1 and by that certain Letter Agreement Regarding Requested Extended Services, Wind-Down Activities and Essential Financial Services, dated as of January 24, 2024 (the “</w:t>
      </w:r>
      <w:r>
        <w:rPr>
          <w:rFonts w:ascii="Times New Roman;sans-serif" w:hAnsi="Times New Roman;sans-serif"/>
          <w:b w:val="false"/>
          <w:color w:val="000000"/>
          <w:sz w:val="24"/>
          <w:u w:val="single"/>
        </w:rPr>
        <w:t>Transition Services Agreement</w:t>
      </w:r>
      <w:r>
        <w:rPr>
          <w:color w:val="000000"/>
        </w:rPr>
        <w:t>”</w:t>
      </w:r>
      <w:r>
        <w:rPr>
          <w:rFonts w:ascii="Times New Roman;sans-serif" w:hAnsi="Times New Roman;sans-serif"/>
          <w:b w:val="false"/>
          <w:color w:val="000000"/>
          <w:sz w:val="24"/>
        </w:rPr>
        <w:t>);</w:t>
      </w:r>
    </w:p>
    <w:p>
      <w:pPr>
        <w:pStyle w:val="TextBody"/>
        <w:bidi w:val="0"/>
        <w:spacing w:lineRule="auto" w:line="288" w:before="2" w:after="240"/>
        <w:ind w:left="0" w:right="0" w:firstLine="720"/>
        <w:jc w:val="left"/>
        <w:rPr/>
      </w:pPr>
      <w:r>
        <w:rPr>
          <w:rFonts w:ascii="Times New Roman;sans-serif" w:hAnsi="Times New Roman;sans-serif"/>
          <w:b w:val="false"/>
          <w:color w:val="000000"/>
          <w:sz w:val="24"/>
        </w:rPr>
        <w:t>WHEREAS, Viatris and Biocon are parties to that certain Employee Matters Agreement, dated as of November 29, 2022 (the “</w:t>
      </w:r>
      <w:r>
        <w:rPr>
          <w:rFonts w:ascii="Times New Roman;sans-serif" w:hAnsi="Times New Roman;sans-serif"/>
          <w:b w:val="false"/>
          <w:color w:val="000000"/>
          <w:sz w:val="24"/>
          <w:u w:val="single"/>
        </w:rPr>
        <w:t>Employee Matters Agreement</w:t>
      </w:r>
      <w:r>
        <w:rPr>
          <w:color w:val="000000"/>
        </w:rPr>
        <w:t xml:space="preserve">” </w:t>
      </w:r>
      <w:r>
        <w:rPr>
          <w:rFonts w:ascii="Times New Roman;sans-serif" w:hAnsi="Times New Roman;sans-serif"/>
          <w:b w:val="false"/>
          <w:color w:val="000000"/>
          <w:sz w:val="24"/>
        </w:rPr>
        <w:t>and, collectively with the Transaction Agreement, the Working Capital Letter and the Transition Services Agreement, the “</w:t>
      </w:r>
      <w:r>
        <w:rPr>
          <w:rFonts w:ascii="Times New Roman;sans-serif" w:hAnsi="Times New Roman;sans-serif"/>
          <w:b w:val="false"/>
          <w:color w:val="000000"/>
          <w:sz w:val="24"/>
          <w:u w:val="single"/>
        </w:rPr>
        <w:t>Specified Documents</w:t>
      </w:r>
      <w:r>
        <w:rPr>
          <w:color w:val="000000"/>
        </w:rPr>
        <w:t>”</w:t>
      </w:r>
      <w:r>
        <w:rPr>
          <w:rFonts w:ascii="Times New Roman;sans-serif" w:hAnsi="Times New Roman;sans-serif"/>
          <w:b w:val="false"/>
          <w:color w:val="000000"/>
          <w:sz w:val="24"/>
        </w:rPr>
        <w:t>); and</w:t>
      </w:r>
    </w:p>
    <w:p>
      <w:pPr>
        <w:pStyle w:val="TextBody"/>
        <w:bidi w:val="0"/>
        <w:spacing w:lineRule="auto" w:line="288" w:before="2"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Parties desire to amend the Specified Documents with the terms set forth herein.</w:t>
      </w:r>
    </w:p>
    <w:p>
      <w:pPr>
        <w:pStyle w:val="TextBody"/>
        <w:bidi w:val="0"/>
        <w:spacing w:lineRule="auto" w:line="288" w:before="2"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representations, warranties, covenants and agreements contained in this Amendment and the Specified Documents, and subject to the conditions set forth herein and therein, the Parties hereby agree as follows:</w:t>
      </w:r>
    </w:p>
    <w:p>
      <w:pPr>
        <w:pStyle w:val="TextBody"/>
        <w:bidi w:val="0"/>
        <w:spacing w:lineRule="auto" w:line="288" w:before="2" w:after="240"/>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Capitalized Terms</w:t>
      </w:r>
      <w:r>
        <w:rPr>
          <w:rFonts w:ascii="Times New Roman;sans-serif" w:hAnsi="Times New Roman;sans-serif"/>
          <w:b w:val="false"/>
          <w:color w:val="000000"/>
          <w:sz w:val="24"/>
        </w:rPr>
        <w:t>. Capitalized terms which are used but not otherwise defined herein shall have the respective meanings ascribed to such terms in the Transaction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Amendments to the Working Capital Letter</w:t>
      </w:r>
      <w:r>
        <w:rPr>
          <w:rFonts w:ascii="Times New Roman;sans-serif" w:hAnsi="Times New Roman;sans-serif"/>
          <w:b w:val="false"/>
          <w:color w:val="000000"/>
          <w:sz w:val="24"/>
        </w:rPr>
        <w:t xml:space="preserve">. Notwithstanding </w:t>
      </w:r>
      <w:r>
        <w:rPr>
          <w:rFonts w:ascii="Times New Roman;sans-serif" w:hAnsi="Times New Roman;sans-serif"/>
          <w:b w:val="false"/>
          <w:color w:val="000000"/>
          <w:sz w:val="24"/>
          <w:u w:val="single"/>
        </w:rPr>
        <w:t>anything</w:t>
      </w:r>
      <w:r>
        <w:rPr>
          <w:color w:val="000000"/>
        </w:rPr>
        <w:t xml:space="preserve"> </w:t>
      </w:r>
      <w:r>
        <w:rPr>
          <w:rFonts w:ascii="Times New Roman;sans-serif" w:hAnsi="Times New Roman;sans-serif"/>
          <w:b w:val="false"/>
          <w:color w:val="000000"/>
          <w:sz w:val="24"/>
        </w:rPr>
        <w:t>to the contrary in the Working Capital Letter or the other Transaction Documents:</w:t>
      </w:r>
    </w:p>
    <w:p>
      <w:pPr>
        <w:pStyle w:val="TextBody"/>
        <w:bidi w:val="0"/>
        <w:spacing w:lineRule="auto" w:line="288" w:before="2" w:after="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(a)Effective as of April 10, 2024, for all purposes of the Working Capital Letter (but, for the avoidance of doubt, not for purposes of any other Transaction Documents) the definition of Working Capital Target shall be deemed amended such that the Working Capital Target is $0 (zero dollars), rather than $30,000,000 (thirty million dollars).</w:t>
      </w:r>
    </w:p>
    <w:p>
      <w:pPr>
        <w:pStyle w:val="TextBody"/>
        <w:bidi w:val="0"/>
        <w:spacing w:lineRule="auto" w:line="288" w:before="2" w:after="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(b)For the avoidance of doubt, effective upon, and as a result of, such amendment to the definition of Working Capital Target, (i) the Specified WC/Cash shall be $0 (zero dollars), rather than $30,000,000 (thirty million dollars) and (ii) the Parties shall have no further obligations under the Working Capital Letter.</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Reconciliations of Amounts Under the Transition Services Agreement</w:t>
      </w:r>
      <w:r>
        <w:rPr>
          <w:rFonts w:ascii="Times New Roman;sans-serif" w:hAnsi="Times New Roman;sans-serif"/>
          <w:b w:val="false"/>
          <w:color w:val="000000"/>
          <w:sz w:val="24"/>
        </w:rPr>
        <w:t xml:space="preserve">. Notwithstanding anything to the contrary in the Transition </w:t>
      </w:r>
      <w:r>
        <w:rPr>
          <w:rFonts w:ascii="Times New Roman;sans-serif" w:hAnsi="Times New Roman;sans-serif"/>
          <w:b w:val="false"/>
          <w:color w:val="000000"/>
          <w:sz w:val="24"/>
          <w:u w:val="single"/>
        </w:rPr>
        <w:t>Services</w:t>
      </w:r>
      <w:r>
        <w:rPr>
          <w:color w:val="000000"/>
        </w:rPr>
        <w:t xml:space="preserve"> </w:t>
      </w:r>
      <w:r>
        <w:rPr>
          <w:rFonts w:ascii="Times New Roman;sans-serif" w:hAnsi="Times New Roman;sans-serif"/>
          <w:b w:val="false"/>
          <w:color w:val="000000"/>
          <w:sz w:val="24"/>
        </w:rPr>
        <w:t>Agreement or the other Transaction Documents:</w:t>
      </w:r>
    </w:p>
    <w:p>
      <w:pPr>
        <w:pStyle w:val="TextBody"/>
        <w:bidi w:val="0"/>
        <w:spacing w:lineRule="auto" w:line="288" w:before="2" w:after="240"/>
        <w:ind w:left="0" w:right="0" w:hanging="360"/>
        <w:jc w:val="left"/>
        <w:rPr/>
      </w:pPr>
      <w:r>
        <w:rPr>
          <w:rFonts w:ascii="Times New Roman;sans-serif" w:hAnsi="Times New Roman;sans-serif"/>
          <w:b w:val="false"/>
          <w:color w:val="000000"/>
          <w:sz w:val="24"/>
        </w:rPr>
        <w:t xml:space="preserve">(a)Each Party acknowledges that, as of April 10, 2024, there was (i) an amount owed by Viatris and its Affiliates to Biocon and its Affiliates and (ii) an amount owed by Biocon and its Affiliates to Viatris and its Affiliates, in the case of each of </w:t>
      </w:r>
      <w:r>
        <w:rPr>
          <w:rFonts w:ascii="Times New Roman;sans-serif" w:hAnsi="Times New Roman;sans-serif"/>
          <w:b w:val="false"/>
          <w:color w:val="000000"/>
          <w:sz w:val="24"/>
          <w:u w:val="single"/>
        </w:rPr>
        <w:t>clauses (i) and (ii)</w:t>
      </w:r>
      <w:r>
        <w:rPr>
          <w:rFonts w:ascii="Times New Roman;sans-serif" w:hAnsi="Times New Roman;sans-serif"/>
          <w:b w:val="false"/>
          <w:color w:val="000000"/>
          <w:sz w:val="24"/>
        </w:rPr>
        <w:t>, under the Transition Services Agreement, the net amount of which was $45,000,000 (forty-five million dollars) owed by Viatris and its Affiliates to Biocon and its Affiliates (the “</w:t>
      </w:r>
      <w:r>
        <w:rPr>
          <w:rFonts w:ascii="Times New Roman;sans-serif" w:hAnsi="Times New Roman;sans-serif"/>
          <w:b w:val="false"/>
          <w:color w:val="000000"/>
          <w:sz w:val="24"/>
          <w:u w:val="single"/>
        </w:rPr>
        <w:t>Net Receivables Amount</w:t>
      </w:r>
      <w:r>
        <w:rPr>
          <w:color w:val="000000"/>
        </w:rPr>
        <w:t>”</w:t>
      </w:r>
      <w:r>
        <w:rPr>
          <w:rFonts w:ascii="Times New Roman;sans-serif" w:hAnsi="Times New Roman;sans-serif"/>
          <w:b w:val="false"/>
          <w:color w:val="000000"/>
          <w:sz w:val="24"/>
        </w:rPr>
        <w:t xml:space="preserve">). Each Party further acknowledges that, effective as of April 10, 2024, Viatris and its Affiliates shall be deemed to have remitted to Biocon and its Affiliates the Net Receivables Amount, of which Biocon hereby acknowledges and confirms receipt. </w:t>
      </w:r>
    </w:p>
    <w:p>
      <w:pPr>
        <w:pStyle w:val="TextBody"/>
        <w:bidi w:val="0"/>
        <w:spacing w:lineRule="auto" w:line="288" w:before="2" w:after="240"/>
        <w:ind w:left="0" w:right="0" w:hanging="360"/>
        <w:jc w:val="left"/>
        <w:rPr/>
      </w:pPr>
      <w:r>
        <w:rPr>
          <w:rFonts w:ascii="Times New Roman;sans-serif" w:hAnsi="Times New Roman;sans-serif"/>
          <w:b w:val="false"/>
          <w:color w:val="000000"/>
          <w:sz w:val="24"/>
        </w:rPr>
        <w:t xml:space="preserve">(b)The Parties agree that, subject to </w:t>
      </w:r>
      <w:r>
        <w:rPr>
          <w:rFonts w:ascii="Times New Roman;sans-serif" w:hAnsi="Times New Roman;sans-serif"/>
          <w:b w:val="false"/>
          <w:color w:val="000000"/>
          <w:sz w:val="24"/>
          <w:u w:val="single"/>
        </w:rPr>
        <w:t>Section 3(c)</w:t>
      </w:r>
      <w:r>
        <w:rPr>
          <w:color w:val="000000"/>
        </w:rPr>
        <w:t xml:space="preserve"> </w:t>
      </w:r>
      <w:r>
        <w:rPr>
          <w:rFonts w:ascii="Times New Roman;sans-serif" w:hAnsi="Times New Roman;sans-serif"/>
          <w:b w:val="false"/>
          <w:color w:val="000000"/>
          <w:sz w:val="24"/>
        </w:rPr>
        <w:t>hereof, as of the date of this Amendment, there are no outstanding amounts owed under the Transition Services Agreement by Viatris and its Affiliates to Biocon and its Affiliates or by Biocon and its Affiliates to Viatris and its Affiliates.</w:t>
      </w:r>
    </w:p>
    <w:p>
      <w:pPr>
        <w:pStyle w:val="TextBody"/>
        <w:bidi w:val="0"/>
        <w:spacing w:lineRule="auto" w:line="288" w:before="2" w:after="240"/>
        <w:ind w:left="0" w:right="0" w:hanging="360"/>
        <w:jc w:val="left"/>
        <w:rPr/>
      </w:pPr>
      <w:r>
        <w:rPr>
          <w:rFonts w:ascii="Times New Roman;sans-serif" w:hAnsi="Times New Roman;sans-serif"/>
          <w:b w:val="false"/>
          <w:color w:val="000000"/>
          <w:sz w:val="24"/>
        </w:rPr>
        <w:t>(c)The Parties further agree that (i) as of the date of this Amendment, there is an Allowance for Bad Debt balance (the “</w:t>
      </w:r>
      <w:r>
        <w:rPr>
          <w:rFonts w:ascii="Times New Roman;sans-serif" w:hAnsi="Times New Roman;sans-serif"/>
          <w:b w:val="false"/>
          <w:color w:val="000000"/>
          <w:sz w:val="24"/>
          <w:u w:val="single"/>
        </w:rPr>
        <w:t>Outstanding Bad Debt Allowance</w:t>
      </w:r>
      <w:r>
        <w:rPr>
          <w:color w:val="000000"/>
        </w:rPr>
        <w:t>”</w:t>
      </w:r>
      <w:r>
        <w:rPr>
          <w:rFonts w:ascii="Times New Roman;sans-serif" w:hAnsi="Times New Roman;sans-serif"/>
          <w:b w:val="false"/>
          <w:color w:val="000000"/>
          <w:sz w:val="24"/>
        </w:rPr>
        <w:t>) equal to $11,200,000 (eleven million two hundred thousand dollars) under the Transition Services Agreement and (ii) to the extent any portion of the Outstanding Bad Debt Allowance is collected, the first $8,000,000 (eight million dollars) shall be remitted to Biocon and its Affiliates and any remaining portion shall be retained by Viatris and its Affiliates.</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Amounts Owed with respect to Additional Services</w:t>
      </w:r>
      <w:r>
        <w:rPr>
          <w:rFonts w:ascii="Times New Roman;sans-serif" w:hAnsi="Times New Roman;sans-serif"/>
          <w:b w:val="false"/>
          <w:color w:val="000000"/>
          <w:sz w:val="24"/>
        </w:rPr>
        <w:t>. Each Party hereby acknowledges and agrees that Viatris and its Affiliates shall (i) provide the services set forth on Schedule 1 to Biosimilar Collaborations and Biosimilars Newco for the period set forth on Schedule 1 (the “</w:t>
      </w:r>
      <w:r>
        <w:rPr>
          <w:rFonts w:ascii="Times New Roman;sans-serif" w:hAnsi="Times New Roman;sans-serif"/>
          <w:b w:val="false"/>
          <w:color w:val="000000"/>
          <w:sz w:val="24"/>
          <w:u w:val="single"/>
        </w:rPr>
        <w:t>Additional Services</w:t>
      </w:r>
      <w:r>
        <w:rPr>
          <w:color w:val="000000"/>
        </w:rPr>
        <w:t>”</w:t>
      </w:r>
      <w:r>
        <w:rPr>
          <w:rFonts w:ascii="Times New Roman;sans-serif" w:hAnsi="Times New Roman;sans-serif"/>
          <w:b w:val="false"/>
          <w:color w:val="000000"/>
          <w:sz w:val="24"/>
        </w:rPr>
        <w:t xml:space="preserve">), which Additional Services shall be invoiced and paid in accordance with Section 3.03 of the Transition Services Agreement at the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applicable rates set forth on Schedule 1, and (ii) not provide any other services to Biocon or any of its Affiliates following November 30, 2024.</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Amendments to the Transaction Agreement</w:t>
      </w:r>
      <w:r>
        <w:rPr>
          <w:rFonts w:ascii="Times New Roman;sans-serif" w:hAnsi="Times New Roman;sans-serif"/>
          <w:b w:val="false"/>
          <w:color w:val="000000"/>
          <w:sz w:val="24"/>
        </w:rPr>
        <w:t xml:space="preserve">. Notwithstanding anything to the contrary in the Transaction Agreement or the other Transaction Documents: </w:t>
      </w:r>
    </w:p>
    <w:p>
      <w:pPr>
        <w:pStyle w:val="TextBody"/>
        <w:bidi w:val="0"/>
        <w:spacing w:lineRule="auto" w:line="288" w:before="2" w:after="240"/>
        <w:ind w:left="0" w:right="0" w:hanging="360"/>
        <w:jc w:val="left"/>
        <w:rPr/>
      </w:pPr>
      <w:r>
        <w:rPr>
          <w:rFonts w:ascii="Times New Roman;sans-serif" w:hAnsi="Times New Roman;sans-serif"/>
          <w:b w:val="false"/>
          <w:color w:val="000000"/>
          <w:sz w:val="24"/>
        </w:rPr>
        <w:t xml:space="preserve">(a)Effective as of April 10, 2024, Biocon and Biocon UK shall be deemed to have satisfied their obligations in full under Section 1.05(a) of the Transaction Agreement with respect to the Irish Future Cash Payment of $175,000,000 (one hundred seventy-five million dollars) through the release of $30,000,000 (thirty million dollars) by Viatris in accordance with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hereof, the deemed remittance of $45,000,000 (forty-five million dollars) to Biocon UK and its Affiliates in accordance with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hereof and the payment in cash by Biocon UK on April 10, 2024 of $100,000,000, of which Viatris hereby acknowledges and confirms receipt.</w:t>
      </w:r>
    </w:p>
    <w:p>
      <w:pPr>
        <w:pStyle w:val="TextBody"/>
        <w:bidi w:val="0"/>
        <w:spacing w:lineRule="auto" w:line="288" w:before="2" w:after="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(b)The ROW Future Cash Payment of $160,000,000 (one hundred sixty million dollars) due from Biosimilars Newco to the ROW Seller pursuant to Section 1.05(b) of the Transaction Agreement shall be paid as follows: </w:t>
      </w:r>
    </w:p>
    <w:p>
      <w:pPr>
        <w:pStyle w:val="TextBody"/>
        <w:bidi w:val="0"/>
        <w:spacing w:lineRule="auto" w:line="288" w:before="100" w:after="12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i.$100,000,000 (one hundred million dollars) in cash shall be paid to the ROW Seller by wire transfer of immediately available funds on or before December 24, 2024.</w:t>
      </w:r>
    </w:p>
    <w:p>
      <w:pPr>
        <w:pStyle w:val="TextBody"/>
        <w:bidi w:val="0"/>
        <w:spacing w:lineRule="auto" w:line="288" w:before="100" w:after="120"/>
        <w:ind w:left="0" w:right="0" w:hanging="360"/>
        <w:jc w:val="both"/>
        <w:rPr/>
      </w:pPr>
      <w:r>
        <w:rPr>
          <w:rFonts w:ascii="Times New Roman;sans-serif" w:hAnsi="Times New Roman;sans-serif"/>
          <w:b w:val="false"/>
          <w:color w:val="000000"/>
          <w:sz w:val="24"/>
        </w:rPr>
        <w:t>ii.With respect to the residual $60,000,000 (sixty million dollars), such amount shall be retained by Biocon Parties (and shall not be remitted to Viatris or its Affiliates). However, if the Biocon Parties pay or are obligated to pay, inclusive of cost shares or contingent payments such as profit shares, royalties or milestones, to Johnson &amp; Johnson or one of its Affiliates (collectively, “</w:t>
      </w:r>
      <w:r>
        <w:rPr>
          <w:rFonts w:ascii="Times New Roman;sans-serif" w:hAnsi="Times New Roman;sans-serif"/>
          <w:b w:val="false"/>
          <w:color w:val="000000"/>
          <w:sz w:val="24"/>
          <w:u w:val="single"/>
        </w:rPr>
        <w:t>JNJ</w:t>
      </w:r>
      <w:r>
        <w:rPr>
          <w:color w:val="000000"/>
        </w:rPr>
        <w:t>”</w:t>
      </w:r>
      <w:r>
        <w:rPr>
          <w:rFonts w:ascii="Times New Roman;sans-serif" w:hAnsi="Times New Roman;sans-serif"/>
          <w:b w:val="false"/>
          <w:color w:val="000000"/>
          <w:sz w:val="24"/>
        </w:rPr>
        <w:t>) an amount (such amount, the “</w:t>
      </w:r>
      <w:r>
        <w:rPr>
          <w:rFonts w:ascii="Times New Roman;sans-serif" w:hAnsi="Times New Roman;sans-serif"/>
          <w:b w:val="false"/>
          <w:color w:val="000000"/>
          <w:sz w:val="24"/>
          <w:u w:val="single"/>
        </w:rPr>
        <w:t>Aflibercept Amount</w:t>
      </w:r>
      <w:r>
        <w:rPr>
          <w:color w:val="000000"/>
        </w:rPr>
        <w:t>”</w:t>
      </w:r>
      <w:r>
        <w:rPr>
          <w:rFonts w:ascii="Times New Roman;sans-serif" w:hAnsi="Times New Roman;sans-serif"/>
          <w:b w:val="false"/>
          <w:color w:val="000000"/>
          <w:sz w:val="24"/>
        </w:rPr>
        <w:t>) less than $60,000,000 (sixty million dollars) in respect of the Compound aflibercept, then the amount (such amount, the “</w:t>
      </w:r>
      <w:r>
        <w:rPr>
          <w:rFonts w:ascii="Times New Roman;sans-serif" w:hAnsi="Times New Roman;sans-serif"/>
          <w:b w:val="false"/>
          <w:color w:val="000000"/>
          <w:sz w:val="24"/>
          <w:u w:val="single"/>
        </w:rPr>
        <w:t>Excess Amount</w:t>
      </w:r>
      <w:r>
        <w:rPr>
          <w:color w:val="000000"/>
        </w:rPr>
        <w:t>”</w:t>
      </w:r>
      <w:r>
        <w:rPr>
          <w:rFonts w:ascii="Times New Roman;sans-serif" w:hAnsi="Times New Roman;sans-serif"/>
          <w:b w:val="false"/>
          <w:color w:val="000000"/>
          <w:sz w:val="24"/>
        </w:rPr>
        <w:t xml:space="preserve">), if any, by which $60,000,000 (sixty million dollars) exceeds the Aflibercept Amount shall be paid to the ROW Seller in cash within two (2) Business Days after the determination of the Excess Amount. </w:t>
      </w:r>
    </w:p>
    <w:p>
      <w:pPr>
        <w:pStyle w:val="TextBody"/>
        <w:bidi w:val="0"/>
        <w:spacing w:lineRule="auto" w:line="288" w:before="100" w:after="120"/>
        <w:jc w:val="both"/>
        <w:rPr/>
      </w:pPr>
      <w:r>
        <w:rPr>
          <w:rFonts w:ascii="Times New Roman;sans-serif" w:hAnsi="Times New Roman;sans-serif"/>
          <w:b w:val="false"/>
          <w:color w:val="000000"/>
          <w:sz w:val="24"/>
        </w:rPr>
        <w:t xml:space="preserve">Without limiting the obligations of the Biocon Parties under </w:t>
      </w:r>
      <w:r>
        <w:rPr>
          <w:rFonts w:ascii="Times New Roman;sans-serif" w:hAnsi="Times New Roman;sans-serif"/>
          <w:b w:val="false"/>
          <w:color w:val="000000"/>
          <w:sz w:val="24"/>
          <w:u w:val="single"/>
        </w:rPr>
        <w:t>Section 5(b)(ii)</w:t>
      </w:r>
      <w:r>
        <w:rPr>
          <w:color w:val="000000"/>
        </w:rPr>
        <w:t xml:space="preserve"> </w:t>
      </w:r>
      <w:r>
        <w:rPr>
          <w:rFonts w:ascii="Times New Roman;sans-serif" w:hAnsi="Times New Roman;sans-serif"/>
          <w:b w:val="false"/>
          <w:color w:val="000000"/>
          <w:sz w:val="24"/>
        </w:rPr>
        <w:t xml:space="preserve">of this Amendment, the Biocon Parties shall be deemed to have satisfied their obligations in full under Section 1.05(b) of the Transaction Agreement with respect to the ROW Future Cash Payment upon payment to ROW Seller of $100,000,000 (one hundred million dollars) in cash pursuant to </w:t>
      </w:r>
      <w:r>
        <w:rPr>
          <w:rFonts w:ascii="Times New Roman;sans-serif" w:hAnsi="Times New Roman;sans-serif"/>
          <w:b w:val="false"/>
          <w:color w:val="000000"/>
          <w:sz w:val="24"/>
          <w:u w:val="single"/>
        </w:rPr>
        <w:t>Section 5(b)(i)</w:t>
      </w:r>
      <w:r>
        <w:rPr>
          <w:color w:val="000000"/>
        </w:rPr>
        <w:t xml:space="preserve"> </w:t>
      </w:r>
      <w:r>
        <w:rPr>
          <w:rFonts w:ascii="Times New Roman;sans-serif" w:hAnsi="Times New Roman;sans-serif"/>
          <w:b w:val="false"/>
          <w:color w:val="000000"/>
          <w:sz w:val="24"/>
        </w:rPr>
        <w:t>of this Amendment.</w:t>
      </w:r>
    </w:p>
    <w:p>
      <w:pPr>
        <w:pStyle w:val="TextBody"/>
        <w:bidi w:val="0"/>
        <w:spacing w:lineRule="auto" w:line="288" w:before="1" w:after="240"/>
        <w:ind w:left="0" w:right="0" w:hanging="360"/>
        <w:jc w:val="both"/>
        <w:rPr/>
      </w:pPr>
      <w:r>
        <w:rPr>
          <w:rFonts w:ascii="Times New Roman;sans-serif" w:hAnsi="Times New Roman;sans-serif"/>
          <w:b w:val="false"/>
          <w:color w:val="000000"/>
          <w:sz w:val="24"/>
        </w:rPr>
        <w:t>(c)Viatris acknowledges and agrees that the Affidavit of Confession of Judgement against Biocon UK and Biosimilars Newco dated December 19, 2023 and executed in connection with Omnibus Amendment No. 2 (the “</w:t>
      </w:r>
      <w:r>
        <w:rPr>
          <w:rFonts w:ascii="Times New Roman;sans-serif" w:hAnsi="Times New Roman;sans-serif"/>
          <w:b w:val="false"/>
          <w:color w:val="000000"/>
          <w:sz w:val="24"/>
          <w:u w:val="single"/>
        </w:rPr>
        <w:t>2023 COJ</w:t>
      </w:r>
      <w:r>
        <w:rPr>
          <w:color w:val="000000"/>
        </w:rPr>
        <w:t>”</w:t>
      </w:r>
      <w:r>
        <w:rPr>
          <w:rFonts w:ascii="Times New Roman;sans-serif" w:hAnsi="Times New Roman;sans-serif"/>
          <w:b w:val="false"/>
          <w:color w:val="000000"/>
          <w:sz w:val="24"/>
        </w:rPr>
        <w:t>) is hereby revoked and is null and void. Viatris agrees that it will not attempt to enforce the 2023 COJ against Biocon UK and Biosimilars Newco under any circumstances.</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Waiver of Claims</w:t>
      </w:r>
      <w:r>
        <w:rPr>
          <w:rFonts w:ascii="Times New Roman;sans-serif" w:hAnsi="Times New Roman;sans-serif"/>
          <w:b w:val="false"/>
          <w:color w:val="000000"/>
          <w:sz w:val="24"/>
        </w:rPr>
        <w:t xml:space="preserve">. </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(a)Each of the Biocon Parties for itself and for any respective Affiliate (a “</w:t>
      </w:r>
      <w:r>
        <w:rPr>
          <w:rFonts w:ascii="Times New Roman;sans-serif" w:hAnsi="Times New Roman;sans-serif"/>
          <w:b w:val="false"/>
          <w:color w:val="000000"/>
          <w:sz w:val="24"/>
          <w:u w:val="single"/>
        </w:rPr>
        <w:t>Biocon Affiliate</w:t>
      </w:r>
      <w:r>
        <w:rPr>
          <w:color w:val="000000"/>
        </w:rPr>
        <w:t>”</w:t>
      </w:r>
      <w:r>
        <w:rPr>
          <w:rFonts w:ascii="Times New Roman;sans-serif" w:hAnsi="Times New Roman;sans-serif"/>
          <w:b w:val="false"/>
          <w:color w:val="000000"/>
          <w:sz w:val="24"/>
        </w:rPr>
        <w:t>), on the one hand, and each of Viatris for itself and for any of its Affiliates (a “</w:t>
      </w:r>
      <w:r>
        <w:rPr>
          <w:rFonts w:ascii="Times New Roman;sans-serif" w:hAnsi="Times New Roman;sans-serif"/>
          <w:b w:val="false"/>
          <w:color w:val="000000"/>
          <w:sz w:val="24"/>
          <w:u w:val="single"/>
        </w:rPr>
        <w:t>Viatris Affiliate</w:t>
      </w:r>
      <w:r>
        <w:rPr>
          <w:color w:val="000000"/>
        </w:rPr>
        <w:t>”</w:t>
      </w:r>
      <w:r>
        <w:rPr>
          <w:rFonts w:ascii="Times New Roman;sans-serif" w:hAnsi="Times New Roman;sans-serif"/>
          <w:b w:val="false"/>
          <w:color w:val="000000"/>
          <w:sz w:val="24"/>
        </w:rPr>
        <w:t xml:space="preserve">), on the other hand, hereby </w:t>
      </w:r>
      <w:r>
        <w:rPr>
          <w:rFonts w:ascii="Times New Roman;sans-serif" w:hAnsi="Times New Roman;sans-serif"/>
          <w:b/>
          <w:color w:val="000000"/>
          <w:sz w:val="24"/>
        </w:rPr>
        <w:t>remises, waives, releases and forever discharges</w:t>
      </w:r>
      <w:r>
        <w:rPr>
          <w:color w:val="000000"/>
        </w:rPr>
        <w:t xml:space="preserve"> </w:t>
      </w:r>
      <w:r>
        <w:rPr>
          <w:rFonts w:ascii="Times New Roman;sans-serif" w:hAnsi="Times New Roman;sans-serif"/>
          <w:b w:val="false"/>
          <w:color w:val="000000"/>
          <w:sz w:val="24"/>
        </w:rPr>
        <w:t xml:space="preserve">Viatris and the Viatris Affiliates (in the case of the Biocon Parties and the Biocon Affiliates) and the Biocon Parties and the Biocon Affiliates (in the case of Viatris and the Viatris Affiliates) from any and all claims, debts, demands, allegations, actions, causes of action, counterclaims, claims of offset (including, but not limited to, any exercise of the right of offset under Section 8.09 of the Transaction Agreement or Section 5 the Working Capital Letter), suits, duties, dues, interest, sum and sums of money, bills, accounts, accountings, reckonings, bonds, special fees, indemnities, exonerations, covenants, contracts, controversies, agreements, promises, doings, omissions, trespasses, variances, damages, judgments, extents, costs, expenses, losses, exposures, executions, obligations and liabilities of any kind whatsoever, whether in law, equity, tort or otherwise and whether or not presently </w:t>
      </w:r>
      <w:r>
        <w:rPr>
          <w:rFonts w:ascii="Times New Roman;sans-serif" w:hAnsi="Times New Roman;sans-serif"/>
          <w:b/>
          <w:color w:val="000000"/>
          <w:sz w:val="24"/>
        </w:rPr>
        <w:t xml:space="preserve">known (and including, without limitation, any that are unknown or unsuspected) </w:t>
      </w:r>
      <w:r>
        <w:rPr>
          <w:rFonts w:ascii="Times New Roman;sans-serif" w:hAnsi="Times New Roman;sans-serif"/>
          <w:b w:val="false"/>
          <w:color w:val="000000"/>
          <w:sz w:val="24"/>
        </w:rPr>
        <w:t>that any Biocon Party or any Biocon Affiliate, on the one hand, or Viatris or any Viatris Affiliate, on the other hand, has or ever had, may have, could have or hereafter can, shall or may have (from the beginning of time to the date of this Amendment) against Viatris and the Viatris Affiliates (in the case of the Biocon Parties and the Biocon Affiliates) or the Biocon Parties and the Biocon Affiliates (in the case of Viatris and the Viatris Affiliates), based upon, consisting of, resulting from, in connection with, arising out of or related, directly or indirectly, to the Specified Documents on or prior to the date of this Amendment, including, but not limited to, any purported claim detailed in Biocon’s letter dated February 29, 2024 re: “Notice of Claims”, any claim related to customer rebates or adjustments, any claim that Viatris or its Affiliates were operating in the United Kingdom without required permits or authorizations, any claim that certain Inventory was not useable or saleable in the normal and ordinary course of business or fit for the purpose for which it was procured or manufactured, any claim related to the Transition Services Agreement, any claim related to the Compound aflibercept or any claim related to the Employee Matters Agreement.</w:t>
      </w:r>
    </w:p>
    <w:p>
      <w:pPr>
        <w:pStyle w:val="TextBody"/>
        <w:bidi w:val="0"/>
        <w:spacing w:lineRule="auto" w:line="288" w:before="0" w:after="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(b)Each of the Biocon Parties, on the one hand, and Viatris, on the other hand, hereby acknowledges familiarity with and understanding of Section 1542 of the California Civil Code, which section provides as follows: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jc w:val="left"/>
        <w:rPr/>
      </w:pPr>
      <w:r>
        <w:rPr>
          <w:rFonts w:ascii="Times New Roman;sans-serif" w:hAnsi="Times New Roman;sans-serif"/>
          <w:b w:val="false"/>
          <w:color w:val="000000"/>
          <w:sz w:val="24"/>
        </w:rPr>
        <w:t xml:space="preserve">With respect to </w:t>
      </w:r>
      <w:r>
        <w:rPr>
          <w:rFonts w:ascii="Times New Roman;sans-serif" w:hAnsi="Times New Roman;sans-serif"/>
          <w:b w:val="false"/>
          <w:color w:val="000000"/>
          <w:sz w:val="24"/>
          <w:u w:val="single"/>
        </w:rPr>
        <w:t>Section 6(a)</w:t>
      </w:r>
      <w:r>
        <w:rPr>
          <w:color w:val="000000"/>
        </w:rPr>
        <w:t xml:space="preserve"> </w:t>
      </w:r>
      <w:r>
        <w:rPr>
          <w:rFonts w:ascii="Times New Roman;sans-serif" w:hAnsi="Times New Roman;sans-serif"/>
          <w:b w:val="false"/>
          <w:color w:val="000000"/>
          <w:sz w:val="24"/>
        </w:rPr>
        <w:t xml:space="preserve">above, each of the Biocon Parties (on behalf of itself and any Biocon Affiliate), on the one hand, and Viatris (on behalf of itself and any Viatris Affiliate) hereby </w:t>
      </w:r>
      <w:r>
        <w:rPr>
          <w:rFonts w:ascii="Times New Roman;sans-serif" w:hAnsi="Times New Roman;sans-serif"/>
          <w:b/>
          <w:color w:val="000000"/>
          <w:sz w:val="24"/>
        </w:rPr>
        <w:t>waives and relinquishes</w:t>
      </w:r>
      <w:r>
        <w:rPr>
          <w:color w:val="000000"/>
        </w:rPr>
        <w:t xml:space="preserve"> </w:t>
      </w:r>
      <w:r>
        <w:rPr>
          <w:rFonts w:ascii="Times New Roman;sans-serif" w:hAnsi="Times New Roman;sans-serif"/>
          <w:b w:val="false"/>
          <w:color w:val="000000"/>
          <w:sz w:val="24"/>
        </w:rPr>
        <w:t xml:space="preserve">any rights or benefits that it has or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4"/>
        </w:rPr>
        <w:t xml:space="preserve">may have against Viatris and the Viatris Affiliates (in the case of the Biocon Parties and the Biocon Affiliates) and the Biocon Parties and the Biocon Affiliates (in the case of Viatris and the Viatris Affiliates) under Section 1542 of the California Civil Code (to the extent it may be applicable) or under any </w:t>
      </w:r>
      <w:r>
        <w:rPr>
          <w:rFonts w:ascii="Times New Roman;sans-serif" w:hAnsi="Times New Roman;sans-serif"/>
          <w:b/>
          <w:color w:val="000000"/>
          <w:sz w:val="24"/>
        </w:rPr>
        <w:t>similar provision of statutory or non-statutory law of California or of any other jurisdiction</w:t>
      </w:r>
      <w:r>
        <w:rPr>
          <w:color w:val="000000"/>
        </w:rPr>
        <w:t xml:space="preserve"> </w:t>
      </w:r>
      <w:r>
        <w:rPr>
          <w:rFonts w:ascii="Times New Roman;sans-serif" w:hAnsi="Times New Roman;sans-serif"/>
          <w:b w:val="false"/>
          <w:color w:val="000000"/>
          <w:sz w:val="24"/>
        </w:rPr>
        <w:t xml:space="preserve">to the fullest extent that such rights and benefits may lawfully be waived. Without limiting the generality of the foregoing, each of the Biocon Parties (on behalf of itself and any Biocon Affiliate), on the one hand, and Viatris (on behalf of itself and any Viatris Affiliate), on the other hand, </w:t>
      </w:r>
      <w:r>
        <w:rPr>
          <w:rFonts w:ascii="Times New Roman;sans-serif" w:hAnsi="Times New Roman;sans-serif"/>
          <w:b/>
          <w:color w:val="000000"/>
          <w:sz w:val="24"/>
        </w:rPr>
        <w:t>acknowledges</w:t>
      </w:r>
      <w:r>
        <w:rPr>
          <w:color w:val="000000"/>
        </w:rPr>
        <w:t xml:space="preserve"> </w:t>
      </w:r>
      <w:r>
        <w:rPr>
          <w:rFonts w:ascii="Times New Roman;sans-serif" w:hAnsi="Times New Roman;sans-serif"/>
          <w:b w:val="false"/>
          <w:color w:val="000000"/>
          <w:sz w:val="24"/>
        </w:rPr>
        <w:t xml:space="preserve">that it may hereafter discover claims or facts (whether or not now known to or suspected by any person) in addition to or different from those which are now known, suspected or believed to exist and each of the Biocon Parties (on behalf of itself and any Biocon Affiliate), on the one hand, and Viatris (on behalf of itself and any Viatris Affiliate), on the other hand, </w:t>
      </w:r>
      <w:r>
        <w:rPr>
          <w:rFonts w:ascii="Times New Roman;sans-serif" w:hAnsi="Times New Roman;sans-serif"/>
          <w:b/>
          <w:color w:val="000000"/>
          <w:sz w:val="24"/>
        </w:rPr>
        <w:t>agrees</w:t>
      </w:r>
      <w:r>
        <w:rPr>
          <w:color w:val="000000"/>
        </w:rPr>
        <w:t xml:space="preserve"> </w:t>
      </w:r>
      <w:r>
        <w:rPr>
          <w:rFonts w:ascii="Times New Roman;sans-serif" w:hAnsi="Times New Roman;sans-serif"/>
          <w:b w:val="false"/>
          <w:color w:val="000000"/>
          <w:sz w:val="24"/>
        </w:rPr>
        <w:t>that this Amendment and the release contained herein shall remain effective, and is intended to remain effective, in all respects notwithstanding any such discovery of different or additional facts or claims.</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 xml:space="preserve">(c)Each of the Biocon Parties hereby covenants and agrees that neither it nor any Biocon Affiliate, on the one hand, and Viatris hereby covenants and agrees that neither it nor any Viatris Affiliate, on the other hand, nor any person acting on behalf or at the direction of any of the foregoing, (i) will directly or indirectly bring, file, initiate or commence, or (except as may be required by any governmental authority or by legal process) participate or assist or cooperate in the prosecution of, any action, proceeding, suit, claim or complaint, or otherwise pursue any remedy before any court, governmental or private regulatory body, arbitrator or arbitration body, or any other office or tribunal, which is an action, proceeding, suit, claim, complaint or remedy that has been released (or is based upon a matter that has been released) pursuant to the releases set forth herein, or (ii) will initiate, prosecute or defend any action, proceeding, suit, claim or complaint in whole or in part on the grounds that any or all of the terms of this Amendment or the Transaction Documents were entered into pursuant to a fraudulent inducement or a misrepresentation or are for any reason illegal, invalid, not binding, unenforceable or against public policy. This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shall not prevent the bringing of an action to enforce the terms of this Amendment.</w:t>
      </w:r>
    </w:p>
    <w:p>
      <w:pPr>
        <w:pStyle w:val="TextBody"/>
        <w:bidi w:val="0"/>
        <w:spacing w:lineRule="auto" w:line="288" w:before="0" w:after="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(d)Wherever in this Amendment any of the Parties purports to waive, release, remise, discharge, acknowledge, relinquish, agree, covenant, represent, warrant or otherwise act as to any matter on behalf of any Affiliate who is not a direct signatory to this Amendment, such Affiliate shall be bound by such terms or provisions (and the applicable Party shall be deemed to have so acted on behalf of such Affiliate) to the maximum extent legally possible, and in any case all of the Parties shall be bound by such terms or provisions.</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 xml:space="preserve">(e)For the avoidance of doubt, this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will not modify, prejudice or otherwise affect (i) the exercise or performance of the rights or obligations of the Parties and their respective Affiliates under </w:t>
      </w:r>
      <w:r>
        <w:rPr>
          <w:rFonts w:ascii="Times New Roman;sans-serif" w:hAnsi="Times New Roman;sans-serif"/>
          <w:b w:val="false"/>
          <w:color w:val="000000"/>
          <w:sz w:val="24"/>
          <w:u w:val="single"/>
        </w:rPr>
        <w:t>Sections 3 and 4</w:t>
      </w:r>
      <w:r>
        <w:rPr>
          <w:color w:val="000000"/>
        </w:rPr>
        <w:t xml:space="preserve"> </w:t>
      </w:r>
      <w:r>
        <w:rPr>
          <w:rFonts w:ascii="Times New Roman;sans-serif" w:hAnsi="Times New Roman;sans-serif"/>
          <w:b w:val="false"/>
          <w:color w:val="000000"/>
          <w:sz w:val="24"/>
        </w:rPr>
        <w:t xml:space="preserve">of this Amendment or (ii) the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scope of the Assumed Liabilities or the Retained Liabilities, or the indemnification provisions relating to the Assumed Liabilities or the Retained Liabilities set forth in the Transaction Agreement.</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Effect of Amendment.</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 xml:space="preserve">(a)Notwithstanding anything to the contrary in this Amendment or the Transaction Documents, this Amendment will become effective only if, on or before 4:59 p.m., New York City time, on December 24, 2024, (i) Biocon provides to Viatris reasonable evidence of the payment of $100,000,000 (one hundred million dollars) in cash pursuant to </w:t>
      </w:r>
      <w:r>
        <w:rPr>
          <w:rFonts w:ascii="Times New Roman;sans-serif" w:hAnsi="Times New Roman;sans-serif"/>
          <w:b w:val="false"/>
          <w:color w:val="000000"/>
          <w:sz w:val="24"/>
          <w:u w:val="single"/>
        </w:rPr>
        <w:t>Section 5(b)(i)</w:t>
      </w:r>
      <w:r>
        <w:rPr>
          <w:color w:val="000000"/>
        </w:rPr>
        <w:t xml:space="preserve"> </w:t>
      </w:r>
      <w:r>
        <w:rPr>
          <w:rFonts w:ascii="Times New Roman;sans-serif" w:hAnsi="Times New Roman;sans-serif"/>
          <w:b w:val="false"/>
          <w:color w:val="000000"/>
          <w:sz w:val="24"/>
        </w:rPr>
        <w:t>of this Amendment and (ii) Viatris’ designated bank confirms to Viatris receipt of such $100,000,000 (one hundred million dollars) in cash in Viatris’ designated bank account. For the avoidance of doubt, if the conditions set forth in the immediately preceding sentence are not met, this Amendment shall be null and void and have no force or effect.</w:t>
      </w:r>
    </w:p>
    <w:p>
      <w:pPr>
        <w:pStyle w:val="TextBody"/>
        <w:bidi w:val="0"/>
        <w:spacing w:lineRule="auto" w:line="288" w:before="0" w:after="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(b)Each Party acknowledges and agrees that this Amendment constitutes an instrument in writing signed on behalf of each of the Parties in accordance with Section 9.05 of the Transaction Agreement, Section 7 of the Working Capital Letter, Section 7.06 of the Transition Services Agreement and Section 5.01 of the Employee Matters Agreement. For the avoidance of doubt, (i) references to the date of the Transaction Agreement and the Working Capital Letter, and references to the “date hereof”, “the date of this Agreement” or words of similar meaning in the Transaction Agreement and the Working Capital Letter, shall continue to refer to February 27, 2022, and (ii) references to the date of the Transition Services Agreement and the Employee Matters Agreement, and references to the “date hereof”, “the date of this Agreement” or words of similar meaning in the Transition Services Agreement and the Employee Matters Agreement, shall continue to refer to November 29, 2022.</w:t>
      </w:r>
    </w:p>
    <w:p>
      <w:pPr>
        <w:pStyle w:val="TextBody"/>
        <w:bidi w:val="0"/>
        <w:spacing w:lineRule="auto" w:line="288" w:before="0" w:after="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(c)Except as expressly set forth herein, this Amendment shall not amend, waive, affect or otherwise alter any term or provision of the Specified Documents or the other Transaction Documents and all terms and provisions of the Specified Documents and the other Transaction Documents shall continue in full force and effect.</w:t>
      </w:r>
    </w:p>
    <w:p>
      <w:pPr>
        <w:pStyle w:val="TextBody"/>
        <w:bidi w:val="0"/>
        <w:spacing w:lineRule="auto" w:line="288" w:before="0" w:after="2760"/>
        <w:ind w:left="0" w:right="0" w:hanging="36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 xml:space="preserve">. The provisions set forth in Sections 9.01, 9.04 through 9.15 and 9.18 of the Transaction Agreement shall apply to this Amendment,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and are hereby incorporated by reference as if fully set forth herein.</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WITNESS WHEREOF, the Parties have duly executed this Amendment, all as of the date first written above. </w:t>
      </w:r>
    </w:p>
    <w:tbl>
      <w:tblPr>
        <w:tblW w:w="8789" w:type="dxa"/>
        <w:jc w:val="left"/>
        <w:tblInd w:w="0" w:type="dxa"/>
        <w:tblLayout w:type="fixed"/>
        <w:tblCellMar>
          <w:top w:w="28" w:type="dxa"/>
          <w:left w:w="28" w:type="dxa"/>
          <w:bottom w:w="28" w:type="dxa"/>
          <w:right w:w="28" w:type="dxa"/>
        </w:tblCellMar>
      </w:tblPr>
      <w:tblGrid>
        <w:gridCol w:w="1552"/>
        <w:gridCol w:w="1364"/>
        <w:gridCol w:w="1373"/>
        <w:gridCol w:w="1318"/>
        <w:gridCol w:w="1318"/>
        <w:gridCol w:w="1864"/>
      </w:tblGrid>
      <w:tr>
        <w:trPr/>
        <w:tc>
          <w:tcPr>
            <w:tcW w:w="155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9" w:before="0" w:after="235"/>
              <w:jc w:val="left"/>
              <w:rPr/>
            </w:pPr>
            <w:r>
              <w:rPr>
                <w:rFonts w:ascii="Times New Roman;sans-serif" w:hAnsi="Times New Roman;sans-serif"/>
                <w:b w:val="false"/>
                <w:color w:val="000000"/>
                <w:sz w:val="24"/>
              </w:rPr>
              <w:t xml:space="preserve">For </w:t>
            </w:r>
            <w:r>
              <w:rPr>
                <w:rFonts w:ascii="Times New Roman;sans-serif" w:hAnsi="Times New Roman;sans-serif"/>
                <w:b/>
                <w:color w:val="000000"/>
                <w:sz w:val="24"/>
              </w:rPr>
              <w:t>VIATRIS INC.</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49" w:before="0" w:after="235"/>
              <w:jc w:val="left"/>
              <w:rPr/>
            </w:pPr>
            <w:r>
              <w:rPr>
                <w:rFonts w:ascii="Times New Roman;sans-serif" w:hAnsi="Times New Roman;sans-serif"/>
                <w:b w:val="false"/>
                <w:color w:val="000000"/>
                <w:sz w:val="24"/>
              </w:rPr>
              <w:t xml:space="preserve">For </w:t>
            </w:r>
            <w:r>
              <w:rPr>
                <w:rFonts w:ascii="Times New Roman;sans-serif" w:hAnsi="Times New Roman;sans-serif"/>
                <w:b/>
                <w:color w:val="000000"/>
                <w:sz w:val="24"/>
              </w:rPr>
              <w:t>BIOCON BIOLOGICS UK LIMITED</w:t>
            </w:r>
          </w:p>
        </w:tc>
      </w:tr>
      <w:tr>
        <w:trPr/>
        <w:tc>
          <w:tcPr>
            <w:tcW w:w="42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0" w:before="96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Brian Roman    </w:t>
            </w:r>
          </w:p>
          <w:p>
            <w:pPr>
              <w:pStyle w:val="TableContents"/>
              <w:bidi w:val="0"/>
              <w:spacing w:lineRule="atLeast" w:line="249"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Name: Brian Roman</w:t>
              <w:br/>
              <w:t>Title: Chief Legal Officer</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40" w:before="96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Shreehas P Tambe    </w:t>
            </w:r>
          </w:p>
          <w:p>
            <w:pPr>
              <w:pStyle w:val="TableContents"/>
              <w:bidi w:val="0"/>
              <w:spacing w:lineRule="atLeast" w:line="250"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Shreehas P Tambe </w:t>
              <w:br/>
              <w:t>Title: Authorized Signatory</w:t>
            </w:r>
          </w:p>
          <w:p>
            <w:pPr>
              <w:pStyle w:val="TableContents"/>
              <w:bidi w:val="0"/>
              <w:spacing w:lineRule="atLeast"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Kedar Narayan Upadhye    </w:t>
            </w:r>
          </w:p>
          <w:p>
            <w:pPr>
              <w:pStyle w:val="TableContents"/>
              <w:bidi w:val="0"/>
              <w:spacing w:lineRule="atLeast" w:line="24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Kedar Narayan Upadhye </w:t>
              <w:br/>
              <w:t>Title: Authorized Signatory</w:t>
            </w:r>
          </w:p>
        </w:tc>
      </w:tr>
      <w:tr>
        <w:trPr/>
        <w:tc>
          <w:tcPr>
            <w:tcW w:w="42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9" w:before="0" w:after="0"/>
              <w:jc w:val="left"/>
              <w:rPr/>
            </w:pPr>
            <w:r>
              <w:rPr>
                <w:rFonts w:ascii="Times New Roman;sans-serif" w:hAnsi="Times New Roman;sans-serif"/>
                <w:b w:val="false"/>
                <w:color w:val="000000"/>
                <w:sz w:val="24"/>
              </w:rPr>
              <w:t xml:space="preserve">For </w:t>
            </w:r>
            <w:r>
              <w:rPr>
                <w:rFonts w:ascii="Times New Roman;sans-serif" w:hAnsi="Times New Roman;sans-serif"/>
                <w:b/>
                <w:color w:val="000000"/>
                <w:sz w:val="24"/>
              </w:rPr>
              <w:t>BIOSIMILARS NEWCO LIMITED</w:t>
            </w:r>
          </w:p>
          <w:p>
            <w:pPr>
              <w:pStyle w:val="TableContents"/>
              <w:bidi w:val="0"/>
              <w:spacing w:lineRule="atLeast" w:line="240" w:before="96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Shreehas P Tambe        </w:t>
            </w:r>
          </w:p>
          <w:p>
            <w:pPr>
              <w:pStyle w:val="TableContents"/>
              <w:bidi w:val="0"/>
              <w:spacing w:lineRule="atLeast" w:line="24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Shreehas P Tambe </w:t>
              <w:br/>
              <w:t>Title: Authorized Signatory</w:t>
            </w:r>
          </w:p>
          <w:p>
            <w:pPr>
              <w:pStyle w:val="TableContents"/>
              <w:bidi w:val="0"/>
              <w:spacing w:lineRule="atLeast" w:line="240" w:before="96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Kedar Narayan Upadhye    </w:t>
            </w:r>
          </w:p>
          <w:p>
            <w:pPr>
              <w:pStyle w:val="TableContents"/>
              <w:bidi w:val="0"/>
              <w:spacing w:lineRule="atLeast" w:line="254" w:before="0" w:after="235"/>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Kedar Narayan Upadhye </w:t>
              <w:br/>
              <w:t>Title: Authorized Signatory</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49" w:before="0" w:after="0"/>
              <w:jc w:val="left"/>
              <w:rPr/>
            </w:pPr>
            <w:r>
              <w:rPr>
                <w:rFonts w:ascii="Times New Roman;sans-serif" w:hAnsi="Times New Roman;sans-serif"/>
                <w:b w:val="false"/>
                <w:color w:val="000000"/>
                <w:sz w:val="24"/>
              </w:rPr>
              <w:t xml:space="preserve">For </w:t>
            </w:r>
            <w:r>
              <w:rPr>
                <w:rFonts w:ascii="Times New Roman;sans-serif" w:hAnsi="Times New Roman;sans-serif"/>
                <w:b/>
                <w:color w:val="000000"/>
                <w:sz w:val="24"/>
              </w:rPr>
              <w:t>BIOSIMILAR COLLABORATIONS</w:t>
              <w:br/>
              <w:t>IRELAND LIMITED</w:t>
            </w:r>
          </w:p>
          <w:p>
            <w:pPr>
              <w:pStyle w:val="TableContents"/>
              <w:bidi w:val="0"/>
              <w:spacing w:lineRule="atLeast" w:line="240" w:before="96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Shreehas P Tambe        </w:t>
            </w:r>
          </w:p>
          <w:p>
            <w:pPr>
              <w:pStyle w:val="TableContents"/>
              <w:bidi w:val="0"/>
              <w:spacing w:lineRule="atLeast" w:line="25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Shreehas P Tambe </w:t>
              <w:br/>
              <w:t>Title: Authorized Signatory</w:t>
            </w:r>
          </w:p>
          <w:p>
            <w:pPr>
              <w:pStyle w:val="TableContents"/>
              <w:bidi w:val="0"/>
              <w:spacing w:lineRule="atLeast" w:line="240" w:before="96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Kedar Narayan Upadhye    </w:t>
            </w:r>
          </w:p>
          <w:p>
            <w:pPr>
              <w:pStyle w:val="TableContents"/>
              <w:bidi w:val="0"/>
              <w:spacing w:lineRule="atLeast" w:line="25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Kedar Narayan Upadhye </w:t>
              <w:br/>
              <w:t>Title: Authorized Signatory</w:t>
            </w:r>
          </w:p>
        </w:tc>
      </w:tr>
      <w:tr>
        <w:trPr/>
        <w:tc>
          <w:tcPr>
            <w:tcW w:w="4289" w:type="dxa"/>
            <w:gridSpan w:val="3"/>
            <w:tcBorders>
              <w:top w:val="single" w:sz="4" w:space="0" w:color="000000"/>
              <w:left w:val="single" w:sz="4"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49" w:before="0" w:after="0"/>
              <w:jc w:val="left"/>
              <w:rPr/>
            </w:pPr>
            <w:r>
              <w:rPr>
                <w:rFonts w:ascii="Times New Roman;sans-serif" w:hAnsi="Times New Roman;sans-serif"/>
                <w:b w:val="false"/>
                <w:color w:val="000000"/>
                <w:sz w:val="24"/>
              </w:rPr>
              <w:t xml:space="preserve">For </w:t>
            </w:r>
            <w:r>
              <w:rPr>
                <w:rFonts w:ascii="Times New Roman;sans-serif" w:hAnsi="Times New Roman;sans-serif"/>
                <w:b/>
                <w:color w:val="000000"/>
                <w:sz w:val="24"/>
              </w:rPr>
              <w:t>BIOCON BIOLOGICS LIMITED</w:t>
            </w:r>
          </w:p>
          <w:p>
            <w:pPr>
              <w:pStyle w:val="TableContents"/>
              <w:bidi w:val="0"/>
              <w:spacing w:lineRule="atLeast" w:line="240" w:before="96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Shreehas P Tambe        </w:t>
            </w:r>
          </w:p>
          <w:p>
            <w:pPr>
              <w:pStyle w:val="TableContents"/>
              <w:bidi w:val="0"/>
              <w:spacing w:lineRule="atLeast" w:line="24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Shreehas P Tambe</w:t>
            </w:r>
          </w:p>
          <w:p>
            <w:pPr>
              <w:pStyle w:val="TableContents"/>
              <w:bidi w:val="0"/>
              <w:spacing w:lineRule="atLeast" w:line="249"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CEO &amp; Managing Director</w:t>
            </w:r>
          </w:p>
          <w:p>
            <w:pPr>
              <w:pStyle w:val="TableContents"/>
              <w:bidi w:val="0"/>
              <w:spacing w:lineRule="atLeast" w:line="240" w:before="96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Kedar Narayan Upadhye    </w:t>
            </w:r>
          </w:p>
          <w:p>
            <w:pPr>
              <w:pStyle w:val="TableContents"/>
              <w:bidi w:val="0"/>
              <w:spacing w:lineRule="atLeast" w:line="24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Kedar Narayan Upadhye </w:t>
              <w:br/>
              <w:t>Title: Chief Financial Officer</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5"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WITNESS WHEREOF, the Parties have duly executed this Amendment, all as of the date first written above. </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VIATRIS INC. </w:t>
      </w:r>
    </w:p>
    <w:p>
      <w:pPr>
        <w:pStyle w:val="TextBody"/>
        <w:bidi w:val="0"/>
        <w:spacing w:lineRule="auto" w:line="288" w:before="181" w:after="240"/>
        <w:ind w:left="0" w:right="0" w:hanging="42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Brian Roman</w:t>
      </w:r>
      <w:r>
        <w:rPr>
          <w:rFonts w:ascii="Times New Roman;sans-serif" w:hAnsi="Times New Roman;sans-serif"/>
          <w:b w:val="false"/>
          <w:color w:val="000000"/>
          <w:sz w:val="24"/>
        </w:rPr>
        <w:t>________</w:t>
      </w:r>
    </w:p>
    <w:p>
      <w:pPr>
        <w:pStyle w:val="TextBody"/>
        <w:bidi w:val="0"/>
        <w:spacing w:lineRule="auto" w:line="288" w:before="181" w:after="240"/>
        <w:jc w:val="left"/>
        <w:rPr>
          <w:rFonts w:ascii="Times New Roman;sans-serif" w:hAnsi="Times New Roman;sans-serif"/>
          <w:b w:val="false"/>
          <w:color w:val="000000"/>
          <w:sz w:val="24"/>
        </w:rPr>
      </w:pPr>
      <w:r>
        <w:rPr>
          <w:rFonts w:ascii="Times New Roman;sans-serif" w:hAnsi="Times New Roman;sans-serif"/>
          <w:b w:val="false"/>
          <w:color w:val="000000"/>
          <w:sz w:val="24"/>
        </w:rPr>
        <w:t>Name: Brian S. Roman</w:t>
        <w:br/>
        <w:t>Title: Chief Legal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74"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to Omnibus Amendment No. 3</w:t>
                            </w:r>
                            <w:r>
                              <w:rPr>
                                <w:rFonts w:ascii="Times New Roman;sans-serif" w:hAnsi="Times New Roman;sans-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to Omnibus Amendment No. 3</w:t>
                      </w:r>
                      <w:r>
                        <w:rPr>
                          <w:rFonts w:ascii="Times New Roman;sans-serif" w:hAnsi="Times New Roman;sans-serif"/>
                          <w:b w:val="false"/>
                          <w:color w:val="000000"/>
                          <w:sz w:val="22"/>
                        </w:rPr>
                        <w: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1</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ADDITIONAL SERVICES</w:t>
      </w:r>
    </w:p>
    <w:p>
      <w:pPr>
        <w:pStyle w:val="TextBody"/>
        <w:bidi w:val="0"/>
        <w:spacing w:before="0" w:after="240"/>
        <w:jc w:val="left"/>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[Attached.]</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10.1(b)</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Amendment to the </w:t>
      </w:r>
    </w:p>
    <w:p>
      <w:pPr>
        <w:pStyle w:val="TextBody"/>
        <w:bidi w:val="0"/>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Viatris Inc. 2020 Stock Incentive Plan</w:t>
      </w:r>
    </w:p>
    <w:p>
      <w:pPr>
        <w:pStyle w:val="TextBody"/>
        <w:bidi w:val="0"/>
        <w:spacing w:before="0" w:after="160"/>
        <w:jc w:val="center"/>
        <w:rPr/>
      </w:pPr>
      <w:r>
        <w:rPr/>
      </w:r>
    </w:p>
    <w:p>
      <w:pPr>
        <w:pStyle w:val="TextBody"/>
        <w:bidi w:val="0"/>
        <w:spacing w:lineRule="auto" w:line="300" w:before="0" w:after="160"/>
        <w:jc w:val="left"/>
        <w:rPr/>
      </w:pPr>
      <w:r>
        <w:rPr>
          <w:rFonts w:ascii="Times New Roman;sans-serif" w:hAnsi="Times New Roman;sans-serif"/>
          <w:b/>
          <w:color w:val="000000"/>
          <w:sz w:val="22"/>
        </w:rPr>
        <w:t>WHEREAS</w:t>
      </w:r>
      <w:r>
        <w:rPr>
          <w:rFonts w:ascii="Times New Roman;sans-serif" w:hAnsi="Times New Roman;sans-serif"/>
          <w:b w:val="false"/>
          <w:color w:val="000000"/>
          <w:sz w:val="22"/>
        </w:rPr>
        <w:t>, the Company currently maintains and sponsors the 2020 Plan;</w:t>
      </w:r>
    </w:p>
    <w:p>
      <w:pPr>
        <w:pStyle w:val="TextBody"/>
        <w:bidi w:val="0"/>
        <w:spacing w:lineRule="auto" w:line="300" w:before="0" w:after="160"/>
        <w:jc w:val="left"/>
        <w:rPr/>
      </w:pPr>
      <w:r>
        <w:rPr>
          <w:rFonts w:ascii="Times New Roman;sans-serif" w:hAnsi="Times New Roman;sans-serif"/>
          <w:b/>
          <w:color w:val="000000"/>
          <w:sz w:val="22"/>
        </w:rPr>
        <w:t>WHEREAS</w:t>
      </w:r>
      <w:r>
        <w:rPr>
          <w:rFonts w:ascii="Times New Roman;sans-serif" w:hAnsi="Times New Roman;sans-serif"/>
          <w:b w:val="false"/>
          <w:color w:val="000000"/>
          <w:sz w:val="22"/>
        </w:rPr>
        <w:t>, Section 13(a) of the 2020 Plan provides that the Board may amend the Plan from time to time, except that shareholder approval shall be required for any amendment that would increase the maximum number of shares of common stock, par value $0.01 per share, of the Company (“Shares”) for which awards may be granted under the 2020 Plan; and</w:t>
      </w:r>
    </w:p>
    <w:p>
      <w:pPr>
        <w:pStyle w:val="TextBody"/>
        <w:bidi w:val="0"/>
        <w:spacing w:lineRule="auto" w:line="300" w:before="0" w:after="160"/>
        <w:jc w:val="left"/>
        <w:rPr/>
      </w:pPr>
      <w:r>
        <w:rPr>
          <w:rFonts w:ascii="Times New Roman;sans-serif" w:hAnsi="Times New Roman;sans-serif"/>
          <w:b/>
          <w:color w:val="000000"/>
          <w:sz w:val="22"/>
        </w:rPr>
        <w:t>WHEREAS</w:t>
      </w:r>
      <w:r>
        <w:rPr>
          <w:rFonts w:ascii="Times New Roman;sans-serif" w:hAnsi="Times New Roman;sans-serif"/>
          <w:b w:val="false"/>
          <w:color w:val="000000"/>
          <w:sz w:val="22"/>
        </w:rPr>
        <w:t>, the Board has determined it to be in its best interests to amend the 2020 Plan as set forth herein (this “Amendment”).</w:t>
      </w:r>
    </w:p>
    <w:p>
      <w:pPr>
        <w:pStyle w:val="TextBody"/>
        <w:bidi w:val="0"/>
        <w:spacing w:lineRule="auto" w:line="300" w:before="0" w:after="160"/>
        <w:jc w:val="left"/>
        <w:rPr/>
      </w:pPr>
      <w:r>
        <w:rPr>
          <w:rFonts w:ascii="Times New Roman;sans-serif" w:hAnsi="Times New Roman;sans-serif"/>
          <w:b/>
          <w:color w:val="000000"/>
          <w:sz w:val="22"/>
        </w:rPr>
        <w:t>NOW, THEREFORE</w:t>
      </w:r>
      <w:r>
        <w:rPr>
          <w:rFonts w:ascii="Times New Roman;sans-serif" w:hAnsi="Times New Roman;sans-serif"/>
          <w:b w:val="false"/>
          <w:color w:val="000000"/>
          <w:sz w:val="22"/>
        </w:rPr>
        <w:t>, the 2020 Plan shall be amended as follows:</w:t>
      </w:r>
    </w:p>
    <w:p>
      <w:pPr>
        <w:pStyle w:val="TextBody"/>
        <w:bidi w:val="0"/>
        <w:spacing w:lineRule="auto" w:line="30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1.Capitalized terms that are not defined in this Amendment shall have the meanings ascribed thereto in the 2020 Plan, except as otherwise provided herein. As used in this Amendment, the word “herein” refers to this Amendment as a whole and not to any particular article, section or other subdivision of this instrument.</w:t>
      </w:r>
    </w:p>
    <w:p>
      <w:pPr>
        <w:pStyle w:val="TextBody"/>
        <w:bidi w:val="0"/>
        <w:spacing w:before="0" w:after="0"/>
        <w:jc w:val="left"/>
        <w:rPr/>
      </w:pPr>
      <w:r>
        <w:rPr/>
      </w:r>
    </w:p>
    <w:p>
      <w:pPr>
        <w:pStyle w:val="TextBody"/>
        <w:bidi w:val="0"/>
        <w:spacing w:lineRule="auto" w:line="300" w:before="0" w:after="16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2.Effective upon approval by the shareholders of the Company at the Company’s Annual Meeting of Shareholders on December 6, 2024, Section 4(a) of the 2020 Plan shall be, and hereby is, amended to increase the Share Limit by forty-nine million (49,000,000) Shares. Therefore, a new sentence is hereby added to Section 4(a) immediately following the first sentence thereof to read as follows:        </w:t>
      </w:r>
    </w:p>
    <w:p>
      <w:pPr>
        <w:pStyle w:val="TextBody"/>
        <w:bidi w:val="0"/>
        <w:spacing w:lineRule="auto" w:line="300" w:before="0" w:after="160"/>
        <w:jc w:val="left"/>
        <w:rPr>
          <w:color w:val="000000"/>
        </w:rPr>
      </w:pPr>
      <w:r>
        <w:rPr>
          <w:color w:val="000000"/>
        </w:rPr>
        <w:t>“</w:t>
      </w:r>
      <w:r>
        <w:rPr>
          <w:rFonts w:ascii="Times New Roman;sans-serif" w:hAnsi="Times New Roman;sans-serif"/>
          <w:b w:val="false"/>
          <w:color w:val="000000"/>
          <w:sz w:val="22"/>
        </w:rPr>
        <w:t>In addition, effective as of December 6, 2024, subject to adjustment as provided in Section 4(c), the Share Limit shall be increased by an additional forty-nine million (49,000,000) Shares.”</w:t>
      </w:r>
    </w:p>
    <w:p>
      <w:pPr>
        <w:pStyle w:val="TextBody"/>
        <w:bidi w:val="0"/>
        <w:spacing w:lineRule="auto" w:line="30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3.Effective immediately, Section 4(b) of the 2020 Plan shall be, and hereby is, deleted in its entirety and replaced with the following:</w:t>
      </w:r>
    </w:p>
    <w:p>
      <w:pPr>
        <w:pStyle w:val="TextBody"/>
        <w:bidi w:val="0"/>
        <w:spacing w:before="0" w:after="0"/>
        <w:jc w:val="left"/>
        <w:rPr/>
      </w:pPr>
      <w:r>
        <w:rPr/>
      </w:r>
    </w:p>
    <w:p>
      <w:pPr>
        <w:pStyle w:val="TextBody"/>
        <w:bidi w:val="0"/>
        <w:spacing w:lineRule="auto" w:line="300" w:before="0" w:after="0"/>
        <w:jc w:val="left"/>
        <w:rPr>
          <w:color w:val="000000"/>
        </w:rPr>
      </w:pPr>
      <w:r>
        <w:rPr>
          <w:color w:val="000000"/>
        </w:rPr>
        <w:t>“</w:t>
      </w:r>
      <w:r>
        <w:rPr>
          <w:rFonts w:ascii="Times New Roman;sans-serif" w:hAnsi="Times New Roman;sans-serif"/>
          <w:b w:val="false"/>
          <w:color w:val="000000"/>
          <w:sz w:val="22"/>
        </w:rPr>
        <w:t>Notwithstanding any other provision of the 2020 Plan to the contrary, any Awards granted under the 2020 Plan (excluding, for this purpose, any (i) Substitute Awards, (ii) Shares delivered in lieu of fully vested cash-denominated Awards and (iii) Awards to Non-Employee Directors that vest on the earlier of the one year anniversary of the date of grant or the next annual meeting of stockholders which is at least 50 weeks after the immediately preceding year’s annual meeting) shall be granted subject to a minimum vesting period of at least twelve (12) months, such that no such Awards shall vest prior to the first anniversary of the applicable grant date (subject to any accelerated vesting otherwise permitted by the terms of the 2020 Plan); provided that the Committee may grant any such Awards without regard to the foregoing minimum vesting requirement with respect to a maximum of five (5) percent of the shares of Common Stock reserved for issuance under the 2020 Plan pursuant to Section 4(a) hereof (subject to adjustment under Section 4(c)).”</w:t>
      </w:r>
    </w:p>
    <w:p>
      <w:pPr>
        <w:pStyle w:val="TextBody"/>
        <w:bidi w:val="0"/>
        <w:spacing w:before="0" w:after="0"/>
        <w:jc w:val="left"/>
        <w:rPr/>
      </w:pPr>
      <w:r>
        <w:rPr/>
      </w:r>
    </w:p>
    <w:p>
      <w:pPr>
        <w:pStyle w:val="TextBody"/>
        <w:bidi w:val="0"/>
        <w:spacing w:lineRule="auto" w:line="300" w:before="0" w:after="16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4.Except as modified by this Amendment, all of the terms and conditions of the 2020 Plan shall remain valid and in full force and effect.</w:t>
      </w:r>
    </w:p>
    <w:p>
      <w:pPr>
        <w:pStyle w:val="TextBody"/>
        <w:bidi w:val="0"/>
        <w:spacing w:before="0" w:after="160"/>
        <w:jc w:val="lef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10.1(b)</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1.7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Company has executed this Amendment to the 2020 Plan as of December 6, 2024.</w:t>
      </w:r>
    </w:p>
    <w:p>
      <w:pPr>
        <w:pStyle w:val="TextBody"/>
        <w:bidi w:val="0"/>
        <w:spacing w:lineRule="auto" w:line="300" w:before="0" w:after="160"/>
        <w:jc w:val="left"/>
        <w:rPr>
          <w:color w:val="000000"/>
        </w:rPr>
      </w:pPr>
      <w:r>
        <w:rPr>
          <w:color w:val="000000"/>
        </w:rPr>
        <w:t>    </w: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VIATRIS INC.</w:t>
      </w:r>
    </w:p>
    <w:p>
      <w:pPr>
        <w:pStyle w:val="TextBody"/>
        <w:bidi w:val="0"/>
        <w:spacing w:before="0" w:after="160"/>
        <w:jc w:val="left"/>
        <w:rPr/>
      </w:pPr>
      <w:r>
        <w:rPr/>
      </w:r>
    </w:p>
    <w:p>
      <w:pPr>
        <w:pStyle w:val="TextBody"/>
        <w:bidi w:val="0"/>
        <w:spacing w:lineRule="auto" w:line="300" w:before="0" w:after="16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Andrew Enrietti</w:t>
      </w:r>
      <w:r>
        <w:rPr>
          <w:color w:val="000000"/>
        </w:rPr>
        <w:t>         </w: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Andrew Enrietti </w: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People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Calibri;sans-serif" w:hAnsi="Calibri;sans-serif"/>
          <w:b/>
          <w:color w:val="000000"/>
          <w:sz w:val="22"/>
        </w:rPr>
      </w:pPr>
      <w:r>
        <w:rPr>
          <w:rFonts w:ascii="Calibri;sans-serif" w:hAnsi="Calibri;sans-serif"/>
          <w:b/>
          <w:color w:val="000000"/>
          <w:sz w:val="22"/>
        </w:rPr>
        <w:t>Exhibit 19</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6.9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center"/>
        <w:rPr>
          <w:rFonts w:ascii="Calibri;sans-serif" w:hAnsi="Calibri;sans-serif"/>
          <w:b/>
          <w:color w:val="000000"/>
          <w:sz w:val="22"/>
          <w:u w:val="single"/>
        </w:rPr>
      </w:pPr>
      <w:r>
        <w:rPr>
          <w:rFonts w:ascii="Calibri;sans-serif" w:hAnsi="Calibri;sans-serif"/>
          <w:b/>
          <w:color w:val="000000"/>
          <w:sz w:val="22"/>
          <w:u w:val="single"/>
        </w:rPr>
        <w:t xml:space="preserve">Viatris Inc. </w:t>
      </w:r>
    </w:p>
    <w:p>
      <w:pPr>
        <w:pStyle w:val="TextBody"/>
        <w:bidi w:val="0"/>
        <w:spacing w:lineRule="auto" w:line="300" w:before="0" w:after="160"/>
        <w:jc w:val="center"/>
        <w:rPr>
          <w:rFonts w:ascii="Calibri;sans-serif" w:hAnsi="Calibri;sans-serif"/>
          <w:b/>
          <w:color w:val="000000"/>
          <w:sz w:val="22"/>
          <w:u w:val="single"/>
        </w:rPr>
      </w:pPr>
      <w:r>
        <w:rPr>
          <w:rFonts w:ascii="Calibri;sans-serif" w:hAnsi="Calibri;sans-serif"/>
          <w:b/>
          <w:color w:val="000000"/>
          <w:sz w:val="22"/>
          <w:u w:val="single"/>
        </w:rPr>
        <w:t>Global Insider Trading Policy</w:t>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APPLICABILITY</w:t>
      </w:r>
    </w:p>
    <w:p>
      <w:pPr>
        <w:pStyle w:val="TextBody"/>
        <w:bidi w:val="0"/>
        <w:spacing w:lineRule="auto" w:line="256" w:before="0" w:after="0"/>
        <w:jc w:val="left"/>
        <w:rPr>
          <w:rFonts w:ascii="Calibri;sans-serif" w:hAnsi="Calibri;sans-serif"/>
          <w:b w:val="false"/>
          <w:color w:val="000000"/>
          <w:sz w:val="24"/>
        </w:rPr>
      </w:pPr>
      <w:r>
        <w:rPr>
          <w:rFonts w:ascii="Calibri;sans-serif" w:hAnsi="Calibri;sans-serif"/>
          <w:b w:val="false"/>
          <w:color w:val="000000"/>
          <w:sz w:val="24"/>
        </w:rPr>
        <w:t>This Global Insider Trading Policy (the “Policy”) applies globally to Viatris Inc. and all of its subsidiaries and Affiliates around the world (collectively the “Company”), all of the Company’s employees, Officers, members of the Company’s Board of Directors (“Directors”), and consultants, contractors and agents acting on behalf of the Company (collectively “Company Personnel”), as well as Family Members and Controlled Entities of Company Personnel.</w:t>
      </w:r>
    </w:p>
    <w:p>
      <w:pPr>
        <w:pStyle w:val="TextBody"/>
        <w:bidi w:val="0"/>
        <w:spacing w:before="0" w:after="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PURPOSE</w:t>
      </w:r>
    </w:p>
    <w:p>
      <w:pPr>
        <w:pStyle w:val="TextBody"/>
        <w:bidi w:val="0"/>
        <w:spacing w:lineRule="auto" w:line="256" w:before="0" w:after="0"/>
        <w:jc w:val="left"/>
        <w:rPr>
          <w:rFonts w:ascii="Calibri;sans-serif" w:hAnsi="Calibri;sans-serif"/>
          <w:b w:val="false"/>
          <w:color w:val="000000"/>
          <w:sz w:val="24"/>
        </w:rPr>
      </w:pPr>
      <w:r>
        <w:rPr>
          <w:rFonts w:ascii="Calibri;sans-serif" w:hAnsi="Calibri;sans-serif"/>
          <w:b w:val="false"/>
          <w:color w:val="000000"/>
          <w:sz w:val="24"/>
        </w:rPr>
        <w:t>This Policy prohibits Company Personnel from trading in Company Securities when aware or in possession of Material Information about the Company that is “nonpublic,” or not yet made widely available to the investing public in a broad, non-exclusionary manner.</w: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This Policy also prohibits certain Company Personnel, as designated from time to time by the Chief Executive Officer or by the Securities Compliance Committee, as defined below, from trading in Company Securities during certain specific periods (“Blackout Periods”).</w:t>
      </w:r>
    </w:p>
    <w:p>
      <w:pPr>
        <w:pStyle w:val="TextBody"/>
        <w:bidi w:val="0"/>
        <w:spacing w:before="0" w:after="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KEY TERMS</w:t>
      </w:r>
    </w:p>
    <w:tbl>
      <w:tblPr>
        <w:tblW w:w="10205" w:type="dxa"/>
        <w:jc w:val="left"/>
        <w:tblInd w:w="0" w:type="dxa"/>
        <w:tblLayout w:type="fixed"/>
        <w:tblCellMar>
          <w:top w:w="28" w:type="dxa"/>
          <w:left w:w="28" w:type="dxa"/>
          <w:bottom w:w="28" w:type="dxa"/>
          <w:right w:w="28" w:type="dxa"/>
        </w:tblCellMar>
      </w:tblPr>
      <w:tblGrid>
        <w:gridCol w:w="465"/>
        <w:gridCol w:w="353"/>
        <w:gridCol w:w="361"/>
        <w:gridCol w:w="2692"/>
        <w:gridCol w:w="2615"/>
        <w:gridCol w:w="3719"/>
      </w:tblGrid>
      <w:tr>
        <w:trPr/>
        <w:tc>
          <w:tcPr>
            <w:tcW w:w="4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19"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op w:val="single" w:sz="4" w:space="0" w:color="000000"/>
              <w:left w:val="single" w:sz="4" w:space="0" w:color="000000"/>
            </w:tcBorders>
            <w:tcMar>
              <w:top w:w="30" w:type="dxa"/>
              <w:left w:w="7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2"/>
              </w:rPr>
            </w:pPr>
            <w:r>
              <w:rPr>
                <w:rFonts w:ascii="Calibri;sans-serif" w:hAnsi="Calibri;sans-serif"/>
                <w:b/>
                <w:color w:val="000000"/>
                <w:sz w:val="22"/>
              </w:rPr>
              <w:t>Term</w:t>
            </w:r>
          </w:p>
        </w:tc>
        <w:tc>
          <w:tcPr>
            <w:tcW w:w="9026" w:type="dxa"/>
            <w:gridSpan w:val="3"/>
            <w:tcBorders>
              <w:top w:val="single" w:sz="4" w:space="0" w:color="000000"/>
              <w:left w:val="single" w:sz="4" w:space="0" w:color="000000"/>
              <w:right w:val="single" w:sz="4" w:space="0" w:color="000000"/>
            </w:tcBorders>
            <w:tcMar>
              <w:top w:w="30" w:type="dxa"/>
              <w:left w:w="67" w:type="dxa"/>
              <w:bottom w:w="0" w:type="dxa"/>
            </w:tcMar>
            <w:vAlign w:val="center"/>
          </w:tcPr>
          <w:p>
            <w:pPr>
              <w:pStyle w:val="TableContents"/>
              <w:bidi w:val="0"/>
              <w:spacing w:lineRule="auto" w:line="240" w:before="0" w:after="283"/>
              <w:jc w:val="left"/>
              <w:rPr>
                <w:rFonts w:ascii="Calibri;sans-serif" w:hAnsi="Calibri;sans-serif"/>
                <w:b/>
                <w:color w:val="000000"/>
                <w:sz w:val="22"/>
              </w:rPr>
            </w:pPr>
            <w:r>
              <w:rPr>
                <w:rFonts w:ascii="Calibri;sans-serif" w:hAnsi="Calibri;sans-serif"/>
                <w:b/>
                <w:color w:val="000000"/>
                <w:sz w:val="22"/>
              </w:rPr>
              <w:t>Definition</w:t>
            </w:r>
          </w:p>
        </w:tc>
      </w:tr>
      <w:tr>
        <w:trPr/>
        <w:tc>
          <w:tcPr>
            <w:tcW w:w="1179" w:type="dxa"/>
            <w:gridSpan w:val="3"/>
            <w:tcBorders>
              <w:top w:val="single" w:sz="4" w:space="0" w:color="000000"/>
              <w:left w:val="single" w:sz="4" w:space="0" w:color="000000"/>
            </w:tcBorders>
            <w:tcMar>
              <w:top w:w="30" w:type="dxa"/>
              <w:left w:w="7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Affiliate</w:t>
            </w:r>
          </w:p>
        </w:tc>
        <w:tc>
          <w:tcPr>
            <w:tcW w:w="90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left"/>
              <w:rPr>
                <w:rFonts w:ascii="Calibri;sans-serif" w:hAnsi="Calibri;sans-serif"/>
                <w:b w:val="false"/>
                <w:color w:val="000000"/>
                <w:sz w:val="22"/>
              </w:rPr>
            </w:pPr>
            <w:r>
              <w:rPr>
                <w:rFonts w:ascii="Calibri;sans-serif" w:hAnsi="Calibri;sans-serif"/>
                <w:b w:val="false"/>
                <w:color w:val="000000"/>
                <w:sz w:val="22"/>
              </w:rPr>
              <w:t>Any corporation, partnership, company, joint venture, or other legal entity which Viatris Inc. controls or of which Viatris Inc. directly or indirectly owns more than fifty percent (50%) of its outstanding equity interests shall be considered an “Affiliate” for purposes of this Policy.</w:t>
            </w:r>
          </w:p>
        </w:tc>
      </w:tr>
      <w:tr>
        <w:trPr/>
        <w:tc>
          <w:tcPr>
            <w:tcW w:w="1179" w:type="dxa"/>
            <w:gridSpan w:val="3"/>
            <w:tcBorders>
              <w:top w:val="single" w:sz="4" w:space="0" w:color="000000"/>
              <w:left w:val="single" w:sz="4" w:space="0" w:color="000000"/>
            </w:tcBorders>
            <w:tcMar>
              <w:top w:w="30" w:type="dxa"/>
              <w:left w:w="7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Company Securities</w:t>
            </w:r>
          </w:p>
        </w:tc>
        <w:tc>
          <w:tcPr>
            <w:tcW w:w="90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All securities that the Company has issued, including common stock and options to purchase common stock, and any other type of securities that the Company may issue, including but not limited to, preferred shares, notes, debentures, and warrants as well as any derivative financial instruments pertaining to the Company’s securities, whether or not issued by the Company, such as options and forward contracts. Company Securities include any such securities issued by Viatris Inc. or any parent, subsidiary, or subsidiary of any parent of Viatris Inc. Please refer any questions about this definition to the Chief Legal Officer.</w:t>
            </w:r>
          </w:p>
        </w:tc>
      </w:tr>
      <w:tr>
        <w:trPr/>
        <w:tc>
          <w:tcPr>
            <w:tcW w:w="1179" w:type="dxa"/>
            <w:gridSpan w:val="3"/>
            <w:tcBorders>
              <w:top w:val="single" w:sz="4" w:space="0" w:color="000000"/>
              <w:left w:val="single" w:sz="4" w:space="0" w:color="000000"/>
            </w:tcBorders>
            <w:tcMar>
              <w:top w:w="30" w:type="dxa"/>
              <w:left w:w="7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Controlled Entities</w:t>
            </w:r>
          </w:p>
        </w:tc>
        <w:tc>
          <w:tcPr>
            <w:tcW w:w="90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both"/>
              <w:rPr>
                <w:rFonts w:ascii="Calibri;sans-serif" w:hAnsi="Calibri;sans-serif"/>
                <w:b w:val="false"/>
                <w:color w:val="000000"/>
                <w:sz w:val="22"/>
              </w:rPr>
            </w:pPr>
            <w:r>
              <w:rPr>
                <w:rFonts w:ascii="Calibri;sans-serif" w:hAnsi="Calibri;sans-serif"/>
                <w:b w:val="false"/>
                <w:color w:val="000000"/>
                <w:sz w:val="22"/>
              </w:rPr>
              <w:t>Any entities influenced or controlled by Company Personnel or Family Members, including corporations, partnerships, trusts, and any entity established as, or part of, an investment club.</w:t>
            </w:r>
          </w:p>
        </w:tc>
      </w:tr>
      <w:tr>
        <w:trPr/>
        <w:tc>
          <w:tcPr>
            <w:tcW w:w="1179" w:type="dxa"/>
            <w:gridSpan w:val="3"/>
            <w:tcBorders>
              <w:top w:val="single" w:sz="4" w:space="0" w:color="000000"/>
              <w:left w:val="single" w:sz="4" w:space="0" w:color="000000"/>
              <w:bottom w:val="single" w:sz="4" w:space="0" w:color="000000"/>
            </w:tcBorders>
            <w:tcMar>
              <w:top w:w="30" w:type="dxa"/>
              <w:left w:w="7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Exchange Act</w:t>
            </w:r>
          </w:p>
        </w:tc>
        <w:tc>
          <w:tcPr>
            <w:tcW w:w="902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00" w:after="283"/>
              <w:jc w:val="left"/>
              <w:rPr>
                <w:rFonts w:ascii="Calibri;sans-serif" w:hAnsi="Calibri;sans-serif"/>
                <w:b w:val="false"/>
                <w:color w:val="000000"/>
                <w:sz w:val="22"/>
              </w:rPr>
            </w:pPr>
            <w:r>
              <w:rPr>
                <w:rFonts w:ascii="Calibri;sans-serif" w:hAnsi="Calibri;sans-serif"/>
                <w:b w:val="false"/>
                <w:color w:val="000000"/>
                <w:sz w:val="22"/>
              </w:rPr>
              <w:t>The Securities Exchange Act of 1934, as amended.</w:t>
            </w:r>
          </w:p>
        </w:tc>
      </w:tr>
    </w:tbl>
    <w:p>
      <w:pPr>
        <w:pStyle w:val="TextBody"/>
        <w:bidi w:val="0"/>
        <w:spacing w:lineRule="auto" w:line="288" w:before="0" w:after="100"/>
        <w:jc w:val="right"/>
        <w:rPr>
          <w:rFonts w:ascii="Open Sans;sans-serif" w:hAnsi="Open Sans;sans-serif"/>
          <w:b w:val="false"/>
          <w:color w:val="FFFFFF"/>
          <w:sz w:val="20"/>
        </w:rPr>
      </w:pPr>
      <w:r>
        <w:rPr>
          <w:rFonts w:ascii="Open Sans;sans-serif" w:hAnsi="Open Sans;sans-serif"/>
          <w:b w:val="false"/>
          <w:color w:val="FFFFFF"/>
          <w:sz w:val="20"/>
        </w:rPr>
        <w:t xml:space="preserve">Exhibit </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840740"/>
                <wp:effectExtent l="0" t="0" r="0" b="0"/>
                <wp:wrapNone/>
                <wp:docPr id="178" name="Frame174"/>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444.4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right"/>
        <w:rPr/>
      </w:pPr>
      <w:r>
        <w:rPr/>
      </w:r>
    </w:p>
    <w:tbl>
      <w:tblPr>
        <w:tblW w:w="10205" w:type="dxa"/>
        <w:jc w:val="left"/>
        <w:tblInd w:w="0" w:type="dxa"/>
        <w:tblLayout w:type="fixed"/>
        <w:tblCellMar>
          <w:top w:w="28" w:type="dxa"/>
          <w:left w:w="28" w:type="dxa"/>
          <w:bottom w:w="28" w:type="dxa"/>
          <w:right w:w="28" w:type="dxa"/>
        </w:tblCellMar>
      </w:tblPr>
      <w:tblGrid>
        <w:gridCol w:w="615"/>
        <w:gridCol w:w="353"/>
        <w:gridCol w:w="355"/>
        <w:gridCol w:w="2748"/>
        <w:gridCol w:w="2536"/>
        <w:gridCol w:w="3598"/>
      </w:tblGrid>
      <w:tr>
        <w:trPr/>
        <w:tc>
          <w:tcPr>
            <w:tcW w:w="61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8"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Family Members</w:t>
            </w:r>
          </w:p>
        </w:tc>
        <w:tc>
          <w:tcPr>
            <w:tcW w:w="888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Family members (including a spouse and children, children away at college, stepchildren, grandchildren, parents, stepparents, grandparents, siblings, and in-laws), who reside with Company Personnel, any family members who do not live in the household of Company Personnel but whose transactions in Company Securities are directed by Company Personnel or are subject to the influence or control of Company Personnel (such as parents or children who consult with Company Personnel prior to making a trade in Company Securities), and any other person who lives with or is supported by Company Personnel, including any domestic employees.</w:t>
            </w:r>
          </w:p>
        </w:tc>
      </w:tr>
      <w:tr>
        <w:trPr/>
        <w:tc>
          <w:tcPr>
            <w:tcW w:w="13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88" w:before="1" w:after="283"/>
              <w:jc w:val="left"/>
              <w:rPr>
                <w:rFonts w:ascii="Calibri;sans-serif" w:hAnsi="Calibri;sans-serif"/>
                <w:b w:val="false"/>
                <w:color w:val="000000"/>
                <w:sz w:val="22"/>
              </w:rPr>
            </w:pPr>
            <w:r>
              <w:rPr>
                <w:rFonts w:ascii="Calibri;sans-serif" w:hAnsi="Calibri;sans-serif"/>
                <w:b w:val="false"/>
                <w:color w:val="000000"/>
                <w:sz w:val="22"/>
              </w:rPr>
              <w:t>Material Information</w:t>
            </w:r>
          </w:p>
        </w:tc>
        <w:tc>
          <w:tcPr>
            <w:tcW w:w="888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left"/>
              <w:rPr>
                <w:rFonts w:ascii="Calibri;sans-serif" w:hAnsi="Calibri;sans-serif"/>
                <w:b w:val="false"/>
                <w:color w:val="000000"/>
                <w:sz w:val="22"/>
              </w:rPr>
            </w:pPr>
            <w:r>
              <w:rPr>
                <w:rFonts w:ascii="Calibri;sans-serif" w:hAnsi="Calibri;sans-serif"/>
                <w:b w:val="false"/>
                <w:color w:val="000000"/>
                <w:sz w:val="22"/>
              </w:rPr>
              <w:t>Information about a company that a reasonable investor would be substantially likely to consider to be important in deciding whether or not to buy, sell or retain securities. Any information, including event specific information, that could be expected to affect the price of any Company Securities (whether it relates directly or indirectly to the Company or to trading in Company Securities), whether it is positive or negative, should be considered material. Examples of information which may be considered “material” include, but are not limited to: projections of future earnings or losses, or other earnings guidance; merger, acquisition or divestiture discussions; the signing of a major new material contract or the loss of a major material existing contract; a planned securities offering; management changes; material litigation or regulatory proceedings or significant developments related thereto; bankruptcy proceedings; a cybersecurity breach or incident significantly impacting the Company’s information technology systems; or significant developments related to research and development, clinical trials, or new product opportunities. This list is not exhaustive, and there is no bright-line standard for assessing materiality; rather, it is based on an assessment of all of the facts and circumstances at a particular time. Please refer any questions about whether information concerning the Company is “material” and/or “nonpublic” to the Global General Counsel.</w:t>
            </w:r>
          </w:p>
        </w:tc>
      </w:tr>
      <w:tr>
        <w:trPr/>
        <w:tc>
          <w:tcPr>
            <w:tcW w:w="1323" w:type="dxa"/>
            <w:gridSpan w:val="3"/>
            <w:tcBorders>
              <w:top w:val="single" w:sz="4" w:space="0" w:color="000000"/>
              <w:left w:val="single" w:sz="4" w:space="0" w:color="000000"/>
            </w:tcBorders>
            <w:tcMar>
              <w:top w:w="30" w:type="dxa"/>
              <w:left w:w="7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Officers</w:t>
            </w:r>
          </w:p>
        </w:tc>
        <w:tc>
          <w:tcPr>
            <w:tcW w:w="888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left"/>
              <w:rPr>
                <w:rFonts w:ascii="Calibri;sans-serif" w:hAnsi="Calibri;sans-serif"/>
                <w:b w:val="false"/>
                <w:color w:val="000000"/>
                <w:sz w:val="22"/>
              </w:rPr>
            </w:pPr>
            <w:r>
              <w:rPr>
                <w:rFonts w:ascii="Calibri;sans-serif" w:hAnsi="Calibri;sans-serif"/>
                <w:b w:val="false"/>
                <w:color w:val="000000"/>
                <w:sz w:val="22"/>
              </w:rPr>
              <w:t>Any “officer”, as defined in Rule 16a-1(f) promulgated under the Exchange Act , of the Company.</w:t>
            </w:r>
          </w:p>
        </w:tc>
      </w:tr>
      <w:tr>
        <w:trPr/>
        <w:tc>
          <w:tcPr>
            <w:tcW w:w="1323" w:type="dxa"/>
            <w:gridSpan w:val="3"/>
            <w:tcBorders>
              <w:top w:val="single" w:sz="4" w:space="0" w:color="000000"/>
              <w:left w:val="single" w:sz="4" w:space="0" w:color="000000"/>
              <w:bottom w:val="single" w:sz="4" w:space="0" w:color="000000"/>
            </w:tcBorders>
            <w:tcMar>
              <w:top w:w="30" w:type="dxa"/>
              <w:left w:w="7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Securities Compliance Committee</w:t>
            </w:r>
          </w:p>
        </w:tc>
        <w:tc>
          <w:tcPr>
            <w:tcW w:w="888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 w:after="283"/>
              <w:jc w:val="left"/>
              <w:rPr>
                <w:rFonts w:ascii="Calibri;sans-serif" w:hAnsi="Calibri;sans-serif"/>
                <w:b w:val="false"/>
                <w:color w:val="000000"/>
                <w:sz w:val="22"/>
              </w:rPr>
            </w:pPr>
            <w:r>
              <w:rPr>
                <w:rFonts w:ascii="Calibri;sans-serif" w:hAnsi="Calibri;sans-serif"/>
                <w:b w:val="false"/>
                <w:color w:val="000000"/>
                <w:sz w:val="22"/>
              </w:rPr>
              <w:t>The committee consisting of the Chief Financial Officer, Chief Legal Officer, and such other persons as may be appointed from time to time by the Chief Executive Officer (such other persons’ appointments may be revoked by the Chief Executive Officer at any time), having the responsibilities set forth in this Policy. The Securities Compliance Committee may act or approve transactions with the confirmation of at least a majority of its members.</w:t>
            </w:r>
          </w:p>
        </w:tc>
      </w:tr>
    </w:tbl>
    <w:p>
      <w:pPr>
        <w:pStyle w:val="TextBody"/>
        <w:bidi w:val="0"/>
        <w:spacing w:before="6" w:after="283"/>
        <w:jc w:val="left"/>
        <w:rPr/>
      </w:pPr>
      <w:r>
        <w:rPr/>
      </w:r>
    </w:p>
    <w:p>
      <w:pPr>
        <w:pStyle w:val="TextBody"/>
        <w:bidi w:val="0"/>
        <w:spacing w:before="0" w:after="160"/>
        <w:jc w:val="left"/>
        <w:rPr/>
      </w:pPr>
      <w:r>
        <w:rPr/>
      </w:r>
    </w:p>
    <w:p>
      <w:pPr>
        <w:pStyle w:val="TextBody"/>
        <w:bidi w:val="0"/>
        <w:spacing w:lineRule="auto" w:line="288" w:before="0" w:after="100"/>
        <w:jc w:val="right"/>
        <w:rPr>
          <w:rFonts w:ascii="Open Sans;sans-serif" w:hAnsi="Open Sans;sans-serif"/>
          <w:b w:val="false"/>
          <w:color w:val="FFFFFF"/>
          <w:sz w:val="20"/>
        </w:rPr>
      </w:pPr>
      <w:r>
        <w:rPr>
          <w:rFonts w:ascii="Open Sans;sans-serif" w:hAnsi="Open Sans;sans-serif"/>
          <w:b w:val="false"/>
          <w:color w:val="FFFFFF"/>
          <w:sz w:val="20"/>
        </w:rPr>
        <w:t xml:space="preserve">Exhibit </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840740"/>
                <wp:effectExtent l="0" t="0" r="0" b="0"/>
                <wp:wrapNone/>
                <wp:docPr id="179" name="Frame175"/>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444.4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300" w:before="120" w:after="120"/>
        <w:jc w:val="left"/>
        <w:rPr>
          <w:rFonts w:ascii="Calibri;sans-serif" w:hAnsi="Calibri;sans-serif"/>
          <w:b/>
          <w:color w:val="000000"/>
          <w:sz w:val="22"/>
        </w:rPr>
      </w:pPr>
      <w:r>
        <w:rPr>
          <w:rFonts w:ascii="Calibri;sans-serif" w:hAnsi="Calibri;sans-serif"/>
          <w:b/>
          <w:color w:val="000000"/>
          <w:sz w:val="22"/>
        </w:rPr>
        <w:t xml:space="preserve">POLICY </w:t>
      </w:r>
    </w:p>
    <w:p>
      <w:pPr>
        <w:pStyle w:val="TextBody"/>
        <w:bidi w:val="0"/>
        <w:spacing w:lineRule="auto" w:line="288" w:before="120" w:after="120"/>
        <w:jc w:val="left"/>
        <w:rPr>
          <w:rFonts w:ascii="Calibri;sans-serif" w:hAnsi="Calibri;sans-serif"/>
          <w:b/>
          <w:color w:val="000000"/>
          <w:sz w:val="22"/>
        </w:rPr>
      </w:pPr>
      <w:r>
        <w:rPr>
          <w:rFonts w:ascii="Calibri;sans-serif" w:hAnsi="Calibri;sans-serif"/>
          <w:b/>
          <w:color w:val="000000"/>
          <w:sz w:val="22"/>
        </w:rPr>
        <w:t>Trading Restrictions</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Company Personnel with knowledge of nonpublic Material Information about the Company are not permitted to (1) buy Company Securities (other than through the exercise of stock options or the vesting of restricted stock units the Company Personnel received under any Company employee benefit plans, or the automatic reinvestment of dividends paid on stock pursuant to a dividend reinvestment plan (provided that these restrictions do apply to voluntary purchases of stock resulting from additional contributions to such a dividend reinvestment plan and to elections to participate in, or changes to existing elections under, such a dividend reinvestment plan)); (2) sell Company Securities (including stock acquired through a dividend reinvestment plan or the exercise of options but not including shares withheld by the Company in an amount limited to the number of shares necessary to pay the exercise price of any option or the withholding taxes attributable to the exercise of options or to the vesting of restricted stock units); or (3) cause others (including, but not limited to, Controlled Entities, Family Members, and friends) to, or recommend that others, buy or sell Company Securities, or provide nonpublic Material Information to others who might be expected to trade while in possession of such information, whether or not such Company Personnel intend to realize a profit from such “tip”. Refer to the below information under “Trading Plans” with respect to making trades in Company Securities pursuant to a Trading Plan (as defined below).</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Company Personnel who in the course of working for the Company learn of nonpublic Material Information about any other company (in particular, a company with which the Company does business or with which the Company has or is considering a relationship, including a customer or supplier of the Company), may not (1) trade in such other company’s securities, or (2) cause others (including, but not limited to, Controlled Entities, Family Members, and friends) to, or recommend that others, buy or sell such company’s securities, or provide nonpublic Material Information about such company to others who might be expected to trade while in possession of such information whether or not such Company Personnel intend to realize a profit from such “tip”, in each case until the information becomes widely available to the investing public or is no longer material.</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Company Personnel are responsible for making Family Members aware of this Policy. Company Personnel must treat all transactions in Company Securities by Family Members as if the transactions were made for the account of such Company Personnel; provided, that this Policy does not apply to trades in Company Securities by Family Members where the decision to make the trade is made independently by a third party not controlled or influenced by Company Personnel or their Family Members.</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Transactions made by Controlled Entities of Company Personnel are treated for purposes of this Policy as if they were made for the account of such Company Personnel.</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The Company may not, directly or indirectly, buy or sell Company Securities while in possession of nonpublic Material Information related to the Company unless the transaction otherwise complies with all applicable securities laws.</w:t>
      </w:r>
    </w:p>
    <w:p>
      <w:pPr>
        <w:pStyle w:val="TextBody"/>
        <w:bidi w:val="0"/>
        <w:spacing w:lineRule="auto" w:line="288" w:before="120" w:after="120"/>
        <w:jc w:val="left"/>
        <w:rPr>
          <w:rFonts w:ascii="Calibri;sans-serif" w:hAnsi="Calibri;sans-serif"/>
          <w:b/>
          <w:color w:val="000000"/>
          <w:sz w:val="22"/>
        </w:rPr>
      </w:pPr>
      <w:r>
        <w:rPr>
          <w:rFonts w:ascii="Calibri;sans-serif" w:hAnsi="Calibri;sans-serif"/>
          <w:b/>
          <w:color w:val="000000"/>
          <w:sz w:val="22"/>
        </w:rPr>
        <w:t>Trading Plans</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 xml:space="preserve">The requirements and restrictions set forth in this Policy do not apply to transactions effected pursuant to a trading plan adopted in accordance with all of the provisions of Rule 10b5-1 under the Exchange Act (“Rule 10b5-1”) or any successor rule (a “Trading Plan”), provided, that: (a) the Trading Plan must be approved in advance, or pursuant to procedures and on terms established </w:t>
      </w:r>
    </w:p>
    <w:p>
      <w:pPr>
        <w:pStyle w:val="TextBody"/>
        <w:bidi w:val="0"/>
        <w:spacing w:lineRule="auto" w:line="288" w:before="0" w:after="100"/>
        <w:jc w:val="right"/>
        <w:rPr>
          <w:rFonts w:ascii="Open Sans;sans-serif" w:hAnsi="Open Sans;sans-serif"/>
          <w:b w:val="false"/>
          <w:color w:val="FFFFFF"/>
          <w:sz w:val="20"/>
        </w:rPr>
      </w:pPr>
      <w:r>
        <w:rPr>
          <w:rFonts w:ascii="Open Sans;sans-serif" w:hAnsi="Open Sans;sans-serif"/>
          <w:b w:val="false"/>
          <w:color w:val="FFFFFF"/>
          <w:sz w:val="20"/>
        </w:rPr>
        <w:t xml:space="preserve">Exhibit </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840740"/>
                <wp:effectExtent l="0" t="0" r="0" b="0"/>
                <wp:wrapNone/>
                <wp:docPr id="180" name="Frame176"/>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444.4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288" w:before="120" w:after="120"/>
        <w:jc w:val="left"/>
        <w:rPr>
          <w:rFonts w:ascii="Calibri;sans-serif" w:hAnsi="Calibri;sans-serif"/>
          <w:b w:val="false"/>
          <w:color w:val="000000"/>
          <w:sz w:val="22"/>
        </w:rPr>
      </w:pPr>
      <w:r>
        <w:rPr>
          <w:rFonts w:ascii="Calibri;sans-serif" w:hAnsi="Calibri;sans-serif"/>
          <w:b w:val="false"/>
          <w:color w:val="000000"/>
          <w:sz w:val="22"/>
        </w:rPr>
        <w:t>from time to time, by the Securities Compliance Committee, and (b) as of the execution date of the Trading Plan, (i) the person entering into the Trading Plan represents and warrants to the Company that such person is not then aware or in possession of nonpublic Material Information about the Company, and (ii) a Blackout Period applicable to such person is not in effect. Once the Trading Plan is approved and adopted, the person entering into the Trading Plan (a) may not cancel or make any modifications to the Trading Plan unless approved in advance, or pursuant to procedures and on terms established from time to time, by the Securities Compliance Committee, (b) must not exercise any influence over the amount of Company Securities to be traded, the price at which they are to be traded, or the date of any trades and (c) must act in good faith with respect to the Trading Plan. The Company reserves right to suspend trading under any authorized Trading Plan at any time if the Securities Compliance Committee deems it to be in the best interest of the Company to do. Transactions otherwise prohibited under this Policy or any other Company policy (including short sales and hedging) may not be effected through a Trading Plan. The Company does not assume liability for any loss caused by a delay in the Company’s approval processes with respect to Trading Plans and approval of a Trading Plan will not be deemed a representation by the Company that the Trading Plan complies with Rule 10b5-1, nor an assumption by the Company of any liability or responsibility to the Trading Plan owner or any other party if the Trading Plan does not comply with Rule 10b5-1.</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This Policy does not prohibit the purchase or sale of Company Securities by the Company in accordance with a Trading Plan that complies with all applicable securities laws. Any such Trading Plan must be approved in advance by the Securities Compliance Committee.</w:t>
      </w:r>
    </w:p>
    <w:p>
      <w:pPr>
        <w:pStyle w:val="TextBody"/>
        <w:bidi w:val="0"/>
        <w:spacing w:lineRule="auto" w:line="288" w:before="120" w:after="120"/>
        <w:jc w:val="left"/>
        <w:rPr>
          <w:rFonts w:ascii="Calibri;sans-serif" w:hAnsi="Calibri;sans-serif"/>
          <w:b/>
          <w:color w:val="000000"/>
          <w:sz w:val="22"/>
        </w:rPr>
      </w:pPr>
      <w:r>
        <w:rPr>
          <w:rFonts w:ascii="Calibri;sans-serif" w:hAnsi="Calibri;sans-serif"/>
          <w:b/>
          <w:color w:val="000000"/>
          <w:sz w:val="22"/>
        </w:rPr>
        <w:t>Gifts and Estate Planning Transfers</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Bona fide gifts of Company Securities are not subject to the prohibitions of this Policy, unless the donor has reason to believe that the recipient intends to sell the Company Securities while the donor is aware or in possession of nonpublic Material Information. Bona fide gifts are subject to the “Additional Procedures” set forth below.</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Estate planning transfers are not subject to the prohibitions of this Policy, provided that the transferor continues to control and directly or indirectly own such transferred Company Securities. Estate planning transfers are subject to the “Additional Procedures” set forth below.</w:t>
      </w:r>
    </w:p>
    <w:p>
      <w:pPr>
        <w:pStyle w:val="TextBody"/>
        <w:bidi w:val="0"/>
        <w:spacing w:lineRule="auto" w:line="288" w:before="120" w:after="120"/>
        <w:jc w:val="left"/>
        <w:rPr>
          <w:rFonts w:ascii="Calibri;sans-serif" w:hAnsi="Calibri;sans-serif"/>
          <w:b/>
          <w:color w:val="000000"/>
          <w:sz w:val="22"/>
        </w:rPr>
      </w:pPr>
      <w:r>
        <w:rPr>
          <w:rFonts w:ascii="Calibri;sans-serif" w:hAnsi="Calibri;sans-serif"/>
          <w:b/>
          <w:color w:val="000000"/>
          <w:sz w:val="22"/>
        </w:rPr>
        <w:t>Prohibited Transactions</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As a matter of Company policy, Company Personnel (and their Family Members and Controlled Entities) may not engage in the purchase or sale of standardized or exchange-traded options involving Company Securities. Directors and Officers and their respective designees are also subject to the Company’s Anti-Hedging and Pledging Policy, which, among other things, prohibits them from trading in certain types of hedging instruments relating to Company Securities or otherwise engaging in any transaction that limits or eliminates, or is designed to limit or eliminate, economic risks associated with the ownership of Company Securities. The Company’s Anti-Hedging and Pledging Policy also prohibits Directors and Officers and their respective designees from holding Company Securities in a margin account (other than the "cashless exercise" of stock options) or pledging Company Securities as collateral for a loan, in each case without prior authorization by the Compensation Committee of the Company’s Board of Directors.</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 xml:space="preserve">Company Personnel (and their Family Members and Controlled Entities) are not permitted to engage in “short sales” and sales “against the box” of Company Securities. A “short sale” is a sale of securities that the trader does not yet own. In a short sale, the trader sells securities for a particular price, which the trader is expecting will be higher than the price at which the trader </w:t>
      </w:r>
    </w:p>
    <w:p>
      <w:pPr>
        <w:pStyle w:val="TextBody"/>
        <w:bidi w:val="0"/>
        <w:spacing w:lineRule="auto" w:line="288" w:before="0" w:after="100"/>
        <w:jc w:val="right"/>
        <w:rPr>
          <w:rFonts w:ascii="Open Sans;sans-serif" w:hAnsi="Open Sans;sans-serif"/>
          <w:b w:val="false"/>
          <w:color w:val="FFFFFF"/>
          <w:sz w:val="20"/>
        </w:rPr>
      </w:pPr>
      <w:r>
        <w:rPr>
          <w:rFonts w:ascii="Open Sans;sans-serif" w:hAnsi="Open Sans;sans-serif"/>
          <w:b w:val="false"/>
          <w:color w:val="FFFFFF"/>
          <w:sz w:val="20"/>
        </w:rPr>
        <w:t xml:space="preserve">Exhibit </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840740"/>
                <wp:effectExtent l="0" t="0" r="0" b="0"/>
                <wp:wrapNone/>
                <wp:docPr id="181" name="Frame177"/>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444.4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288" w:before="120" w:after="120"/>
        <w:jc w:val="left"/>
        <w:rPr>
          <w:rFonts w:ascii="Calibri;sans-serif" w:hAnsi="Calibri;sans-serif"/>
          <w:b w:val="false"/>
          <w:color w:val="000000"/>
          <w:sz w:val="22"/>
        </w:rPr>
      </w:pPr>
      <w:r>
        <w:rPr>
          <w:rFonts w:ascii="Calibri;sans-serif" w:hAnsi="Calibri;sans-serif"/>
          <w:b w:val="false"/>
          <w:color w:val="000000"/>
          <w:sz w:val="22"/>
        </w:rPr>
        <w:t>must buy the securities to cover the sale. Short sellers only profit if the price of the securities declines. A sale “against the box” is a sale of securities that are owned but are not delivered within twenty days or deposited in the mail for delivery within five (5) days of the sale. A sale "against the box" has the same effect as a short sale.</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 xml:space="preserve">Directors and Officers are not permitted to engage in short-term trades of purchasing and selling or selling and purchasing Company Securities within one hundred and eighty (180) calendar days. </w:t>
      </w:r>
    </w:p>
    <w:p>
      <w:pPr>
        <w:pStyle w:val="TextBody"/>
        <w:bidi w:val="0"/>
        <w:spacing w:lineRule="auto" w:line="288" w:before="120" w:after="120"/>
        <w:jc w:val="left"/>
        <w:rPr>
          <w:rFonts w:ascii="Calibri;sans-serif" w:hAnsi="Calibri;sans-serif"/>
          <w:b/>
          <w:color w:val="000000"/>
          <w:sz w:val="22"/>
        </w:rPr>
      </w:pPr>
      <w:r>
        <w:rPr>
          <w:rFonts w:ascii="Calibri;sans-serif" w:hAnsi="Calibri;sans-serif"/>
          <w:b/>
          <w:color w:val="000000"/>
          <w:sz w:val="22"/>
        </w:rPr>
        <w:t>Termination of Service</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This Policy continues to apply to transactions in Company Securities even after termination of service to the Company. If a person is aware or in possession of nonpublic Material Information when their service terminates, that person may not trade in Company Securities until that information becomes widely available to the investing public or is no longer material. The “Additional Procedures” described below will no longer apply upon expiration of any Blackout Period applicable at the time of termination of service.</w:t>
      </w:r>
    </w:p>
    <w:p>
      <w:pPr>
        <w:pStyle w:val="TextBody"/>
        <w:bidi w:val="0"/>
        <w:spacing w:lineRule="auto" w:line="288" w:before="120" w:after="120"/>
        <w:jc w:val="left"/>
        <w:rPr>
          <w:rFonts w:ascii="Calibri;sans-serif" w:hAnsi="Calibri;sans-serif"/>
          <w:b/>
          <w:color w:val="000000"/>
          <w:sz w:val="22"/>
        </w:rPr>
      </w:pPr>
      <w:r>
        <w:rPr>
          <w:rFonts w:ascii="Calibri;sans-serif" w:hAnsi="Calibri;sans-serif"/>
          <w:b/>
          <w:color w:val="000000"/>
          <w:sz w:val="22"/>
        </w:rPr>
        <w:t>Section 16 Filings</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Directors and Officers have obligations to make the following filings in connection with trades of Company Securities: (a) Forms 3, 4, and 5 under Section 16(a) of the Exchange Act, and (b) Form 144 under the Securities Act of 1933, as amended. Please refer any questions about these filing obligations to the Chief Legal Officer.</w:t>
      </w:r>
    </w:p>
    <w:p>
      <w:pPr>
        <w:pStyle w:val="TextBody"/>
        <w:bidi w:val="0"/>
        <w:spacing w:lineRule="auto" w:line="288" w:before="120" w:after="120"/>
        <w:jc w:val="left"/>
        <w:rPr>
          <w:rFonts w:ascii="Calibri;sans-serif" w:hAnsi="Calibri;sans-serif"/>
          <w:b/>
          <w:color w:val="000000"/>
          <w:sz w:val="22"/>
        </w:rPr>
      </w:pPr>
      <w:r>
        <w:rPr>
          <w:rFonts w:ascii="Calibri;sans-serif" w:hAnsi="Calibri;sans-serif"/>
          <w:b/>
          <w:color w:val="000000"/>
          <w:sz w:val="22"/>
        </w:rPr>
        <w:t>Additional Procedures</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The Company has established additional procedures in order to assist in the administration of this Policy that apply to “Insiders” (and to their Family Members and Controlled Entities). “Insiders” consist of Directors, Officers, and other Company Personnel designated as such, or pursuant to procedures established from time to time, by the Securities Compliance Committee. Lists of Insiders are maintained by the Human Relations Department (Global Total Rewards Team). Please refer any questions about any lists of Insiders to the Chief Legal Officer.</w:t>
      </w:r>
    </w:p>
    <w:p>
      <w:pPr>
        <w:pStyle w:val="TextBody"/>
        <w:bidi w:val="0"/>
        <w:spacing w:lineRule="auto" w:line="288" w:before="120" w:after="120"/>
        <w:ind w:left="0" w:right="0" w:hanging="360"/>
        <w:jc w:val="left"/>
        <w:rPr/>
      </w:pPr>
      <w:r>
        <w:rPr>
          <w:color w:val="000000"/>
        </w:rPr>
        <w:t>•</w:t>
      </w:r>
      <w:r>
        <w:rPr>
          <w:rFonts w:ascii="Calibri;sans-serif" w:hAnsi="Calibri;sans-serif"/>
          <w:b/>
          <w:color w:val="000000"/>
          <w:sz w:val="22"/>
        </w:rPr>
        <w:t>Quarterly Blackout Periods</w:t>
      </w:r>
    </w:p>
    <w:p>
      <w:pPr>
        <w:pStyle w:val="TextBody"/>
        <w:bidi w:val="0"/>
        <w:spacing w:lineRule="auto" w:line="288" w:before="120" w:after="120"/>
        <w:ind w:left="0" w:right="0" w:hanging="360"/>
        <w:jc w:val="left"/>
        <w:rPr/>
      </w:pPr>
      <w:r>
        <w:rPr>
          <w:rFonts w:ascii="Courier New;monospace" w:hAnsi="Courier New;monospace"/>
          <w:b w:val="false"/>
          <w:color w:val="2A276E"/>
          <w:sz w:val="22"/>
        </w:rPr>
        <w:t>-</w:t>
      </w:r>
      <w:r>
        <w:rPr>
          <w:rFonts w:ascii="Calibri;sans-serif" w:hAnsi="Calibri;sans-serif"/>
          <w:b w:val="false"/>
          <w:color w:val="000000"/>
          <w:sz w:val="22"/>
        </w:rPr>
        <w:t>In order to avoid any appearance that Insiders are trading with an informational advantage relating to the Company’s financial results, the Company has established a “Quarterly Blackout Period” during which Insiders may not trade Company Securities. The Quarterly Blackout Period generally commences on the 15th day prior to the end of a quarterly or annual financial reporting period and generally ends on the earlier to occur of (1) the conclusion of one full trading day on the NASDAQ stock market or (2) 24 hours after the public issuance of a press release or other filing with the U.S. Securities and Exchange Commission (“SEC”) announcing the Company’s quarterly or annual financial results for that reporting period.</w:t>
      </w:r>
    </w:p>
    <w:p>
      <w:pPr>
        <w:pStyle w:val="TextBody"/>
        <w:bidi w:val="0"/>
        <w:spacing w:lineRule="auto" w:line="288" w:before="120" w:after="120"/>
        <w:ind w:left="0" w:right="0" w:hanging="360"/>
        <w:jc w:val="left"/>
        <w:rPr/>
      </w:pPr>
      <w:r>
        <w:rPr>
          <w:rFonts w:ascii="Courier New;monospace" w:hAnsi="Courier New;monospace"/>
          <w:b w:val="false"/>
          <w:color w:val="2A276E"/>
          <w:sz w:val="22"/>
        </w:rPr>
        <w:t>-</w:t>
      </w:r>
      <w:r>
        <w:rPr>
          <w:rFonts w:ascii="Calibri;sans-serif" w:hAnsi="Calibri;sans-serif"/>
          <w:b w:val="false"/>
          <w:color w:val="000000"/>
          <w:sz w:val="22"/>
        </w:rPr>
        <w:t>The Chief Executive Officer or the Securities Compliance Committee may alter the commencement and ending of any Quarterly Blackout Period at their discretion.</w:t>
      </w:r>
    </w:p>
    <w:p>
      <w:pPr>
        <w:pStyle w:val="TextBody"/>
        <w:bidi w:val="0"/>
        <w:spacing w:lineRule="auto" w:line="288" w:before="120" w:after="120"/>
        <w:ind w:left="0" w:right="0" w:hanging="360"/>
        <w:jc w:val="left"/>
        <w:rPr/>
      </w:pPr>
      <w:r>
        <w:rPr>
          <w:rFonts w:ascii="Courier New;monospace" w:hAnsi="Courier New;monospace"/>
          <w:b w:val="false"/>
          <w:color w:val="2A276E"/>
          <w:sz w:val="22"/>
        </w:rPr>
        <w:t>-</w:t>
      </w:r>
      <w:r>
        <w:rPr>
          <w:rFonts w:ascii="Calibri;sans-serif" w:hAnsi="Calibri;sans-serif"/>
          <w:b w:val="false"/>
          <w:color w:val="000000"/>
          <w:sz w:val="22"/>
        </w:rPr>
        <w:t>In addition to trades made pursuant to a Trading Plan as described above, the Securities Compliance Committee may allow an Insider to enter into a Trading Plan or trade during a Quarterly Blackout Period only after consideration of all of the relevant facts and circumstances concerning the matter and if it has been demonstrated to the satisfaction of the Securities Compliance Committee that the person requesting a trade is not in possession of nonpublic Material Information.</w:t>
      </w:r>
    </w:p>
    <w:p>
      <w:pPr>
        <w:pStyle w:val="TextBody"/>
        <w:bidi w:val="0"/>
        <w:spacing w:lineRule="auto" w:line="288" w:before="0" w:after="100"/>
        <w:jc w:val="right"/>
        <w:rPr>
          <w:rFonts w:ascii="Open Sans;sans-serif" w:hAnsi="Open Sans;sans-serif"/>
          <w:b w:val="false"/>
          <w:color w:val="FFFFFF"/>
          <w:sz w:val="20"/>
        </w:rPr>
      </w:pPr>
      <w:r>
        <w:rPr>
          <w:rFonts w:ascii="Open Sans;sans-serif" w:hAnsi="Open Sans;sans-serif"/>
          <w:b w:val="false"/>
          <w:color w:val="FFFFFF"/>
          <w:sz w:val="20"/>
        </w:rPr>
        <w:t xml:space="preserve">Exhibit </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840740"/>
                <wp:effectExtent l="0" t="0" r="0" b="0"/>
                <wp:wrapNone/>
                <wp:docPr id="182" name="Frame178"/>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444.4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288" w:before="120" w:after="120"/>
        <w:ind w:left="0" w:right="0" w:hanging="360"/>
        <w:jc w:val="left"/>
        <w:rPr/>
      </w:pPr>
      <w:r>
        <w:rPr>
          <w:rFonts w:ascii="Courier New;monospace" w:hAnsi="Courier New;monospace"/>
          <w:b w:val="false"/>
          <w:color w:val="2A276E"/>
          <w:sz w:val="22"/>
        </w:rPr>
        <w:t>-</w:t>
      </w:r>
      <w:r>
        <w:rPr>
          <w:rFonts w:ascii="Calibri;sans-serif" w:hAnsi="Calibri;sans-serif"/>
          <w:b w:val="false"/>
          <w:color w:val="000000"/>
          <w:sz w:val="22"/>
        </w:rPr>
        <w:t>Even if a Blackout Period is not in effect as specified in this Policy, Company Personnel (including their Family Members and Controlled Entities) may not trade in Company Securities or those of another publicly traded company if they are aware of nonpublic Material Information about the Company or any such other company, respectively.</w:t>
      </w:r>
    </w:p>
    <w:p>
      <w:pPr>
        <w:pStyle w:val="TextBody"/>
        <w:bidi w:val="0"/>
        <w:spacing w:lineRule="auto" w:line="288" w:before="120" w:after="120"/>
        <w:ind w:left="0" w:right="0" w:hanging="360"/>
        <w:jc w:val="left"/>
        <w:rPr/>
      </w:pPr>
      <w:r>
        <w:rPr>
          <w:color w:val="000000"/>
        </w:rPr>
        <w:t>•</w:t>
      </w:r>
      <w:r>
        <w:rPr>
          <w:rFonts w:ascii="Calibri;sans-serif" w:hAnsi="Calibri;sans-serif"/>
          <w:b/>
          <w:color w:val="000000"/>
          <w:sz w:val="22"/>
        </w:rPr>
        <w:t>Pre-Clearance Procedures</w:t>
      </w:r>
    </w:p>
    <w:p>
      <w:pPr>
        <w:pStyle w:val="TextBody"/>
        <w:bidi w:val="0"/>
        <w:spacing w:lineRule="auto" w:line="288" w:before="120" w:after="120"/>
        <w:ind w:left="0" w:right="0" w:hanging="360"/>
        <w:jc w:val="left"/>
        <w:rPr/>
      </w:pPr>
      <w:r>
        <w:rPr>
          <w:rFonts w:ascii="Courier New;monospace" w:hAnsi="Courier New;monospace"/>
          <w:b w:val="false"/>
          <w:color w:val="2A276E"/>
          <w:sz w:val="22"/>
        </w:rPr>
        <w:t>-</w:t>
      </w:r>
      <w:r>
        <w:rPr>
          <w:rFonts w:ascii="Calibri;sans-serif" w:hAnsi="Calibri;sans-serif"/>
          <w:b w:val="false"/>
          <w:color w:val="000000"/>
          <w:sz w:val="22"/>
        </w:rPr>
        <w:t>Certain Insiders are required to receive clearance prior to trading in Company Securities and/or implementing a Trading Plan by submitting a Share Transaction Authorization Form to Human Relations Total Rewards and receiving approval of such request from, or pursuant to procedures established from time to time by, the Securities Compliance Committee.</w:t>
      </w:r>
    </w:p>
    <w:p>
      <w:pPr>
        <w:pStyle w:val="TextBody"/>
        <w:bidi w:val="0"/>
        <w:spacing w:lineRule="auto" w:line="288" w:before="120" w:after="120"/>
        <w:ind w:left="0" w:right="0" w:hanging="360"/>
        <w:jc w:val="left"/>
        <w:rPr/>
      </w:pPr>
      <w:r>
        <w:rPr>
          <w:rFonts w:ascii="Courier New;monospace" w:hAnsi="Courier New;monospace"/>
          <w:b w:val="false"/>
          <w:color w:val="2A276E"/>
          <w:sz w:val="22"/>
        </w:rPr>
        <w:t>-</w:t>
      </w:r>
      <w:r>
        <w:rPr>
          <w:rFonts w:ascii="Calibri;sans-serif" w:hAnsi="Calibri;sans-serif"/>
          <w:b w:val="false"/>
          <w:color w:val="000000"/>
          <w:sz w:val="22"/>
        </w:rPr>
        <w:t>An approval of a transaction or Trading Plan will only be valid for the time specified in the approval and transactions or Trading Plans not initiated/implemented within the specified time must be resubmitted through the pre-clearance procedures before the transaction or Trading Plan may proceed. An approval of a transaction or Trading Plan submitted pursuant to these pre-clearance procedures does not constitute legal advice and does not relieve the applicable Company Personnel of their legal obligation to refrain from trading in Company Securities if in possession of nonpublic Material Information.</w:t>
      </w:r>
    </w:p>
    <w:p>
      <w:pPr>
        <w:pStyle w:val="TextBody"/>
        <w:bidi w:val="0"/>
        <w:spacing w:lineRule="auto" w:line="288" w:before="120" w:after="120"/>
        <w:ind w:left="0" w:right="0" w:hanging="360"/>
        <w:jc w:val="left"/>
        <w:rPr/>
      </w:pPr>
      <w:r>
        <w:rPr>
          <w:rFonts w:ascii="Courier New;monospace" w:hAnsi="Courier New;monospace"/>
          <w:b w:val="false"/>
          <w:color w:val="2A276E"/>
          <w:sz w:val="22"/>
        </w:rPr>
        <w:t>-</w:t>
      </w:r>
      <w:r>
        <w:rPr>
          <w:rFonts w:ascii="Calibri;sans-serif" w:hAnsi="Calibri;sans-serif"/>
          <w:b w:val="false"/>
          <w:color w:val="000000"/>
          <w:sz w:val="22"/>
        </w:rPr>
        <w:t>The Securities Compliance Committee is under no obligation to approve a transaction or Trading Plan and may determine not to approve the transaction or Trading Plan in its discretion. Company Personnel may not inform any person if the Securities Compliance Committee denies such Company Personnel’s request to trade in the Company Securities, as such denial may itself be considered under this Policy to be nonpublic Material Information.</w:t>
      </w:r>
    </w:p>
    <w:p>
      <w:pPr>
        <w:pStyle w:val="TextBody"/>
        <w:bidi w:val="0"/>
        <w:spacing w:lineRule="auto" w:line="288" w:before="120" w:after="120"/>
        <w:ind w:left="0" w:right="0" w:hanging="360"/>
        <w:jc w:val="left"/>
        <w:rPr/>
      </w:pPr>
      <w:r>
        <w:rPr>
          <w:rFonts w:ascii="Courier New;monospace" w:hAnsi="Courier New;monospace"/>
          <w:b w:val="false"/>
          <w:color w:val="2A276E"/>
          <w:sz w:val="22"/>
        </w:rPr>
        <w:t>-</w:t>
      </w:r>
      <w:r>
        <w:rPr>
          <w:rFonts w:ascii="Calibri;sans-serif" w:hAnsi="Calibri;sans-serif"/>
          <w:b w:val="false"/>
          <w:color w:val="000000"/>
          <w:sz w:val="22"/>
        </w:rPr>
        <w:t>Discretionary purchases or sales of Company Securities by the Company must be approved in advance by the Securities Compliance Committee.</w:t>
      </w:r>
    </w:p>
    <w:p>
      <w:pPr>
        <w:pStyle w:val="TextBody"/>
        <w:bidi w:val="0"/>
        <w:spacing w:lineRule="auto" w:line="288" w:before="120" w:after="120"/>
        <w:ind w:left="0" w:right="0" w:hanging="360"/>
        <w:jc w:val="left"/>
        <w:rPr/>
      </w:pPr>
      <w:r>
        <w:rPr>
          <w:color w:val="000000"/>
        </w:rPr>
        <w:t>•</w:t>
      </w:r>
      <w:r>
        <w:rPr>
          <w:rFonts w:ascii="Calibri;sans-serif" w:hAnsi="Calibri;sans-serif"/>
          <w:b/>
          <w:color w:val="000000"/>
          <w:sz w:val="22"/>
        </w:rPr>
        <w:t>Special Blackout Periods</w:t>
      </w:r>
    </w:p>
    <w:p>
      <w:pPr>
        <w:pStyle w:val="TextBody"/>
        <w:bidi w:val="0"/>
        <w:spacing w:lineRule="auto" w:line="288" w:before="120" w:after="120"/>
        <w:ind w:left="0" w:right="0" w:hanging="360"/>
        <w:jc w:val="left"/>
        <w:rPr/>
      </w:pPr>
      <w:r>
        <w:rPr>
          <w:rFonts w:ascii="Courier New;monospace" w:hAnsi="Courier New;monospace"/>
          <w:b w:val="false"/>
          <w:color w:val="2A276E"/>
          <w:sz w:val="22"/>
        </w:rPr>
        <w:t>-</w:t>
      </w:r>
      <w:r>
        <w:rPr>
          <w:rFonts w:ascii="Calibri;sans-serif" w:hAnsi="Calibri;sans-serif"/>
          <w:b w:val="false"/>
          <w:color w:val="000000"/>
          <w:sz w:val="22"/>
        </w:rPr>
        <w:t>The Chief Executive Officer or the Securities Compliance Committee may designate, from time to time, a “Special Blackout Period” independent of the Quarterly Blackout Period described above during which Company Personnel that have been designated as being subject to the Special Blackout Period may not trade Company Securities. The Chief Executive Officer or Securities Compliance Committee may also apply such Special Blackout Period to the trading in the securities of certain other companies, as they deem appropriate or advisable, including certain of the Company’s peers or competitors. The existence of a Special Blackout Period will be communicated to those subject to it, but will not be announced to the Company generally, should not be communicated to any other person, and may itself be considered under this Policy to be nonpublic Material Information.</w:t>
      </w:r>
    </w:p>
    <w:p>
      <w:pPr>
        <w:pStyle w:val="TextBody"/>
        <w:bidi w:val="0"/>
        <w:spacing w:lineRule="auto" w:line="288" w:before="120" w:after="120"/>
        <w:ind w:left="0" w:right="0" w:hanging="360"/>
        <w:jc w:val="left"/>
        <w:rPr/>
      </w:pPr>
      <w:r>
        <w:rPr>
          <w:rFonts w:ascii="Courier New;monospace" w:hAnsi="Courier New;monospace"/>
          <w:b w:val="false"/>
          <w:color w:val="2A276E"/>
          <w:sz w:val="22"/>
        </w:rPr>
        <w:t>-</w:t>
      </w:r>
      <w:r>
        <w:rPr>
          <w:rFonts w:ascii="Calibri;sans-serif" w:hAnsi="Calibri;sans-serif"/>
          <w:b w:val="false"/>
          <w:color w:val="000000"/>
          <w:sz w:val="22"/>
        </w:rPr>
        <w:t>In addition to trades made pursuant to a Trading Plan as described under “Trading Plans” above, the Securities Compliance Committee may allow an Insider to enter into a Trading Plan or trade during a Special Blackout Period only after consideration of all of the relevant facts and circumstances concerning the matter and if it has been demonstrated to the satisfaction of the Securities Compliance Committee that the person requesting a trade is not in possession of nonpublic Material Information.</w:t>
      </w:r>
    </w:p>
    <w:p>
      <w:pPr>
        <w:pStyle w:val="TextBody"/>
        <w:bidi w:val="0"/>
        <w:spacing w:lineRule="auto" w:line="288" w:before="120" w:after="120"/>
        <w:ind w:left="0" w:right="0" w:hanging="360"/>
        <w:jc w:val="left"/>
        <w:rPr/>
      </w:pPr>
      <w:r>
        <w:rPr>
          <w:color w:val="000000"/>
        </w:rPr>
        <w:t>•</w:t>
      </w:r>
      <w:r>
        <w:rPr>
          <w:rFonts w:ascii="Calibri;sans-serif" w:hAnsi="Calibri;sans-serif"/>
          <w:b w:val="false"/>
          <w:color w:val="000000"/>
          <w:sz w:val="22"/>
        </w:rPr>
        <w:t xml:space="preserve">Without limiting the generality of the trading restrictions described in this Policy, Quarterly Blackout Periods and Special Blackout Periods do not apply to purchases of Company Securities through the exercise of stock options or the vesting of restricted stock units the Company Personnel received under any Company employee benefit plans, the automatic reinvestment of </w:t>
      </w:r>
    </w:p>
    <w:p>
      <w:pPr>
        <w:pStyle w:val="TextBody"/>
        <w:bidi w:val="0"/>
        <w:spacing w:lineRule="auto" w:line="288" w:before="0" w:after="100"/>
        <w:jc w:val="right"/>
        <w:rPr>
          <w:rFonts w:ascii="Open Sans;sans-serif" w:hAnsi="Open Sans;sans-serif"/>
          <w:b w:val="false"/>
          <w:color w:val="FFFFFF"/>
          <w:sz w:val="20"/>
        </w:rPr>
      </w:pPr>
      <w:r>
        <w:rPr>
          <w:rFonts w:ascii="Open Sans;sans-serif" w:hAnsi="Open Sans;sans-serif"/>
          <w:b w:val="false"/>
          <w:color w:val="FFFFFF"/>
          <w:sz w:val="20"/>
        </w:rPr>
        <w:t xml:space="preserve">Exhibit </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840740"/>
                <wp:effectExtent l="0" t="0" r="0" b="0"/>
                <wp:wrapNone/>
                <wp:docPr id="183" name="Frame179"/>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444.4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288" w:before="120" w:after="120"/>
        <w:jc w:val="left"/>
        <w:rPr>
          <w:rFonts w:ascii="Calibri;sans-serif" w:hAnsi="Calibri;sans-serif"/>
          <w:b w:val="false"/>
          <w:color w:val="000000"/>
          <w:sz w:val="22"/>
        </w:rPr>
      </w:pPr>
      <w:r>
        <w:rPr>
          <w:rFonts w:ascii="Calibri;sans-serif" w:hAnsi="Calibri;sans-serif"/>
          <w:b w:val="false"/>
          <w:color w:val="000000"/>
          <w:sz w:val="22"/>
        </w:rPr>
        <w:t>dividends paid on stock pursuant to a dividend reinvestment plan, or shares withheld by the Company in an amount limited to the number of shares necessary to pay the exercise price of any option or the withholding taxes attributable to the exercise of options or to the vesting of restricted stock units.</w:t>
      </w:r>
    </w:p>
    <w:p>
      <w:pPr>
        <w:pStyle w:val="TextBody"/>
        <w:bidi w:val="0"/>
        <w:spacing w:lineRule="auto" w:line="288" w:before="120" w:after="120"/>
        <w:jc w:val="left"/>
        <w:rPr>
          <w:rFonts w:ascii="Calibri;sans-serif" w:hAnsi="Calibri;sans-serif"/>
          <w:b w:val="false"/>
          <w:color w:val="000000"/>
          <w:sz w:val="22"/>
        </w:rPr>
      </w:pPr>
      <w:r>
        <w:rPr>
          <w:rFonts w:ascii="Calibri;sans-serif" w:hAnsi="Calibri;sans-serif"/>
          <w:b w:val="false"/>
          <w:color w:val="000000"/>
          <w:sz w:val="22"/>
        </w:rPr>
        <w:t>The Company reserves the right to amend or rescind this Policy, in whole or part, at any time and without notice.</w:t>
      </w:r>
    </w:p>
    <w:p>
      <w:pPr>
        <w:pStyle w:val="TextBody"/>
        <w:bidi w:val="0"/>
        <w:spacing w:lineRule="auto" w:line="288" w:before="120" w:after="120"/>
        <w:jc w:val="left"/>
        <w:rPr>
          <w:rFonts w:ascii="Calibri;sans-serif" w:hAnsi="Calibri;sans-serif"/>
          <w:b w:val="false"/>
          <w:color w:val="000000"/>
          <w:sz w:val="22"/>
        </w:rPr>
      </w:pPr>
      <w:r>
        <w:rPr>
          <w:rFonts w:ascii="Calibri;sans-serif" w:hAnsi="Calibri;sans-serif"/>
          <w:b w:val="false"/>
          <w:color w:val="000000"/>
          <w:sz w:val="22"/>
        </w:rPr>
        <w:t>Failure to comply with the terms of this Policy may subject the individual to disciplinary action, up to and including termination of employment.</w:t>
      </w:r>
    </w:p>
    <w:p>
      <w:pPr>
        <w:pStyle w:val="TextBody"/>
        <w:bidi w:val="0"/>
        <w:spacing w:before="120" w:after="120"/>
        <w:jc w:val="left"/>
        <w:rPr/>
      </w:pPr>
      <w:r>
        <w:rPr/>
      </w:r>
    </w:p>
    <w:p>
      <w:pPr>
        <w:pStyle w:val="TextBody"/>
        <w:bidi w:val="0"/>
        <w:spacing w:before="0" w:after="160"/>
        <w:jc w:val="left"/>
        <w:rPr/>
      </w:pPr>
      <w:r>
        <w:rPr/>
      </w:r>
    </w:p>
    <w:p>
      <w:pPr>
        <w:pStyle w:val="TextBody"/>
        <w:bidi w:val="0"/>
        <w:spacing w:lineRule="auto" w:line="288" w:before="0" w:after="100"/>
        <w:jc w:val="right"/>
        <w:rPr>
          <w:rFonts w:ascii="Open Sans;sans-serif" w:hAnsi="Open Sans;sans-serif"/>
          <w:b w:val="false"/>
          <w:color w:val="FFFFFF"/>
          <w:sz w:val="20"/>
        </w:rPr>
      </w:pPr>
      <w:r>
        <w:rPr>
          <w:rFonts w:ascii="Open Sans;sans-serif" w:hAnsi="Open Sans;sans-serif"/>
          <w:b w:val="false"/>
          <w:color w:val="FFFFFF"/>
          <w:sz w:val="20"/>
        </w:rPr>
        <w:t xml:space="preserve">Exhibit </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840740"/>
                <wp:effectExtent l="0" t="0" r="0" b="0"/>
                <wp:wrapNone/>
                <wp:docPr id="184" name="Frame180"/>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444.4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288" w:before="0" w:after="0"/>
        <w:jc w:val="center"/>
        <w:rPr>
          <w:rFonts w:ascii="Calibri;sans-serif" w:hAnsi="Calibri;sans-serif"/>
          <w:b/>
          <w:color w:val="000000"/>
          <w:sz w:val="22"/>
          <w:u w:val="single"/>
        </w:rPr>
      </w:pPr>
      <w:r>
        <w:rPr>
          <w:rFonts w:ascii="Calibri;sans-serif" w:hAnsi="Calibri;sans-serif"/>
          <w:b/>
          <w:color w:val="000000"/>
          <w:sz w:val="22"/>
          <w:u w:val="single"/>
        </w:rPr>
        <w:t>Viatris Inc.</w:t>
      </w:r>
    </w:p>
    <w:p>
      <w:pPr>
        <w:pStyle w:val="TextBody"/>
        <w:bidi w:val="0"/>
        <w:spacing w:lineRule="auto" w:line="288" w:before="0" w:after="0"/>
        <w:jc w:val="center"/>
        <w:rPr>
          <w:rFonts w:ascii="Calibri;sans-serif" w:hAnsi="Calibri;sans-serif"/>
          <w:b/>
          <w:color w:val="000000"/>
          <w:sz w:val="22"/>
          <w:u w:val="single"/>
        </w:rPr>
      </w:pPr>
      <w:r>
        <w:rPr>
          <w:rFonts w:ascii="Calibri;sans-serif" w:hAnsi="Calibri;sans-serif"/>
          <w:b/>
          <w:color w:val="000000"/>
          <w:sz w:val="22"/>
          <w:u w:val="single"/>
        </w:rPr>
        <w:t>Insider Trading Policy Additional Procedures</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color w:val="000000"/>
          <w:sz w:val="22"/>
          <w:u w:val="single"/>
        </w:rPr>
        <w:t>Note</w:t>
      </w:r>
      <w:r>
        <w:rPr>
          <w:rFonts w:ascii="Calibri;sans-serif" w:hAnsi="Calibri;sans-serif"/>
          <w:b/>
          <w:color w:val="000000"/>
          <w:sz w:val="22"/>
        </w:rPr>
        <w:t>: No open market trades (i.e., purchases or sales of Viatris Inc. common stock) may be made, and no Trading Plan may be entered into, amended or terminated by any employee, Executive or Director who possesses nonpublic Material Information, even if a trading window is open.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As used herein:</w:t>
      </w:r>
    </w:p>
    <w:p>
      <w:pPr>
        <w:pStyle w:val="TextBody"/>
        <w:bidi w:val="0"/>
        <w:spacing w:lineRule="auto" w:line="288" w:before="0" w:after="0"/>
        <w:ind w:left="0" w:right="0" w:hanging="360"/>
        <w:jc w:val="left"/>
        <w:rPr/>
      </w:pPr>
      <w:r>
        <w:rPr>
          <w:color w:val="000000"/>
        </w:rPr>
        <w:t>•“</w:t>
      </w:r>
      <w:r>
        <w:rPr>
          <w:rFonts w:ascii="Calibri;sans-serif" w:hAnsi="Calibri;sans-serif"/>
          <w:b w:val="false"/>
          <w:i/>
          <w:color w:val="000000"/>
          <w:sz w:val="22"/>
        </w:rPr>
        <w:t>Section 16 Filers</w:t>
      </w:r>
      <w:r>
        <w:rPr>
          <w:color w:val="000000"/>
        </w:rPr>
        <w:t xml:space="preserve">” </w:t>
      </w:r>
      <w:r>
        <w:rPr>
          <w:rFonts w:ascii="Calibri;sans-serif" w:hAnsi="Calibri;sans-serif"/>
          <w:b w:val="false"/>
          <w:color w:val="000000"/>
          <w:sz w:val="22"/>
        </w:rPr>
        <w:t>refers to Viatris Inc. Board of Directors members and “officers” (as defined in Rule 16a-1(f) promulgated under the Securities Exchange Act of 1934, as amended)</w:t>
      </w:r>
    </w:p>
    <w:p>
      <w:pPr>
        <w:pStyle w:val="TextBody"/>
        <w:bidi w:val="0"/>
        <w:spacing w:lineRule="auto" w:line="288" w:before="0" w:after="0"/>
        <w:ind w:left="0" w:right="0" w:hanging="360"/>
        <w:jc w:val="left"/>
        <w:rPr/>
      </w:pPr>
      <w:r>
        <w:rPr>
          <w:color w:val="000000"/>
        </w:rPr>
        <w:t>•“</w:t>
      </w:r>
      <w:r>
        <w:rPr>
          <w:rFonts w:ascii="Calibri;sans-serif" w:hAnsi="Calibri;sans-serif"/>
          <w:b w:val="false"/>
          <w:i/>
          <w:color w:val="000000"/>
          <w:sz w:val="22"/>
        </w:rPr>
        <w:t>Permanent Insiders</w:t>
      </w:r>
      <w:r>
        <w:rPr>
          <w:color w:val="000000"/>
        </w:rPr>
        <w:t xml:space="preserve">” </w:t>
      </w:r>
      <w:r>
        <w:rPr>
          <w:rFonts w:ascii="Calibri;sans-serif" w:hAnsi="Calibri;sans-serif"/>
          <w:b w:val="false"/>
          <w:color w:val="000000"/>
          <w:sz w:val="22"/>
        </w:rPr>
        <w:t>refers to employees of Viatris Inc. and/or all of its subsidiaries and Affiliates around the world (collectively, the “Company”) who have been identified (and notified) as Insiders due to ongoing access to nonpublic Material Information in connection with their roles and responsibilities (see Appendix A for list of categories of Permanent Insiders)</w:t>
      </w:r>
    </w:p>
    <w:p>
      <w:pPr>
        <w:pStyle w:val="TextBody"/>
        <w:bidi w:val="0"/>
        <w:spacing w:lineRule="auto" w:line="288" w:before="0" w:after="0"/>
        <w:ind w:left="0" w:right="0" w:hanging="360"/>
        <w:jc w:val="left"/>
        <w:rPr/>
      </w:pPr>
      <w:r>
        <w:rPr>
          <w:color w:val="000000"/>
        </w:rPr>
        <w:t>•“</w:t>
      </w:r>
      <w:r>
        <w:rPr>
          <w:rFonts w:ascii="Calibri;sans-serif" w:hAnsi="Calibri;sans-serif"/>
          <w:b w:val="false"/>
          <w:i/>
          <w:color w:val="000000"/>
          <w:sz w:val="22"/>
        </w:rPr>
        <w:t>Temporary Insiders</w:t>
      </w:r>
      <w:r>
        <w:rPr>
          <w:color w:val="000000"/>
        </w:rPr>
        <w:t xml:space="preserve">” </w:t>
      </w:r>
      <w:r>
        <w:rPr>
          <w:rFonts w:ascii="Calibri;sans-serif" w:hAnsi="Calibri;sans-serif"/>
          <w:b w:val="false"/>
          <w:color w:val="000000"/>
          <w:sz w:val="22"/>
        </w:rPr>
        <w:t>refers to employees of the Company who temporarily become Insiders upon receipt of financial results in the draft Form 10-K or Form 10-Q, or as a result of involvement in a specific project</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All other terms used but not defined herein have the same definition as included in the Company’s Global Insider Trading Policy</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u w:val="single"/>
        </w:rPr>
      </w:pPr>
      <w:r>
        <w:rPr>
          <w:rFonts w:ascii="Calibri;sans-serif" w:hAnsi="Calibri;sans-serif"/>
          <w:b w:val="false"/>
          <w:color w:val="000000"/>
          <w:sz w:val="22"/>
          <w:u w:val="single"/>
        </w:rPr>
        <w:t>Pre-Clearance Procedures</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val="false"/>
          <w:i/>
          <w:color w:val="000000"/>
          <w:sz w:val="22"/>
        </w:rPr>
        <w:t>Section 16 Filers must, prior to trading in Company Securities</w:t>
      </w:r>
      <w:r>
        <w:rPr>
          <w:rFonts w:ascii="Calibri;sans-serif" w:hAnsi="Calibri;sans-serif"/>
          <w:b w:val="false"/>
          <w:color w:val="000000"/>
          <w:sz w:val="22"/>
        </w:rPr>
        <w:t>:</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 xml:space="preserve">Ensure that they are not in possession of any nonpublic Material Information </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Ensure that they are not subject to any Quarterly Blackout Period or Special Blackout Period and that the trading window is not otherwise closed</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Submit Share Transaction Authorization Form to Global Human Relations in advance of proposed trade or gift of Company Securities</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Receive email from Global Human Relations confirming approval of trade or gift by the Securities Compliance Committee and ensure that trade or gift conforms to approval</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Inform Global Human Relations about an approved trade or gift on or prior to the date that trade occurs</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Provide Global Human Relations or Legal with any requested information about the trade or gift promptly, and within requested time frames, to ensure that an appropriate and timely Form 4 filing is made</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val="false"/>
          <w:i/>
          <w:color w:val="000000"/>
          <w:sz w:val="22"/>
        </w:rPr>
        <w:t>Permanent Insiders must, prior to trading in Company Securities</w:t>
      </w:r>
      <w:r>
        <w:rPr>
          <w:rFonts w:ascii="Calibri;sans-serif" w:hAnsi="Calibri;sans-serif"/>
          <w:b w:val="false"/>
          <w:color w:val="000000"/>
          <w:sz w:val="22"/>
        </w:rPr>
        <w:t>:</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 xml:space="preserve">Ensure that they are not in possession of any nonpublic Material Information </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Ensure that they are not subject to any Quarterly Blackout Period or Special Blackout Period and that the trading window is not otherwise closed</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Submit Share Transaction Authorization Form to Global Human Relations in advance of proposed trade or gift of Company Securities</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Receive email from Global Human Relations confirming approval of trade or gift by the Securities Compliance Committee and ensure that trade or gift conforms to approval</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val="false"/>
          <w:i/>
          <w:color w:val="000000"/>
          <w:sz w:val="22"/>
        </w:rPr>
        <w:t>Temporary Insiders must, prior to trading in Company Securities</w:t>
      </w:r>
      <w:r>
        <w:rPr>
          <w:rFonts w:ascii="Calibri;sans-serif" w:hAnsi="Calibri;sans-serif"/>
          <w:b w:val="false"/>
          <w:color w:val="000000"/>
          <w:sz w:val="22"/>
        </w:rPr>
        <w:t>:</w:t>
      </w:r>
    </w:p>
    <w:p>
      <w:pPr>
        <w:pStyle w:val="TextBody"/>
        <w:bidi w:val="0"/>
        <w:spacing w:before="0" w:after="283"/>
        <w:jc w:val="left"/>
        <w:rPr/>
      </w:pPr>
      <w:r>
        <w:rPr/>
      </w:r>
    </w:p>
    <w:p>
      <w:pPr>
        <w:pStyle w:val="TextBody"/>
        <w:bidi w:val="0"/>
        <w:spacing w:lineRule="auto" w:line="288" w:before="0" w:after="100"/>
        <w:jc w:val="right"/>
        <w:rPr>
          <w:rFonts w:ascii="Open Sans;sans-serif" w:hAnsi="Open Sans;sans-serif"/>
          <w:b w:val="false"/>
          <w:color w:val="FFFFFF"/>
          <w:sz w:val="20"/>
        </w:rPr>
      </w:pPr>
      <w:r>
        <w:rPr>
          <w:rFonts w:ascii="Open Sans;sans-serif" w:hAnsi="Open Sans;sans-serif"/>
          <w:b w:val="false"/>
          <w:color w:val="FFFFFF"/>
          <w:sz w:val="20"/>
        </w:rPr>
        <w:t xml:space="preserve">Exhibit </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840740"/>
                <wp:effectExtent l="0" t="0" r="0" b="0"/>
                <wp:wrapNone/>
                <wp:docPr id="185" name="Frame181"/>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444.4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 xml:space="preserve">Ensure that they are not in possession of any nonpublic Material Information </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Ensure that they are not subject to any Quarterly Blackout Period or Special Blackout Period and that the trading window is not otherwise closed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u w:val="single"/>
        </w:rPr>
      </w:pPr>
      <w:r>
        <w:rPr>
          <w:rFonts w:ascii="Calibri;sans-serif" w:hAnsi="Calibri;sans-serif"/>
          <w:b w:val="false"/>
          <w:color w:val="000000"/>
          <w:sz w:val="22"/>
          <w:u w:val="single"/>
        </w:rPr>
        <w:t>Quarterly Trading Window Open and Close Procedures</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val="false"/>
          <w:i/>
          <w:color w:val="000000"/>
          <w:sz w:val="22"/>
        </w:rPr>
        <w:t>For Section 16 Filers and Permanent Insiders</w:t>
      </w:r>
      <w:r>
        <w:rPr>
          <w:rFonts w:ascii="Calibri;sans-serif" w:hAnsi="Calibri;sans-serif"/>
          <w:b w:val="false"/>
          <w:color w:val="000000"/>
          <w:sz w:val="22"/>
        </w:rPr>
        <w:t>:</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Trading Window Opening</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Earlier of 24 hours or one full trading day after quarterly or annual earnings results are announced, email sent from Legal:</w:t>
      </w:r>
    </w:p>
    <w:p>
      <w:pPr>
        <w:pStyle w:val="TextBody"/>
        <w:bidi w:val="0"/>
        <w:spacing w:lineRule="auto" w:line="288"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Indicating that the trading window is open</w:t>
      </w:r>
    </w:p>
    <w:p>
      <w:pPr>
        <w:pStyle w:val="TextBody"/>
        <w:bidi w:val="0"/>
        <w:spacing w:lineRule="auto" w:line="288"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Providing Share Transaction Authorization Form</w:t>
      </w:r>
    </w:p>
    <w:p>
      <w:pPr>
        <w:pStyle w:val="TextBody"/>
        <w:bidi w:val="0"/>
        <w:spacing w:lineRule="auto" w:line="288"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Reminding when the trading window will close (i.e., 15 days prior to the end of the fiscal quarter)</w:t>
      </w:r>
    </w:p>
    <w:p>
      <w:pPr>
        <w:pStyle w:val="TextBody"/>
        <w:bidi w:val="0"/>
        <w:spacing w:lineRule="auto" w:line="288"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Noting that Trading Plans and trade requests should be made at least 48 hours prior to trading window closing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Trading Window Closing</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15 days prior to the end of the fiscal quarter, email sent from Legal alerting that trading window is closed</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Flag placed on individual account by Global Human Relations</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val="false"/>
          <w:i/>
          <w:color w:val="000000"/>
          <w:sz w:val="22"/>
        </w:rPr>
        <w:t>For Temporary Insiders</w:t>
      </w:r>
      <w:r>
        <w:rPr>
          <w:rFonts w:ascii="Calibri;sans-serif" w:hAnsi="Calibri;sans-serif"/>
          <w:b w:val="false"/>
          <w:color w:val="000000"/>
          <w:sz w:val="22"/>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Trading Window Opening</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Earlier of 24 hours or one full trading day after quarterly or annual earnings results are announced, email sent from Legal:</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Indicating that the trading window is open</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Reminding when the trading window will close (i.e., distribution of next Form 10- K or 10-Q)</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Noting that Trading Plans and trade requests should be made at least 48 hours prior to trading window closing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Trading Window Closing</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Upon distribution to Temporary Insider of draft Form 10-K or 10-Q for review and comment, email from Legal alerting that trading window is closed</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Flag placed on individual account by Global Human Relations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u w:val="single"/>
        </w:rPr>
      </w:pPr>
      <w:r>
        <w:rPr>
          <w:rFonts w:ascii="Calibri;sans-serif" w:hAnsi="Calibri;sans-serif"/>
          <w:b w:val="false"/>
          <w:color w:val="000000"/>
          <w:sz w:val="22"/>
          <w:u w:val="single"/>
        </w:rPr>
        <w:t>Special Blackout Period Procedures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The Chief Executive Officer (“CEO”) or the Securities Compliance Committee may designate, from time to time, a Special Blackout Period with respect to certain projects, acquisitions, or otherwise.</w:t>
      </w:r>
    </w:p>
    <w:p>
      <w:pPr>
        <w:pStyle w:val="TextBody"/>
        <w:bidi w:val="0"/>
        <w:spacing w:lineRule="auto" w:line="288"/>
        <w:ind w:left="0" w:right="0" w:hanging="360"/>
        <w:jc w:val="left"/>
        <w:rPr/>
      </w:pPr>
      <w:r>
        <w:rPr>
          <w:color w:val="000000"/>
        </w:rPr>
        <w:t>•</w:t>
      </w:r>
      <w:r>
        <w:rPr>
          <w:rFonts w:ascii="Calibri;sans-serif" w:hAnsi="Calibri;sans-serif"/>
          <w:b w:val="false"/>
          <w:color w:val="000000"/>
          <w:sz w:val="22"/>
        </w:rPr>
        <w:t>Insiders subject to a Special Blackout Period will be notified by email and may be asked to sign a non-disclosure agreement at the discretion of the CEO or the Securities Compliance Committee. The existence of a Special Blackout Period will not be announced to the Company generally, should not be communicated to any other person, and may itself be considered to be nonpublic Material Information.</w:t>
      </w:r>
    </w:p>
    <w:p>
      <w:pPr>
        <w:pStyle w:val="TextBody"/>
        <w:bidi w:val="0"/>
        <w:spacing w:lineRule="auto" w:line="288" w:before="0" w:after="100"/>
        <w:jc w:val="right"/>
        <w:rPr>
          <w:rFonts w:ascii="Open Sans;sans-serif" w:hAnsi="Open Sans;sans-serif"/>
          <w:b w:val="false"/>
          <w:color w:val="FFFFFF"/>
          <w:sz w:val="20"/>
        </w:rPr>
      </w:pPr>
      <w:r>
        <w:rPr>
          <w:rFonts w:ascii="Open Sans;sans-serif" w:hAnsi="Open Sans;sans-serif"/>
          <w:b w:val="false"/>
          <w:color w:val="FFFFFF"/>
          <w:sz w:val="20"/>
        </w:rPr>
        <w:t xml:space="preserve">Exhibit </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840740"/>
                <wp:effectExtent l="0" t="0" r="0" b="0"/>
                <wp:wrapNone/>
                <wp:docPr id="186" name="Frame182"/>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444.4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The list of Insiders subject to the Special Blackout Period should be presented to Global Human Relations and Legal – Securities and Corporate governance groups for implementation.</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Any Insiders subject to a Special Blackout Period will not be permitted to trade in Company Securities, or the securities of any other company specified by the Securities Compliance Committee or the CEO, until the Special Blackout Period is terminated.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u w:val="single"/>
        </w:rPr>
      </w:pPr>
      <w:r>
        <w:rPr>
          <w:rFonts w:ascii="Calibri;sans-serif" w:hAnsi="Calibri;sans-serif"/>
          <w:b w:val="false"/>
          <w:color w:val="000000"/>
          <w:sz w:val="22"/>
          <w:u w:val="single"/>
        </w:rPr>
        <w:t>Trading Plan Procedures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Any Insider may seek to enter into a Trading Plan by coordinating with Global Human Relations.</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Any new Trading Plan, amendment or modification to an existing Trading Plan or termination of a Trading Plan prior to its expiration (an “early termination”) must be approved by the Securities Compliance Committee.</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Trading Plans can only be adopted, amended or terminated during an open trading window and when an Insider is not in possession of any nonpublic Material Information.</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An Insider may not enter into multiple Trading Plans providing for transactions during overlapping periods except with respect to (1) separate contracts with different broker-dealers or other agents acting on behalf of the Insider that may be treated as a single plan, (2) one later-commencing Trading Plan under which trading is not authorized to begin until after all trades under the earlier commencing Trading Plan are completed or expired without execution and (3) a Trading Plan providing for an eligible sell-to-cover transaction, in each case as allowed under Rule 10b5-1.</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If a Trading Plan does not provide for an “eligible sell-to-cover transaction” (as defined in Rule 10b5-1) and is designed to effect the open-market purchase or sale of the total amount of securities as a single transaction, the Trading Plan may not be entered into unless (1) the Insider entering into the Trading Plan has not, during the prior 12-month period, adopted a Trading Plan that was designed to effect the open-market purchase or sale of the total amount of securities subject to that plan in a single transaction and (2) such other Trading Plan in fact was eligible to receive the affirmative defense under paragraph (c)(1) of Rule 10b5-1.</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Any Section 16 Filer entering into a Trading Plan must include in the Trading Plan a written representation that they are (i) not aware of any material nonpublic information about the security or issuer and (ii) is adopting the Trading Plan in good faith and not as part of a plan or scheme to evade the prohibitions of Rule 10b5-1.</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No purchases or sales may occur under a Trading Plan until the expiration of a “cooling-off period” consisting of the later of (i) 90 days after adoption of the Trading Plan or (ii) two business days following the disclosure of the Company’s financial results in a Form 10-Q or Form 10-K for the completed fiscal quarter in which the Trading Plan was adopted (but not to exceed 120 days in total).</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 xml:space="preserve">Any modification or change to the amount, price or timing of the purchase or sale of the securities underlying a Trading Plan is considered a termination of such Trading Plan and the adoption of a new Trading Plan. A Trading Plan modification, such as the substitution or removal of a broker that is executing trades pursuant to a Trading Plan on behalf of the person, that changes the price or date on which purchases or sales are to be executed, is considered a termination of such Trading Plan and the adoption of a new Trading Plan. </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Early termination of a Trading Plan is strongly discouraged, and the Securities Compliance Committee will only approve an early termination under extenuating circumstances. In any event, a new cooling-off period must be observed before any transaction occurs pursuant to the terms and conditions of a new Trading Plan.</w:t>
      </w:r>
    </w:p>
    <w:p>
      <w:pPr>
        <w:pStyle w:val="TextBody"/>
        <w:bidi w:val="0"/>
        <w:spacing w:lineRule="auto" w:line="288"/>
        <w:ind w:left="0" w:right="0" w:hanging="360"/>
        <w:jc w:val="left"/>
        <w:rPr/>
      </w:pPr>
      <w:r>
        <w:rPr>
          <w:color w:val="000000"/>
        </w:rPr>
        <w:t>•</w:t>
      </w:r>
      <w:r>
        <w:rPr>
          <w:rFonts w:ascii="Calibri;sans-serif" w:hAnsi="Calibri;sans-serif"/>
          <w:b w:val="false"/>
          <w:color w:val="000000"/>
          <w:sz w:val="22"/>
        </w:rPr>
        <w:t>Global Human Relations will maintain a list of all currently active Trading Plans.</w:t>
      </w:r>
    </w:p>
    <w:p>
      <w:pPr>
        <w:pStyle w:val="TextBody"/>
        <w:bidi w:val="0"/>
        <w:spacing w:lineRule="auto" w:line="288" w:before="0" w:after="100"/>
        <w:jc w:val="right"/>
        <w:rPr>
          <w:rFonts w:ascii="Open Sans;sans-serif" w:hAnsi="Open Sans;sans-serif"/>
          <w:b w:val="false"/>
          <w:color w:val="FFFFFF"/>
          <w:sz w:val="20"/>
        </w:rPr>
      </w:pPr>
      <w:r>
        <w:rPr>
          <w:rFonts w:ascii="Open Sans;sans-serif" w:hAnsi="Open Sans;sans-serif"/>
          <w:b w:val="false"/>
          <w:color w:val="FFFFFF"/>
          <w:sz w:val="20"/>
        </w:rPr>
        <w:t xml:space="preserve">Exhibit </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840740"/>
                <wp:effectExtent l="0" t="0" r="0" b="0"/>
                <wp:wrapNone/>
                <wp:docPr id="187" name="Frame183"/>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10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444.4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10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2"/>
          <w:u w:val="single"/>
        </w:rPr>
      </w:pPr>
      <w:r>
        <w:rPr>
          <w:rFonts w:ascii="Calibri;sans-serif" w:hAnsi="Calibri;sans-serif"/>
          <w:b w:val="false"/>
          <w:color w:val="000000"/>
          <w:sz w:val="22"/>
          <w:u w:val="single"/>
        </w:rPr>
        <w:t xml:space="preserve">Appendix A </w:t>
      </w:r>
    </w:p>
    <w:p>
      <w:pPr>
        <w:pStyle w:val="TextBody"/>
        <w:bidi w:val="0"/>
        <w:spacing w:lineRule="auto" w:line="288" w:before="0" w:after="0"/>
        <w:jc w:val="center"/>
        <w:rPr>
          <w:rFonts w:ascii="Calibri;sans-serif" w:hAnsi="Calibri;sans-serif"/>
          <w:b w:val="false"/>
          <w:color w:val="000000"/>
          <w:sz w:val="22"/>
          <w:u w:val="single"/>
        </w:rPr>
      </w:pPr>
      <w:r>
        <w:rPr>
          <w:rFonts w:ascii="Calibri;sans-serif" w:hAnsi="Calibri;sans-serif"/>
          <w:b w:val="false"/>
          <w:color w:val="000000"/>
          <w:sz w:val="22"/>
          <w:u w:val="single"/>
        </w:rPr>
        <w:t>Permanent Insider Categories</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Senior management at grade level V02 or equivalent and above</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Members of the Disclosure Committee and attendees at Disclosure Committee Meetings</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Employees at grade levels V03 to V07 or equivalent who work in the following or equivalent functions:</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Finance</w:t>
      </w:r>
    </w:p>
    <w:p>
      <w:pPr>
        <w:pStyle w:val="TextBody"/>
        <w:bidi w:val="0"/>
        <w:spacing w:lineRule="auto" w:line="288"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Controllership</w:t>
      </w:r>
    </w:p>
    <w:p>
      <w:pPr>
        <w:pStyle w:val="TextBody"/>
        <w:bidi w:val="0"/>
        <w:spacing w:lineRule="auto" w:line="288"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Business Development</w:t>
      </w:r>
    </w:p>
    <w:p>
      <w:pPr>
        <w:pStyle w:val="TextBody"/>
        <w:bidi w:val="0"/>
        <w:spacing w:lineRule="auto" w:line="288"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FP&amp;A</w:t>
      </w:r>
    </w:p>
    <w:p>
      <w:pPr>
        <w:pStyle w:val="TextBody"/>
        <w:bidi w:val="0"/>
        <w:spacing w:lineRule="auto" w:line="288"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Internal Audit</w:t>
      </w:r>
    </w:p>
    <w:p>
      <w:pPr>
        <w:pStyle w:val="TextBody"/>
        <w:bidi w:val="0"/>
        <w:spacing w:lineRule="auto" w:line="288"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Segment Finance Leads</w:t>
      </w:r>
    </w:p>
    <w:p>
      <w:pPr>
        <w:pStyle w:val="TextBody"/>
        <w:bidi w:val="0"/>
        <w:spacing w:lineRule="auto" w:line="288"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Treasury</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Investor Relations</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Legal – Securities and Corporate Governance</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Human Relations – Global Total Rewards</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Business Development</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Communications</w:t>
      </w:r>
    </w:p>
    <w:p>
      <w:pPr>
        <w:pStyle w:val="TextBody"/>
        <w:bidi w:val="0"/>
        <w:spacing w:lineRule="auto" w:line="288"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Strategy</w:t>
      </w:r>
    </w:p>
    <w:p>
      <w:pPr>
        <w:pStyle w:val="TextBody"/>
        <w:bidi w:val="0"/>
        <w:spacing w:lineRule="auto" w:line="288"/>
        <w:ind w:left="0" w:right="0" w:hanging="360"/>
        <w:jc w:val="left"/>
        <w:rPr/>
      </w:pPr>
      <w:r>
        <w:rPr>
          <w:color w:val="000000"/>
        </w:rPr>
        <w:t>•</w:t>
      </w:r>
      <w:r>
        <w:rPr>
          <w:rFonts w:ascii="Calibri;sans-serif" w:hAnsi="Calibri;sans-serif"/>
          <w:b w:val="false"/>
          <w:color w:val="000000"/>
          <w:sz w:val="22"/>
        </w:rPr>
        <w:t>Executive assistants and Chiefs of Staff to direct reports of the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840740"/>
                <wp:effectExtent l="0" t="0" r="0" b="0"/>
                <wp:wrapNone/>
                <wp:docPr id="188" name="Frame184"/>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 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48" w:before="0" w:after="160"/>
        <w:jc w:val="right"/>
        <w:rPr>
          <w:color w:val="000000"/>
        </w:rPr>
      </w:pPr>
      <w:r>
        <w:rPr>
          <w:color w:val="000000"/>
        </w:rPr>
        <w:t>                                            </w:t>
      </w:r>
      <w:r>
        <w:rPr>
          <w:rFonts w:ascii="Times New Roman;sans-serif" w:hAnsi="Times New Roman;sans-serif"/>
          <w:b/>
          <w:color w:val="000000"/>
          <w:sz w:val="22"/>
        </w:rPr>
        <w:t>Exhibit 21</w:t>
      </w:r>
    </w:p>
    <w:p>
      <w:pPr>
        <w:pStyle w:val="TextBody"/>
        <w:bidi w:val="0"/>
        <w:spacing w:lineRule="auto" w:line="348" w:before="0" w:after="160"/>
        <w:jc w:val="left"/>
        <w:rPr>
          <w:rFonts w:ascii="Times New Roman;sans-serif" w:hAnsi="Times New Roman;sans-serif"/>
          <w:b/>
          <w:color w:val="000000"/>
          <w:sz w:val="22"/>
        </w:rPr>
      </w:pPr>
      <w:r>
        <w:rPr>
          <w:rFonts w:ascii="Times New Roman;sans-serif" w:hAnsi="Times New Roman;sans-serif"/>
          <w:b/>
          <w:color w:val="000000"/>
          <w:sz w:val="22"/>
        </w:rPr>
        <w:t>Subsidiaries as of December 31, 2024</w:t>
      </w:r>
    </w:p>
    <w:tbl>
      <w:tblPr>
        <w:tblW w:w="10205" w:type="dxa"/>
        <w:jc w:val="left"/>
        <w:tblInd w:w="0" w:type="dxa"/>
        <w:tblLayout w:type="fixed"/>
        <w:tblCellMar>
          <w:top w:w="28" w:type="dxa"/>
          <w:left w:w="28" w:type="dxa"/>
          <w:bottom w:w="28" w:type="dxa"/>
          <w:right w:w="28" w:type="dxa"/>
        </w:tblCellMar>
      </w:tblPr>
      <w:tblGrid>
        <w:gridCol w:w="2438"/>
        <w:gridCol w:w="2127"/>
        <w:gridCol w:w="2163"/>
        <w:gridCol w:w="1017"/>
        <w:gridCol w:w="1017"/>
        <w:gridCol w:w="1443"/>
      </w:tblGrid>
      <w:tr>
        <w:trPr/>
        <w:tc>
          <w:tcPr>
            <w:tcW w:w="2438"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color w:val="000000"/>
                <w:sz w:val="24"/>
                <w:u w:val="single"/>
              </w:rPr>
            </w:pPr>
            <w:r>
              <w:rPr>
                <w:rFonts w:ascii="Times New Roman;sans-serif" w:hAnsi="Times New Roman;sans-serif"/>
                <w:b/>
                <w:color w:val="000000"/>
                <w:sz w:val="24"/>
                <w:u w:val="single"/>
              </w:rPr>
              <w:t>Name</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color w:val="000000"/>
                <w:sz w:val="24"/>
                <w:u w:val="single"/>
              </w:rPr>
            </w:pPr>
            <w:r>
              <w:rPr>
                <w:rFonts w:ascii="Times New Roman;sans-serif" w:hAnsi="Times New Roman;sans-serif"/>
                <w:b/>
                <w:color w:val="000000"/>
                <w:sz w:val="24"/>
                <w:u w:val="single"/>
              </w:rPr>
              <w:t>State or Country of Organization</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Agila Australasia Pty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Alphapharm Pty.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Australia Holding Pty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Australia Pty Limited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Australia Pty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Pty.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Arcana Arzneimittel GmbH</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Austria</w:t>
            </w:r>
          </w:p>
        </w:tc>
      </w:tr>
      <w:tr>
        <w:trPr/>
        <w:tc>
          <w:tcPr>
            <w:tcW w:w="6728"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Austria GmbH</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Austria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Upjohn BV </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Belgium</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BV</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Belgium</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Viatris GX BV </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Belgium</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Viatris Healthcare NV </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International Supply Point BV</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Belgium</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Belgium</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Bermuda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Bermuda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BH, društvo sa ograničenom odgovornošću za trgovinu i usluge</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Bosnia and Herzegovina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Laboratórios Ltda</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Brazil</w:t>
            </w:r>
          </w:p>
        </w:tc>
      </w:tr>
      <w:tr>
        <w:trPr/>
        <w:tc>
          <w:tcPr>
            <w:tcW w:w="6728"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Brasil Importadora e Distribuidora De Medicamentos Ltda</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Brazil</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EOOD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Bulgaria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BGP Pharma ULC</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Pharmaceuticals ULC</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Canada ULC</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 Investment Co.</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 Zhi (Hainan) Health Investment Co.,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Cayman Islands</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 Zhi (Hainan) Medical Technology Co.,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 Zhi Health Management Co., Ltd.</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Hai Nan Ge Zhi Telemedicine Center Co.,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Idorsia (Beijing) Pharmaceuticals Ltd.</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 Science and Technology (Shanghai) Co.,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(Hainan) Investment Co.,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758" w:type="dxa"/>
        <w:jc w:val="left"/>
        <w:tblInd w:w="0" w:type="dxa"/>
        <w:tblLayout w:type="fixed"/>
        <w:tblCellMar>
          <w:top w:w="28" w:type="dxa"/>
          <w:left w:w="28" w:type="dxa"/>
          <w:bottom w:w="28" w:type="dxa"/>
          <w:right w:w="28" w:type="dxa"/>
        </w:tblCellMar>
      </w:tblPr>
      <w:tblGrid>
        <w:gridCol w:w="1481"/>
        <w:gridCol w:w="1304"/>
        <w:gridCol w:w="1309"/>
        <w:gridCol w:w="486"/>
        <w:gridCol w:w="486"/>
        <w:gridCol w:w="692"/>
      </w:tblGrid>
      <w:tr>
        <w:trPr/>
        <w:tc>
          <w:tcPr>
            <w:tcW w:w="148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 Co., Ltd.</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(Dalian) Co., Ltd.</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Hrvatska d.o.o.</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Croatia</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Onco Laboratories Limited</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Cyprus</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CZ s.r.o.</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Czech Republic</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Acton Pharmaceuticals,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Alaven Pharmaceutical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ALVP Holdings,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Delcor Asset Corporation</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Denco Asset,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Deogun Manufacturing,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Dey Limited Partner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Dey,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EMD,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Ezio Pharma,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Franklin Pharmaceutical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Greenstone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Madaus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Marquis Industrial Company,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Pharmaceuticals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API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Consumer Healthcare,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D.T. (U.S.) Holdings,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D.T. DPT Partner Sub,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D.T.,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I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II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Institutional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Investment Holdings 4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Investment Holdings 5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Investment Holdings 6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Securitization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Special Investments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24" w:type="dxa"/>
        <w:jc w:val="left"/>
        <w:tblInd w:w="0" w:type="dxa"/>
        <w:tblLayout w:type="fixed"/>
        <w:tblCellMar>
          <w:top w:w="28" w:type="dxa"/>
          <w:left w:w="28" w:type="dxa"/>
          <w:bottom w:w="28" w:type="dxa"/>
          <w:right w:w="28" w:type="dxa"/>
        </w:tblCellMar>
      </w:tblPr>
      <w:tblGrid>
        <w:gridCol w:w="1374"/>
        <w:gridCol w:w="1209"/>
        <w:gridCol w:w="1212"/>
        <w:gridCol w:w="535"/>
        <w:gridCol w:w="535"/>
        <w:gridCol w:w="759"/>
      </w:tblGrid>
      <w:tr>
        <w:trPr/>
        <w:tc>
          <w:tcPr>
            <w:tcW w:w="137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Special Investments II,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Special Investments III,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Special Investments IV,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Special Investments V,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Special Investments VI,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Nimes Inc.</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Oyster Point Pharma, Inc. </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Powder Street,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Prestium Pharma,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Somerset Pharmaceuticals,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US 2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US Employment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US Holdings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Worldwide Holdings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Utah Acquisition Holdco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Utah Acquisition Sub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Enterprises LLC</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Viatris Holdings LLC </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Viatris Overseas Inc. </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Specialty LLC</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US Holdings 4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US Holdings 5 LLC</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US Supply Hub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Wallace Pharmaceuticals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ApS</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Denmark</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ApS</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Denmark</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Egypt Pharmaceutical S.A.E.</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Egypt</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Egypt S.A.E.</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Egypt</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 Care</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Egypt</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Agila Specialties Investments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Generics (U.K.)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Acquisition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Acquisition 2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99" w:type="dxa"/>
        <w:jc w:val="left"/>
        <w:tblInd w:w="0" w:type="dxa"/>
        <w:tblLayout w:type="fixed"/>
        <w:tblCellMar>
          <w:top w:w="28" w:type="dxa"/>
          <w:left w:w="28" w:type="dxa"/>
          <w:bottom w:w="28" w:type="dxa"/>
          <w:right w:w="28" w:type="dxa"/>
        </w:tblCellMar>
      </w:tblPr>
      <w:tblGrid>
        <w:gridCol w:w="1402"/>
        <w:gridCol w:w="1230"/>
        <w:gridCol w:w="1238"/>
        <w:gridCol w:w="534"/>
        <w:gridCol w:w="534"/>
        <w:gridCol w:w="761"/>
      </w:tblGrid>
      <w:tr>
        <w:trPr/>
        <w:tc>
          <w:tcPr>
            <w:tcW w:w="14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Ltd.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 UK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Products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UK 2 Ltd.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UK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UK Healthcare Limited</w:t>
            </w:r>
          </w:p>
          <w:p>
            <w:pPr>
              <w:pStyle w:val="TableContents"/>
              <w:bidi w:val="0"/>
              <w:spacing w:lineRule="auto" w:line="312" w:before="43" w:after="2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Viatris OÜ </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Estonia</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Oy</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Finland</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Generics France Holding S.A.S.</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Laboratories S.A.S.</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Medical</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Sante</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Up</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Erste Madaus Beteiligungs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Madaus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Germany Holding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Manufacturing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GmbH &amp; Co. KG</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MWB Pharma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dura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Germany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Pharmazeutische Union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PharmLog Pharma Logistik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ROTTAPHARM | MADAUS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Zweite Madaus Beteiligungs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(Gibraltar) 4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Gibraltar</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(Gibraltar) 5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Gibraltar</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(Gibraltar) 6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Gibraltar</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(Gibraltar) 7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Gibraltar</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(Gibraltar) 8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Gibraltar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838" w:type="dxa"/>
        <w:jc w:val="left"/>
        <w:tblInd w:w="0" w:type="dxa"/>
        <w:tblLayout w:type="fixed"/>
        <w:tblCellMar>
          <w:top w:w="28" w:type="dxa"/>
          <w:left w:w="28" w:type="dxa"/>
          <w:bottom w:w="28" w:type="dxa"/>
          <w:right w:w="28" w:type="dxa"/>
        </w:tblCellMar>
      </w:tblPr>
      <w:tblGrid>
        <w:gridCol w:w="2009"/>
        <w:gridCol w:w="1767"/>
        <w:gridCol w:w="1773"/>
        <w:gridCol w:w="377"/>
        <w:gridCol w:w="377"/>
        <w:gridCol w:w="535"/>
      </w:tblGrid>
      <w:tr>
        <w:trPr/>
        <w:tc>
          <w:tcPr>
            <w:tcW w:w="200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(Gibraltar) 9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Gibraltar</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Hellas Pharmaceutical Limited Liability Company</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Greece</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 Hong Kong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Hong Kong</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Hong Kong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Hong Kong</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Hungary Kft.</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Hungary</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Kft.</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Hungary</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Services Kft.</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Hungary</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Institutional Inc.</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Famy Life Sciences Private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Illinois</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India</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Laboratories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India</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Pharmaceuticals Private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India</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McDermott Laboratories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Health Sales Ireland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Investments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IRE Healthcare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Ireland Investment Designated Activity Company</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Ireland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 Acquisition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 Group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 Holdings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Pharmaceuticals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Teoranta</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Rottapharm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Manufacturing Ireland Unlimited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S.p.A.</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Italy</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Italia S.r.l.</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Italy</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 S.r.l.</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Italy</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Mylan Seiyaku Ltd. </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Japan</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G.K</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Japan</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Viatris Pharmaceuticals Japan G.K. </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Japan</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SIA</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Latvia</w:t>
            </w:r>
          </w:p>
        </w:tc>
      </w:tr>
      <w:tr>
        <w:trPr/>
        <w:tc>
          <w:tcPr>
            <w:tcW w:w="554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UAB</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Lithuania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35" w:type="dxa"/>
        <w:jc w:val="left"/>
        <w:tblInd w:w="0" w:type="dxa"/>
        <w:tblLayout w:type="fixed"/>
        <w:tblCellMar>
          <w:top w:w="28" w:type="dxa"/>
          <w:left w:w="28" w:type="dxa"/>
          <w:bottom w:w="28" w:type="dxa"/>
          <w:right w:w="28" w:type="dxa"/>
        </w:tblCellMar>
      </w:tblPr>
      <w:tblGrid>
        <w:gridCol w:w="1611"/>
        <w:gridCol w:w="1417"/>
        <w:gridCol w:w="1426"/>
        <w:gridCol w:w="404"/>
        <w:gridCol w:w="404"/>
        <w:gridCol w:w="573"/>
      </w:tblGrid>
      <w:tr>
        <w:trPr/>
        <w:tc>
          <w:tcPr>
            <w:tcW w:w="161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BGP Products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Integral S.A.</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Luxembourg 1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Luxembourg 2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Luxembourg 3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Luxembourg 6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Luxembourg 7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Luxembourg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SIM S.A.</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 Lux Newco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Healthcare Sdn. Bhd.</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Malaysia</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Pfizer Parke Davis Sdn. Bhd.</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Malaysia</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Sdn. Bhd.</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Malaysia</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MP Laboratories (Mauritius) Ltd.</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Mauritius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Phama, S. de R.L. de C.V.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Mexico</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Servicios, S. de R.L. de C.V.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Mexico</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Mexico S. de R.L. de C.V.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Mexico</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S.A.S.</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Morocco</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Group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Healthcare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II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Belgium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EESV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Europe Holdings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Export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Finance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Global Holdings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Group Holdings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International Holdings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Vietnam Dutch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079" w:type="dxa"/>
        <w:jc w:val="left"/>
        <w:tblInd w:w="0" w:type="dxa"/>
        <w:tblLayout w:type="fixed"/>
        <w:tblCellMar>
          <w:top w:w="28" w:type="dxa"/>
          <w:left w:w="28" w:type="dxa"/>
          <w:bottom w:w="28" w:type="dxa"/>
          <w:right w:w="28" w:type="dxa"/>
        </w:tblCellMar>
      </w:tblPr>
      <w:tblGrid>
        <w:gridCol w:w="1853"/>
        <w:gridCol w:w="1629"/>
        <w:gridCol w:w="1632"/>
        <w:gridCol w:w="575"/>
        <w:gridCol w:w="575"/>
        <w:gridCol w:w="815"/>
      </w:tblGrid>
      <w:tr>
        <w:trPr/>
        <w:tc>
          <w:tcPr>
            <w:tcW w:w="185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Viatris Enterprise Holding B.V. </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Ireland Holding B.V.</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Manufacturing B.V.</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Mexico Holding B.V.</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Netherlands B.V.</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Holding B.V.</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Philippines Holding B.V.</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Turkey Holding B.V.</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FamyGen Life Sciences, Inc.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Nevada</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Agila Specialties Inc.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New Jersey</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BGP Products</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New Zealand</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New Zealand ULC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New Zealand</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Limited</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New Zealand</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Pty Ltd</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Nigeria</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Health Management LLC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North Carolina</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AS</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Norway</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ZpearPoint AS</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Norway</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MLRE LLC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Pennsylvania</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Sub Inc.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Pennsylvania</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Inc.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Pennsylvania</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Synerx Pharma, LLC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Pennsylvania</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Viatris, Inc. </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Philippines</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Inc.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Philippines</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pPr>
            <w:r>
              <w:rPr>
                <w:rFonts w:ascii="Times New Roman;sans-serif" w:hAnsi="Times New Roman;sans-serif"/>
                <w:b w:val="false"/>
                <w:color w:val="000000"/>
                <w:sz w:val="24"/>
              </w:rPr>
              <w:t xml:space="preserve">Viatris Healthcare </w:t>
            </w:r>
            <w:r>
              <w:rPr>
                <w:rFonts w:ascii="Times New Roman;sans-serif" w:hAnsi="Times New Roman;sans-serif"/>
                <w:b w:val="false"/>
                <w:color w:val="555555"/>
                <w:sz w:val="24"/>
                <w:shd w:fill="FFFFFF" w:val="clear"/>
              </w:rPr>
              <w:t xml:space="preserve">spółka z o.o. </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Poland</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Trade sp. z o.o.</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Poland</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BGP Products, Unipessoal, LDA</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Portugal</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Laboratorios Anova - Produtos Farmaceuticos, LDA</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Portugal</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Laboratorios Delta, S.A.</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Portugal</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Lda</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Portugal</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Viatris Healthcare, Lda. </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Portugal</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BGP Products S.r.l.</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Romania</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 LLC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Russian Federation</w:t>
            </w:r>
          </w:p>
        </w:tc>
      </w:tr>
      <w:tr>
        <w:trPr/>
        <w:tc>
          <w:tcPr>
            <w:tcW w:w="511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LLC</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Arabia Limited “LLC”</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Arabia Regional Headquarters</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Russian Federation</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Saudi Arabia</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Saudi Arabia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083" w:type="dxa"/>
        <w:jc w:val="left"/>
        <w:tblInd w:w="0" w:type="dxa"/>
        <w:tblLayout w:type="fixed"/>
        <w:tblCellMar>
          <w:top w:w="28" w:type="dxa"/>
          <w:left w:w="28" w:type="dxa"/>
          <w:bottom w:w="28" w:type="dxa"/>
          <w:right w:w="28" w:type="dxa"/>
        </w:tblCellMar>
      </w:tblPr>
      <w:tblGrid>
        <w:gridCol w:w="2436"/>
        <w:gridCol w:w="2137"/>
        <w:gridCol w:w="2146"/>
        <w:gridCol w:w="399"/>
        <w:gridCol w:w="399"/>
        <w:gridCol w:w="566"/>
      </w:tblGrid>
      <w:tr>
        <w:trPr/>
        <w:tc>
          <w:tcPr>
            <w:tcW w:w="2436"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Drustvo SA Ogranicenom Odgovornoscu Beograd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Serbia</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Pharmaceuticals Pte. Ltd.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Singapore</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Asia Pacific Pte Ltd.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Singapore</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Private Limited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Singapore</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Singapore Pte Ltd.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Singapore</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Slovakia s.r.o.</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Slovakia</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farmacevtsko podjetje, d.o.o.</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Slovenia</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South Africa (Pty) Limited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South Africa</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Pharmaceuticals (Pty) Ltd.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South Africa</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SCP Pharmaceuticals (Proprietary) Limited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South Africa</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Upjohn South Africa Proprietary Limited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South Africa</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(Pty) Ltd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South Africa</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South Africa (Proprietary) Limited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South Africa</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Korea</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South Korea</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Fundacion Viatris para la Salud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Spain</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S.L.</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Spain</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S.L.</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Spain</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Abbex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BGP Products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Ipex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Ipex Medical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OTC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Sweden Holdings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Recip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Scandinavian Pharmaceuticals-Generics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BGP Products Operations GmbH</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GmbH</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Pharmaceuticals Switzerland GmbH</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67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GmbH</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05" w:type="dxa"/>
        <w:jc w:val="left"/>
        <w:tblInd w:w="0" w:type="dxa"/>
        <w:tblLayout w:type="fixed"/>
        <w:tblCellMar>
          <w:top w:w="28" w:type="dxa"/>
          <w:left w:w="28" w:type="dxa"/>
          <w:bottom w:w="28" w:type="dxa"/>
          <w:right w:w="28" w:type="dxa"/>
        </w:tblCellMar>
      </w:tblPr>
      <w:tblGrid>
        <w:gridCol w:w="1515"/>
        <w:gridCol w:w="1331"/>
        <w:gridCol w:w="1339"/>
        <w:gridCol w:w="649"/>
        <w:gridCol w:w="649"/>
        <w:gridCol w:w="922"/>
      </w:tblGrid>
      <w:tr>
        <w:trPr/>
        <w:tc>
          <w:tcPr>
            <w:tcW w:w="151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 GmbH</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Innovation GmbH</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 GmbH</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(Taiwan) Limited</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Taiwan</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 Company Limited</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Taiwan</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DPT Laboratories, Ltd.</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Texas</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Bertek Pharmaceuticals Inc.</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Texas</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Viatris Healthcare (Thailand) Limited </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Thailand</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(Thailand) Limited</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Thailand</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(Thailand) Limited</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Thailand</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Viatris Ilaclari Limited Sirketi </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Turkey</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Meda Pharmaceuticals MEA FZ-LLC</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United Arab Emirates</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FZ-LLC</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United Arab Emirates</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Middle East FZ-LLC</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United Arab Emirates</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American Triumvirate Insurance Company</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Vermont</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International Holdings, Inc.</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Vermont</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Viatris Vietnam Limited Company</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Vietnam</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MP AIR, Inc.</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West Virginia</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Pharmaceuticals Inc.</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West Virginia</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Technologies, Inc.</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West Virginia</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Mylan ASI LLC</w:t>
            </w:r>
          </w:p>
        </w:tc>
        <w:tc>
          <w:tcPr>
            <w:tcW w:w="222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ans-serif" w:hAnsi="Times New Roman;sans-serif"/>
                <w:b w:val="false"/>
                <w:color w:val="000000"/>
                <w:sz w:val="24"/>
              </w:rPr>
            </w:pPr>
            <w:r>
              <w:rPr>
                <w:rFonts w:ascii="Times New Roman;sans-serif" w:hAnsi="Times New Roman;sans-serif"/>
                <w:b w:val="false"/>
                <w:color w:val="000000"/>
                <w:sz w:val="24"/>
              </w:rPr>
              <w:t>Wyoming</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22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List of Subsidiary Guarantors and Issuers of Guaranteed Securities</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December 31, 2024, Viatris Inc., a Delaware corporation (“Viatris”), Mylan Inc., a Pennsylvania corporation (“Mylan Inc.”), and Mylan II B.V., a company incorporated under the laws of the Netherlands (“Mylan II”), were the guarantors of the 3.950% Senior Notes due 2026 and 5.250% Senior Notes due 2046 issued by Utah Acquisition Sub Inc., a Delaware corporation (“Utah”).</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December 31, 2024, Viatris, Utah and Mylan II were the guarantors of the 4.550% Senior Notes due 2028, 5.400% Senior Notes due 2043 and 5.200% Senior Notes due 2048 issued by Mylan Inc.</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December 31, 2024, Utah, Mylan Inc. and Mylan II were the guarantors of the 2.300% Senior Notes due 2027, 2.700% Senior Notes due 2030, 3.850% Senior Notes due 2040 and 4.000% Senior Notes due 2050 issued by Viatris.</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75" w:after="283"/>
        <w:jc w:val="right"/>
        <w:rPr>
          <w:rFonts w:ascii="Times New Roman;sans-serif" w:hAnsi="Times New Roman;sans-serif"/>
          <w:b/>
          <w:color w:val="000000"/>
          <w:sz w:val="22"/>
        </w:rPr>
      </w:pPr>
      <w:r>
        <w:rPr>
          <w:rFonts w:ascii="Times New Roman;sans-serif" w:hAnsi="Times New Roman;sans-serif"/>
          <w:b/>
          <w:color w:val="000000"/>
          <w:sz w:val="22"/>
        </w:rPr>
        <w:t>Exhibit 23</w:t>
      </w:r>
    </w:p>
    <w:p>
      <w:pPr>
        <w:pStyle w:val="TextBody"/>
        <w:bidi w:val="0"/>
        <w:spacing w:before="75" w:after="283"/>
        <w:jc w:val="left"/>
        <w:rPr/>
      </w:pPr>
      <w:r>
        <w:rPr/>
      </w:r>
    </w:p>
    <w:p>
      <w:pPr>
        <w:pStyle w:val="TextBody"/>
        <w:bidi w:val="0"/>
        <w:spacing w:lineRule="auto" w:line="288" w:before="75" w:after="283"/>
        <w:jc w:val="left"/>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16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Registration Statement Nos. 333-250845 and 333-270274 on Form S-8, Registration Statement No. 333-264760 on Form S-3ASR and Registration Statement No. 333-264762 on Form S-3 of our reports dated February 27, 2025, relating to the consolidated financial statements of Viatris Inc. (the “Company”) and the effectiveness of the Company's internal control over financial reporting appearing in this Annual Report on Form 10-K for the year ended December 31, 2024.</w:t>
      </w:r>
    </w:p>
    <w:p>
      <w:pPr>
        <w:pStyle w:val="TextBody"/>
        <w:bidi w:val="0"/>
        <w:spacing w:before="0" w:after="0"/>
        <w:jc w:val="left"/>
        <w:rPr/>
      </w:pPr>
      <w:r>
        <w:rPr/>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/s/ Deloitte &amp; Touche LLP</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Pittsburgh, Pennsylvania</w:t>
      </w:r>
    </w:p>
    <w:p>
      <w:pPr>
        <w:pStyle w:val="TextBody"/>
        <w:bidi w:val="0"/>
        <w:spacing w:lineRule="auto" w:line="417"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February 27,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Scott A. Smith, certify that:</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Form 10-K of Viatris Inc.;</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847" w:type="dxa"/>
        <w:jc w:val="left"/>
        <w:tblInd w:w="0" w:type="dxa"/>
        <w:tblLayout w:type="fixed"/>
        <w:tblCellMar>
          <w:top w:w="28" w:type="dxa"/>
          <w:left w:w="28" w:type="dxa"/>
          <w:bottom w:w="28" w:type="dxa"/>
          <w:right w:w="28" w:type="dxa"/>
        </w:tblCellMar>
      </w:tblPr>
      <w:tblGrid>
        <w:gridCol w:w="124"/>
        <w:gridCol w:w="109"/>
        <w:gridCol w:w="109"/>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27, 2025 </w:t>
      </w:r>
    </w:p>
    <w:p>
      <w:pPr>
        <w:pStyle w:val="TextBody"/>
        <w:bidi w:val="0"/>
        <w:spacing w:before="28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Theodora Mistras, certify that:</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Form 10-K of Viatris Inc.;</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27,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PRINCIPAL EXECUTIVE OFFICER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Form 10-K of Viatris Inc. (the “Company”) for the year ended December 31, 2024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27, 2025 </w:t>
      </w:r>
    </w:p>
    <w:tbl>
      <w:tblPr>
        <w:tblW w:w="2847" w:type="dxa"/>
        <w:jc w:val="left"/>
        <w:tblInd w:w="0" w:type="dxa"/>
        <w:tblLayout w:type="fixed"/>
        <w:tblCellMar>
          <w:top w:w="28" w:type="dxa"/>
          <w:left w:w="28" w:type="dxa"/>
          <w:bottom w:w="28" w:type="dxa"/>
          <w:right w:w="28" w:type="dxa"/>
        </w:tblCellMar>
      </w:tblPr>
      <w:tblGrid>
        <w:gridCol w:w="124"/>
        <w:gridCol w:w="109"/>
        <w:gridCol w:w="109"/>
        <w:gridCol w:w="734"/>
        <w:gridCol w:w="734"/>
        <w:gridCol w:w="10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Scott A. Smith</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288" w:before="0" w:after="0"/>
        <w:jc w:val="left"/>
        <w:rPr>
          <w:color w:val="000000"/>
        </w:rPr>
      </w:pPr>
      <w:r>
        <w:rPr>
          <w:color w:val="000000"/>
        </w:rPr>
        <w:t> </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Theodora Mistras</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in accordance with Securities and Exchange Commission Release No. 34-47551 and shall not be considered filed as part of the Form 10-K.</w:t>
      </w:r>
    </w:p>
    <w:p>
      <w:pPr>
        <w:pStyle w:val="TextBody"/>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Open Sans">
    <w:altName w:val="sans-serif"/>
    <w:charset w:val="01"/>
    <w:family w:val="auto"/>
    <w:pitch w:val="default"/>
  </w:font>
  <w:font w:name="Arial">
    <w:altName w:val="sans-serif"/>
    <w:charset w:val="01"/>
    <w:family w:val="auto"/>
    <w:pitch w:val="default"/>
  </w:font>
  <w:font w:name="Courier New">
    <w:altName w:val="monospace"/>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792044/000119312520157465/d904458dex21.htm" TargetMode="External"/><Relationship Id="rId7" Type="http://schemas.openxmlformats.org/officeDocument/2006/relationships/hyperlink" Target="https://www.sec.gov/Archives/edgar/data/0001623613/000119312519205031/d775236dex22.htm" TargetMode="External"/><Relationship Id="rId8" Type="http://schemas.openxmlformats.org/officeDocument/2006/relationships/hyperlink" Target="https://www.sec.gov/Archives/edgar/data/0001623613/000162361320000018/mylex2120200331-10q.htm" TargetMode="External"/><Relationship Id="rId9" Type="http://schemas.openxmlformats.org/officeDocument/2006/relationships/hyperlink" Target="https://www.sec.gov/Archives/edgar/data/0001623613/000119312520157416/d830428dex22.htm" TargetMode="External"/><Relationship Id="rId10" Type="http://schemas.openxmlformats.org/officeDocument/2006/relationships/hyperlink" Target="https://www.sec.gov/Archives/edgar/data/0001792044/000119312520298226/d56774dex26.htm" TargetMode="External"/><Relationship Id="rId11" Type="http://schemas.openxmlformats.org/officeDocument/2006/relationships/hyperlink" Target="https://www.sec.gov/Archives/edgar/data/1792044/000119312520298226/d56774dex27.htm" TargetMode="External"/><Relationship Id="rId12" Type="http://schemas.openxmlformats.org/officeDocument/2006/relationships/hyperlink" Target="https://www.sec.gov/Archives/edgar/data/1792044/000119312522058054/d265304dex21.htm" TargetMode="External"/><Relationship Id="rId13" Type="http://schemas.openxmlformats.org/officeDocument/2006/relationships/hyperlink" Target="https://www.sec.gov/Archives/edgar/data/1792044/000095015722001253/ex2-1.htm" TargetMode="External"/><Relationship Id="rId14" Type="http://schemas.openxmlformats.org/officeDocument/2006/relationships/hyperlink" Target="https://www.sec.gov/Archives/edgar/data/1792044/000179204423000024/ex_21xvtrsx20230630.htm" TargetMode="External"/><Relationship Id="rId15" Type="http://schemas.openxmlformats.org/officeDocument/2006/relationships/hyperlink" Target="https://www.sec.gov/Archives/edgar/data/1792044/000179204424000008/ex_23dxvtrsx10-kx12312023.htm" TargetMode="External"/><Relationship Id="rId16" Type="http://schemas.openxmlformats.org/officeDocument/2006/relationships/hyperlink" Target="https://www.sec.gov/Archives/edgar/data/1792044/000179204423000033/ex_21xvtrsx20230930.htm" TargetMode="External"/><Relationship Id="rId17" Type="http://schemas.openxmlformats.org/officeDocument/2006/relationships/hyperlink" Target="https://www.sec.gov/Archives/edgar/data/1792044/000119312524019472/d619190dex21.htm" TargetMode="External"/><Relationship Id="rId18" Type="http://schemas.openxmlformats.org/officeDocument/2006/relationships/hyperlink" Target="https://www.sec.gov/Archives/edgar/data/1792044/000119312520298226/d56774dex31.htm" TargetMode="External"/><Relationship Id="rId19" Type="http://schemas.openxmlformats.org/officeDocument/2006/relationships/hyperlink" Target="https://www.sec.gov/Archives/edgar/data/1792044/000119312520298226/d56774dex33.htm" TargetMode="External"/><Relationship Id="rId20" Type="http://schemas.openxmlformats.org/officeDocument/2006/relationships/hyperlink" Target="https://www.sec.gov/Archives/edgar/data/1792044/000179204424000008/ex_31cxvtrsx20231231x10-k.htm" TargetMode="External"/><Relationship Id="rId21" Type="http://schemas.openxmlformats.org/officeDocument/2006/relationships/hyperlink" Target="https://www.sec.gov/Archives/edgar/data/1792044/000179204424000008/ex_31dxvtrsx20231231x10-k.htm" TargetMode="External"/><Relationship Id="rId22" Type="http://schemas.openxmlformats.org/officeDocument/2006/relationships/hyperlink" Target="https://www.sec.gov/Archives/edgar/data/1792044/000119312523296654/d662898dex31.htm" TargetMode="External"/><Relationship Id="rId23" Type="http://schemas.openxmlformats.org/officeDocument/2006/relationships/hyperlink" Target="https://www.sec.gov/Archives/edgar/data/69499/000006949912000042/exhibit_41xindenture.htm" TargetMode="External"/><Relationship Id="rId24" Type="http://schemas.openxmlformats.org/officeDocument/2006/relationships/hyperlink" Target="https://www.sec.gov/Archives/edgar/data/1623613/000119312515068819/d882101dex44.htm" TargetMode="External"/><Relationship Id="rId25" Type="http://schemas.openxmlformats.org/officeDocument/2006/relationships/hyperlink" Target="https://www.sec.gov/Archives/edgar/data/1623613/000162361315000009/myl_ex43bx20150331-10q.htm" TargetMode="External"/><Relationship Id="rId26" Type="http://schemas.openxmlformats.org/officeDocument/2006/relationships/hyperlink" Target="https://www.sec.gov/Archives/edgar/data/1792044/000119312520298236/d57281dex46.htm" TargetMode="External"/><Relationship Id="rId27" Type="http://schemas.openxmlformats.org/officeDocument/2006/relationships/hyperlink" Target="https://www.sec.gov/Archives/edgar/data/69499/000110465913087739/a13-20314_5ex4d1.htm" TargetMode="External"/><Relationship Id="rId28" Type="http://schemas.openxmlformats.org/officeDocument/2006/relationships/hyperlink" Target="https://www.sec.gov/Archives/edgar/data/69499/000110465913087739/a13-20314_5ex4d2.htm" TargetMode="External"/><Relationship Id="rId29" Type="http://schemas.openxmlformats.org/officeDocument/2006/relationships/hyperlink" Target="https://www.sec.gov/Archives/edgar/data/1623613/000119312515068819/d882101dex46.htm" TargetMode="External"/><Relationship Id="rId30" Type="http://schemas.openxmlformats.org/officeDocument/2006/relationships/hyperlink" Target="https://www.sec.gov/Archives/edgar/data/1623613/000162361315000009/myl_ex45bx20150331-10q.htm" TargetMode="External"/><Relationship Id="rId31" Type="http://schemas.openxmlformats.org/officeDocument/2006/relationships/hyperlink" Target="https://www.sec.gov/Archives/edgar/data/1792044/000119312520298236/d57281dex47.htm" TargetMode="External"/><Relationship Id="rId32" Type="http://schemas.openxmlformats.org/officeDocument/2006/relationships/hyperlink" Target="https://www.sec.gov/Archives/edgar/data/1623613/000119312516622620/d207286dex41.htm" TargetMode="External"/><Relationship Id="rId33" Type="http://schemas.openxmlformats.org/officeDocument/2006/relationships/hyperlink" Target="https://www.sec.gov/Archives/edgar/data/1792044/000119312520298236/d57281dex44.htm" TargetMode="External"/><Relationship Id="rId34" Type="http://schemas.openxmlformats.org/officeDocument/2006/relationships/hyperlink" Target="https://www.sec.gov/Archives/edgar/data/1623613/000162361317000007/exhibit49.htm" TargetMode="External"/><Relationship Id="rId35" Type="http://schemas.openxmlformats.org/officeDocument/2006/relationships/hyperlink" Target="https://www.sec.gov/Archives/edgar/data/1792044/000119312520298236/d57281dex45.htm" TargetMode="External"/><Relationship Id="rId36" Type="http://schemas.openxmlformats.org/officeDocument/2006/relationships/hyperlink" Target="https://www.sec.gov/Archives/edgar/data/1623613/000119312518111603/d560332dex41.htm" TargetMode="External"/><Relationship Id="rId37" Type="http://schemas.openxmlformats.org/officeDocument/2006/relationships/hyperlink" Target="https://www.sec.gov/Archives/edgar/data/1792044/000119312520298236/d57281dex48.htm" TargetMode="External"/><Relationship Id="rId38" Type="http://schemas.openxmlformats.org/officeDocument/2006/relationships/hyperlink" Target="https://www.sec.gov/Archives/edgar/data/1623613/000119312518172116/d566535dex41.htm" TargetMode="External"/><Relationship Id="rId39" Type="http://schemas.openxmlformats.org/officeDocument/2006/relationships/hyperlink" Target="https://www.sec.gov/Archives/edgar/data/1792044/000119312520298236/d57281dex49.htm" TargetMode="External"/><Relationship Id="rId40" Type="http://schemas.openxmlformats.org/officeDocument/2006/relationships/hyperlink" Target="https://www.sec.gov/Archives/edgar/data/1792044/000119312520181088/d920857dex41.htm" TargetMode="External"/><Relationship Id="rId41" Type="http://schemas.openxmlformats.org/officeDocument/2006/relationships/hyperlink" Target="https://www.sec.gov/Archives/edgar/data/1792044/000119312520298236/d57281dex41.htm" TargetMode="External"/><Relationship Id="rId42" Type="http://schemas.openxmlformats.org/officeDocument/2006/relationships/hyperlink" Target="https://www.sec.gov/Archives/edgar/data/1792044/000119312520181088/d920857dex49.htm" TargetMode="External"/><Relationship Id="rId43" Type="http://schemas.openxmlformats.org/officeDocument/2006/relationships/hyperlink" Target="https://www.sec.gov/Archives/edgar/data/1792044/000119312520298236/d57281dex42.htm" TargetMode="External"/><Relationship Id="rId44" Type="http://schemas.openxmlformats.org/officeDocument/2006/relationships/hyperlink" Target="https://www.sec.gov/Archives/edgar/data/1792044/000179204424000008/ex_49xvtrsx20231231x10-k.htm" TargetMode="External"/><Relationship Id="rId45" Type="http://schemas.openxmlformats.org/officeDocument/2006/relationships/hyperlink" Target="https://www.sec.gov/Archives/edgar/data/1792044/000119312520167802/d781435dex101.htm" TargetMode="External"/><Relationship Id="rId46" Type="http://schemas.openxmlformats.org/officeDocument/2006/relationships/hyperlink" Target="https://www.sec.gov/Archives/edgar/data/1792044/000179204421000009/ex_101b-vtrsx20201231x10xk.htm" TargetMode="External"/><Relationship Id="rId47" Type="http://schemas.openxmlformats.org/officeDocument/2006/relationships/hyperlink" Target="https://www.sec.gov/Archives/edgar/data/1792044/000179204421000009/ex_101c-vtrsx20201231x10xk.htm" TargetMode="External"/><Relationship Id="rId48" Type="http://schemas.openxmlformats.org/officeDocument/2006/relationships/hyperlink" Target="https://www.sec.gov/Archives/edgar/data/1792044/000179204421000009/ex_101d-vtrsx20201231x10xk.htm" TargetMode="External"/><Relationship Id="rId49" Type="http://schemas.openxmlformats.org/officeDocument/2006/relationships/hyperlink" Target="https://www.sec.gov/Archives/edgar/data/1792044/000179204421000009/ex_101e-vtrsx20201231x10xk.htm" TargetMode="External"/><Relationship Id="rId50" Type="http://schemas.openxmlformats.org/officeDocument/2006/relationships/hyperlink" Target="https://www.sec.gov/Archives/edgar/data/1792044/000179204421000018/ex_101xvtrsx20210331x10-q.htm" TargetMode="External"/><Relationship Id="rId51" Type="http://schemas.openxmlformats.org/officeDocument/2006/relationships/hyperlink" Target="https://www.sec.gov/Archives/edgar/data/1792044/000179204421000018/ex_102xvtrsx20210331x10-q.htm" TargetMode="External"/><Relationship Id="rId52" Type="http://schemas.openxmlformats.org/officeDocument/2006/relationships/hyperlink" Target="https://www.sec.gov/Archives/edgar/data/1792044/000179204421000018/ex_103xvtrsx20210331x10-q.htm" TargetMode="External"/><Relationship Id="rId53" Type="http://schemas.openxmlformats.org/officeDocument/2006/relationships/hyperlink" Target="https://www.sec.gov/Archives/edgar/data/1792044/000179204423000017/ex_103xvtrsx20230331.htm" TargetMode="External"/><Relationship Id="rId54" Type="http://schemas.openxmlformats.org/officeDocument/2006/relationships/hyperlink" Target="https://www.sec.gov/Archives/edgar/data/1792044/000119312523060080/d476202dex991.htm" TargetMode="External"/><Relationship Id="rId55" Type="http://schemas.openxmlformats.org/officeDocument/2006/relationships/hyperlink" Target="https://www.sec.gov/Archives/edgar/data/1792044/000119312523060080/d476202dex992.htm" TargetMode="External"/><Relationship Id="rId56" Type="http://schemas.openxmlformats.org/officeDocument/2006/relationships/hyperlink" Target="https://www.sec.gov/Archives/edgar/data/1792044/000119312523060080/d476202dex993.htm" TargetMode="External"/><Relationship Id="rId57" Type="http://schemas.openxmlformats.org/officeDocument/2006/relationships/hyperlink" Target="https://www.sec.gov/Archives/edgar/data/1792044/000119312523050797/d452663dex102.htm" TargetMode="External"/><Relationship Id="rId58" Type="http://schemas.openxmlformats.org/officeDocument/2006/relationships/hyperlink" Target="https://www.sec.gov/Archives/edgar/data/1792044/000179204421000009/ex_109-vtrsx20201231x10xk.htm" TargetMode="External"/><Relationship Id="rId59" Type="http://schemas.openxmlformats.org/officeDocument/2006/relationships/hyperlink" Target="https://www.sec.gov/Archives/edgar/data/1792044/000179204423000024/ex_102xvtrsx20230630.htm" TargetMode="External"/><Relationship Id="rId60" Type="http://schemas.openxmlformats.org/officeDocument/2006/relationships/hyperlink" Target="https://www.sec.gov/Archives/edgar/data/1792044/000119312523050797/d452663dex101.htm" TargetMode="External"/><Relationship Id="rId61" Type="http://schemas.openxmlformats.org/officeDocument/2006/relationships/hyperlink" Target="https://www.sec.gov/Archives/edgar/data/1792044/000179204424000008/ex_1013xvtrsx20231231x10-k.htm" TargetMode="External"/><Relationship Id="rId62" Type="http://schemas.openxmlformats.org/officeDocument/2006/relationships/hyperlink" Target="https://www.sec.gov/Archives/edgar/data/1792044/000179204424000008/ex_1014xvtrsx20231231x10-k.htm" TargetMode="External"/><Relationship Id="rId63" Type="http://schemas.openxmlformats.org/officeDocument/2006/relationships/hyperlink" Target="https://www.sec.gov/Archives/edgar/data/1792044/000179204424000008/ex_1015xvtrsx20231231x10-k.htm" TargetMode="External"/><Relationship Id="rId64" Type="http://schemas.openxmlformats.org/officeDocument/2006/relationships/hyperlink" Target="https://www.sec.gov/Archives/edgar/data/1792044/000179204424000008/ex_1016xvtrsx20231231x10-k.htm" TargetMode="External"/><Relationship Id="rId65" Type="http://schemas.openxmlformats.org/officeDocument/2006/relationships/hyperlink" Target="https://www.sec.gov/Archives/edgar/data/1623613/000162361317000014/exhibit101_20170331.htm" TargetMode="External"/><Relationship Id="rId66" Type="http://schemas.openxmlformats.org/officeDocument/2006/relationships/hyperlink" Target="https://www.sec.gov/Archives/edgar/data/69499/000006949913000044/myl_ex102x2013930-10q.htm" TargetMode="External"/><Relationship Id="rId67" Type="http://schemas.openxmlformats.org/officeDocument/2006/relationships/hyperlink" Target="https://www.sec.gov/Archives/edgar/data/69499/000006949914000007/myl_ex104ix20131231-10k.htm" TargetMode="External"/><Relationship Id="rId68" Type="http://schemas.openxmlformats.org/officeDocument/2006/relationships/hyperlink" Target="https://www.sec.gov/Archives/edgar/data/1623613/000162361316000046/myl_ex101ix20151231-10k.htm" TargetMode="External"/><Relationship Id="rId69" Type="http://schemas.openxmlformats.org/officeDocument/2006/relationships/hyperlink" Target="https://www.sec.gov/Archives/edgar/data/1623613/000162361316000046/myl_ex101lx20151231-10k.htm" TargetMode="External"/><Relationship Id="rId70" Type="http://schemas.openxmlformats.org/officeDocument/2006/relationships/hyperlink" Target="https://www.sec.gov/Archives/edgar/data/1623613/000162361319000016/myl_ex107x20190331-10xq.htm" TargetMode="External"/><Relationship Id="rId71" Type="http://schemas.openxmlformats.org/officeDocument/2006/relationships/hyperlink" Target="https://www.sec.gov/Archives/edgar/data/1623613/000162361320000018/mylex10220200331-10q.htm" TargetMode="External"/><Relationship Id="rId72" Type="http://schemas.openxmlformats.org/officeDocument/2006/relationships/hyperlink" Target="https://www.sec.gov/Archives/edgar/data/1623613/000162361319000030/mylex10120190930-10xq.htm" TargetMode="External"/><Relationship Id="rId73" Type="http://schemas.openxmlformats.org/officeDocument/2006/relationships/hyperlink" Target="https://www.sec.gov/Archives/edgar/data/69499/000095012309055689/l37693exv10w4.htm" TargetMode="External"/><Relationship Id="rId74" Type="http://schemas.openxmlformats.org/officeDocument/2006/relationships/hyperlink" Target="https://www.sec.gov/Archives/edgar/data/69499/000095015208003868/l31450aexv10w5.htm" TargetMode="External"/><Relationship Id="rId75" Type="http://schemas.openxmlformats.org/officeDocument/2006/relationships/hyperlink" Target="https://www.sec.gov/Archives/edgar/data/69499/000095015209001668/l35088aexv10w28wb.htm" TargetMode="External"/><Relationship Id="rId76" Type="http://schemas.openxmlformats.org/officeDocument/2006/relationships/hyperlink" Target="https://www.sec.gov/Archives/edgar/data/69499/000119312512187918/d327924dex105a.htm" TargetMode="External"/><Relationship Id="rId77" Type="http://schemas.openxmlformats.org/officeDocument/2006/relationships/hyperlink" Target="https://www.sec.gov/Archives/edgar/data/69499/000119312512187918/d327924dex105b.htm" TargetMode="External"/><Relationship Id="rId78" Type="http://schemas.openxmlformats.org/officeDocument/2006/relationships/hyperlink" Target="https://www.sec.gov/Archives/edgar/data/69499/000119312512187918/d327924dex105c.htm" TargetMode="External"/><Relationship Id="rId79" Type="http://schemas.openxmlformats.org/officeDocument/2006/relationships/hyperlink" Target="https://www.sec.gov/Archives/edgar/data/69499/000095012309070283/l38158exv10w1.htm" TargetMode="External"/><Relationship Id="rId80" Type="http://schemas.openxmlformats.org/officeDocument/2006/relationships/hyperlink" Target="https://www.sec.gov/Archives/edgar/data/69499/000006949915000003/myl_ex1041bx20141231-10k.htm" TargetMode="External"/><Relationship Id="rId81" Type="http://schemas.openxmlformats.org/officeDocument/2006/relationships/hyperlink" Target="https://www.sec.gov/Archives/edgar/data/69499/000095012309070283/l38158exv10w2.htm" TargetMode="External"/><Relationship Id="rId82" Type="http://schemas.openxmlformats.org/officeDocument/2006/relationships/hyperlink" Target="https://www.sec.gov/Archives/edgar/data/69499/000006949915000003/myl_ex1042bx20141231-10k.htm" TargetMode="External"/><Relationship Id="rId83" Type="http://schemas.openxmlformats.org/officeDocument/2006/relationships/hyperlink" Target="https://www.sec.gov/Archives/edgar/data/69499/000006949914000007/myl_ex1027bx20131232-10k.htm" TargetMode="External"/><Relationship Id="rId84" Type="http://schemas.openxmlformats.org/officeDocument/2006/relationships/hyperlink" Target="https://www.sec.gov/Archives/edgar/data/69499/000006949914000007/myl_ex1057x20131232-10k.htm" TargetMode="External"/><Relationship Id="rId85" Type="http://schemas.openxmlformats.org/officeDocument/2006/relationships/hyperlink" Target="https://www.sec.gov/Archives/edgar/data/1623613/000162361319000008/myl_ex1020cx20181231-10xk.htm" TargetMode="External"/><Relationship Id="rId86" Type="http://schemas.openxmlformats.org/officeDocument/2006/relationships/hyperlink" Target="https://www.sec.gov/Archives/edgar/data/1623613/000162361319000008/myl_ex1021bx20181231-10xk.htm" TargetMode="External"/><Relationship Id="rId87" Type="http://schemas.openxmlformats.org/officeDocument/2006/relationships/hyperlink" Target="https://www.sec.gov/Archives/edgar/data/1623613/000162361320000011/mylex102920191231-10k.htm" TargetMode="External"/><Relationship Id="rId88" Type="http://schemas.openxmlformats.org/officeDocument/2006/relationships/hyperlink" Target="https://www.sec.gov/Archives/edgar/data/1792044/000179204421000009/ex_1025-vtrsx20201231x10xk.htm" TargetMode="External"/><Relationship Id="rId89" Type="http://schemas.openxmlformats.org/officeDocument/2006/relationships/hyperlink" Target="https://www.sec.gov/Archives/edgar/data/69499/000006949914000007/myl_ex1038x20131231-10k.htm" TargetMode="External"/><Relationship Id="rId90" Type="http://schemas.openxmlformats.org/officeDocument/2006/relationships/hyperlink" Target="https://www.sec.gov/Archives/edgar/data/1623613/000119312515068819/d882101dex101.htm" TargetMode="External"/><Relationship Id="rId91" Type="http://schemas.openxmlformats.org/officeDocument/2006/relationships/hyperlink" Target="https://www.sec.gov/Archives/edgar/data/1792044/000095015724001314/ex10-1.htm" TargetMode="External"/><Relationship Id="rId92" Type="http://schemas.openxmlformats.org/officeDocument/2006/relationships/hyperlink" Target="https://www.sec.gov/Archives/edgar/data/1792044/000119312521206477/d50384dex102.htm" TargetMode="External"/><Relationship Id="rId93" Type="http://schemas.openxmlformats.org/officeDocument/2006/relationships/hyperlink" Target="https://www.sec.gov/Archives/edgar/data/1792044/000119312520298236/d57281dex101.htm" TargetMode="External"/><Relationship Id="rId94" Type="http://schemas.openxmlformats.org/officeDocument/2006/relationships/hyperlink" Target="https://www.sec.gov/Archives/edgar/data/1792044/000119312520298226/d56774dex101.htm" TargetMode="External"/><Relationship Id="rId95" Type="http://schemas.openxmlformats.org/officeDocument/2006/relationships/hyperlink" Target="https://www.sec.gov/Archives/edgar/data/1792044/000119312520298226/d56774dex102.htm" TargetMode="External"/><Relationship Id="rId96" Type="http://schemas.openxmlformats.org/officeDocument/2006/relationships/hyperlink" Target="https://www.sec.gov/Archives/edgar/data/1792044/000119312520298226/d56774dex103.htm" TargetMode="External"/><Relationship Id="rId97" Type="http://schemas.openxmlformats.org/officeDocument/2006/relationships/hyperlink" Target="https://www.sec.gov/Archives/edgar/data/1792044/000119312520298226/d56774dex104.htm" TargetMode="External"/><Relationship Id="rId98" Type="http://schemas.openxmlformats.org/officeDocument/2006/relationships/hyperlink" Target="https://www.sec.gov/Archives/edgar/data/1792044/000119312520298226/d56774dex105.htm" TargetMode="External"/><Relationship Id="rId99" Type="http://schemas.openxmlformats.org/officeDocument/2006/relationships/hyperlink" Target="https://www.sec.gov/Archives/edgar/data/1792044/000119312520298226/d56774dex106.htm" TargetMode="External"/><Relationship Id="rId100" Type="http://schemas.openxmlformats.org/officeDocument/2006/relationships/hyperlink" Target="https://www.sec.gov/Archives/edgar/data/1792044/000119312520298226/d56774dex107.htm" TargetMode="External"/><Relationship Id="rId101" Type="http://schemas.openxmlformats.org/officeDocument/2006/relationships/hyperlink" Target="https://www.sec.gov/Archives/edgar/data/1792044/000119312520298226/d56774dex108.htm" TargetMode="External"/><Relationship Id="rId102" Type="http://schemas.openxmlformats.org/officeDocument/2006/relationships/hyperlink" Target="https://www.sec.gov/Archives/edgar/data/1792044/000179204424000008/ex_97xvtrsx20231231x10-k.htm" TargetMode="External"/><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109317</Words>
  <Characters>619005</Characters>
  <CharactersWithSpaces>723834</CharactersWithSpaces>
  <Paragraphs>7712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