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Campbell Paul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Viatris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VTRS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11/11/2024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7"/>
            <w:vMerge w:val="continue"/>
          </w:tcPr>
          <w:p>
            <w:pPr>
              <w:spacing w:after="0"/>
              <w:rPr>
                <w:sz w:val="8"/>
                <w:szCs w:val="8"/>
                <w:color w:val="auto"/>
              </w:rPr>
            </w:pPr>
          </w:p>
        </w:tc>
        <w:tc>
          <w:tcPr>
            <w:tcW w:w="37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CANONSBURG PA</w:t>
            </w:r>
          </w:p>
        </w:tc>
        <w:tc>
          <w:tcPr>
            <w:tcW w:w="820" w:type="dxa"/>
            <w:vAlign w:val="bottom"/>
          </w:tcPr>
          <w:p>
            <w:pPr>
              <w:spacing w:after="0"/>
              <w:rPr>
                <w:sz w:val="20"/>
                <w:szCs w:val="20"/>
                <w:color w:val="auto"/>
              </w:rPr>
            </w:pPr>
          </w:p>
        </w:tc>
        <w:tc>
          <w:tcPr>
            <w:tcW w:w="13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15317</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11/11/2024</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26,925</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12.876</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jc w:val="right"/>
              <w:ind w:right="277"/>
              <w:spacing w:after="0"/>
              <w:rPr>
                <w:sz w:val="20"/>
                <w:szCs w:val="20"/>
                <w:color w:val="auto"/>
              </w:rPr>
            </w:pPr>
            <w:r>
              <w:rPr>
                <w:rFonts w:ascii="Times New Roman" w:cs="Times New Roman" w:eastAsia="Times New Roman" w:hAnsi="Times New Roman"/>
                <w:sz w:val="17"/>
                <w:szCs w:val="17"/>
                <w:color w:val="0000FF"/>
              </w:rPr>
              <w:t>126,901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ind w:right="437"/>
              <w:spacing w:after="0"/>
              <w:rPr>
                <w:sz w:val="20"/>
                <w:szCs w:val="20"/>
                <w:color w:val="auto"/>
              </w:rPr>
            </w:pPr>
            <w:r>
              <w:rPr>
                <w:rFonts w:ascii="Times New Roman" w:cs="Times New Roman" w:eastAsia="Times New Roman" w:hAnsi="Times New Roman"/>
                <w:sz w:val="17"/>
                <w:szCs w:val="17"/>
                <w:color w:val="0000FF"/>
              </w:rPr>
              <w:t>318</w:t>
            </w:r>
          </w:p>
        </w:tc>
        <w:tc>
          <w:tcPr>
            <w:tcW w:w="9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60" w:type="dxa"/>
            <w:vAlign w:val="bottom"/>
            <w:tcBorders>
              <w:bottom w:val="single" w:sz="8" w:color="2C2C2C"/>
            </w:tcBorders>
            <w:gridSpan w:val="3"/>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price of the reporting person's disposition of 26,925 shares of common stock in transactions ranging from $12.83 to $12.955. The reporting person undertakes to provide to the issuer, any security holder of the issuer, or the staff of the Securities and Exchange Commission, upon request, full information regarding the number of shares of common stock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Accounting Officer and Corporate Controller</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Kevin Macikowski, by</w:t>
            </w:r>
          </w:p>
        </w:tc>
        <w:tc>
          <w:tcPr>
            <w:tcW w:w="28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11/12/2024</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57568" TargetMode="External"/><Relationship Id="rId14"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2024-11-12T18:10:07Z</dcterms:created>
  <dcterms:modified xsi:type="dcterms:W3CDTF">2024-11-12T18:10:07Z</dcterms:modified>
</cp:coreProperties>
</file>