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AND EXCHANGE COMMISSION</w:t>
      </w:r>
    </w:p>
    <w:p>
      <w:pPr>
        <w:ind w:left="31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279"/>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jc w:val="center"/>
        <w:ind w:right="1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159"/>
        <w:spacing w:after="0"/>
        <w:rPr>
          <w:sz w:val="20"/>
          <w:szCs w:val="20"/>
          <w:color w:val="auto"/>
        </w:rPr>
      </w:pPr>
      <w:r>
        <w:rPr>
          <w:rFonts w:ascii="Courier New" w:cs="Courier New" w:eastAsia="Courier New" w:hAnsi="Courier New"/>
          <w:sz w:val="18"/>
          <w:szCs w:val="18"/>
          <w:color w:val="auto"/>
        </w:rPr>
        <w:t>(Amendment No.1)*</w:t>
      </w:r>
    </w:p>
    <w:p>
      <w:pPr>
        <w:spacing w:after="0" w:line="169" w:lineRule="exact"/>
        <w:rPr>
          <w:sz w:val="24"/>
          <w:szCs w:val="24"/>
          <w:color w:val="auto"/>
        </w:rPr>
      </w:pPr>
    </w:p>
    <w:p>
      <w:pPr>
        <w:jc w:val="center"/>
        <w:ind w:right="1379"/>
        <w:spacing w:after="0"/>
        <w:rPr>
          <w:sz w:val="20"/>
          <w:szCs w:val="20"/>
          <w:color w:val="auto"/>
        </w:rPr>
      </w:pPr>
      <w:r>
        <w:rPr>
          <w:rFonts w:ascii="Courier New" w:cs="Courier New" w:eastAsia="Courier New" w:hAnsi="Courier New"/>
          <w:sz w:val="18"/>
          <w:szCs w:val="18"/>
          <w:color w:val="auto"/>
        </w:rPr>
        <w:t>Viatris,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92556V106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jc w:val="center"/>
        <w:ind w:right="179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380" w:right="4979" w:hanging="2"/>
        <w:spacing w:after="0" w:line="536" w:lineRule="auto"/>
        <w:tabs>
          <w:tab w:leader="none" w:pos="38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1" w:lineRule="exact"/>
        <w:rPr>
          <w:sz w:val="24"/>
          <w:szCs w:val="24"/>
          <w:color w:val="auto"/>
        </w:rPr>
      </w:pPr>
    </w:p>
    <w:p>
      <w:pPr>
        <w:ind w:right="169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8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2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w w:val="96"/>
              </w:rPr>
              <w:t>-----------------------</w:t>
            </w:r>
          </w:p>
        </w:tc>
        <w:tc>
          <w:tcPr>
            <w:tcW w:w="1100" w:type="dxa"/>
            <w:vAlign w:val="bottom"/>
            <w:vMerge w:val="restart"/>
          </w:tcPr>
          <w:p>
            <w:pPr>
              <w:ind w:left="780"/>
              <w:spacing w:after="0"/>
              <w:rPr>
                <w:sz w:val="20"/>
                <w:szCs w:val="20"/>
                <w:color w:val="auto"/>
              </w:rPr>
            </w:pPr>
            <w:r>
              <w:rPr>
                <w:rFonts w:ascii="Courier New" w:cs="Courier New" w:eastAsia="Courier New" w:hAnsi="Courier New"/>
                <w:sz w:val="18"/>
                <w:szCs w:val="18"/>
                <w:color w:val="auto"/>
                <w:w w:val="92"/>
              </w:rPr>
              <w:t>13G</w:t>
            </w:r>
          </w:p>
        </w:tc>
        <w:tc>
          <w:tcPr>
            <w:tcW w:w="0" w:type="dxa"/>
            <w:vAlign w:val="bottom"/>
          </w:tcPr>
          <w:p>
            <w:pPr>
              <w:spacing w:after="0"/>
              <w:rPr>
                <w:sz w:val="1"/>
                <w:szCs w:val="1"/>
                <w:color w:val="auto"/>
              </w:rPr>
            </w:pPr>
          </w:p>
        </w:tc>
      </w:tr>
      <w:tr>
        <w:trPr>
          <w:trHeight w:val="203"/>
        </w:trPr>
        <w:tc>
          <w:tcPr>
            <w:tcW w:w="1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CUSIP No.</w:t>
            </w:r>
          </w:p>
        </w:tc>
        <w:tc>
          <w:tcPr>
            <w:tcW w:w="1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92556V106</w:t>
            </w: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220" w:type="dxa"/>
            <w:vAlign w:val="bottom"/>
            <w:gridSpan w:val="2"/>
          </w:tcPr>
          <w:p>
            <w:pPr>
              <w:jc w:val="right"/>
              <w:ind w:right="712"/>
              <w:spacing w:after="0"/>
              <w:rPr>
                <w:sz w:val="20"/>
                <w:szCs w:val="20"/>
                <w:color w:val="auto"/>
              </w:rPr>
            </w:pPr>
            <w:r>
              <w:rPr>
                <w:rFonts w:ascii="Courier New" w:cs="Courier New" w:eastAsia="Courier New" w:hAnsi="Courier New"/>
                <w:sz w:val="18"/>
                <w:szCs w:val="18"/>
                <w:color w:val="auto"/>
                <w:w w:val="96"/>
              </w:rPr>
              <w:t>-----------------------</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tbl>
      <w:tblPr>
        <w:tblLayout w:type="fixed"/>
        <w:tblInd w:w="120" w:type="dxa"/>
        <w:tblCellMar>
          <w:top w:w="0" w:type="dxa"/>
          <w:left w:w="0" w:type="dxa"/>
          <w:bottom w:w="0" w:type="dxa"/>
          <w:right w:w="0" w:type="dxa"/>
        </w:tblCellMar>
      </w:tblPr>
      <w:tr>
        <w:trPr>
          <w:trHeight w:val="201"/>
        </w:trPr>
        <w:tc>
          <w:tcPr>
            <w:tcW w:w="360" w:type="dxa"/>
            <w:vAlign w:val="bottom"/>
          </w:tcPr>
          <w:p>
            <w:pPr>
              <w:jc w:val="right"/>
              <w:ind w:right="72"/>
              <w:spacing w:after="0" w:line="201" w:lineRule="exact"/>
              <w:rPr>
                <w:sz w:val="20"/>
                <w:szCs w:val="20"/>
                <w:color w:val="auto"/>
              </w:rPr>
            </w:pPr>
            <w:r>
              <w:rPr>
                <w:rFonts w:ascii="Courier New" w:cs="Courier New" w:eastAsia="Courier New" w:hAnsi="Courier New"/>
                <w:sz w:val="18"/>
                <w:szCs w:val="18"/>
                <w:color w:val="auto"/>
                <w:w w:val="83"/>
              </w:rPr>
              <w:t>1.</w:t>
            </w:r>
          </w:p>
        </w:tc>
        <w:tc>
          <w:tcPr>
            <w:tcW w:w="4540" w:type="dxa"/>
            <w:vAlign w:val="bottom"/>
          </w:tcPr>
          <w:p>
            <w:pPr>
              <w:ind w:left="160"/>
              <w:spacing w:after="0" w:line="201" w:lineRule="exact"/>
              <w:rPr>
                <w:sz w:val="20"/>
                <w:szCs w:val="20"/>
                <w:color w:val="auto"/>
              </w:rPr>
            </w:pPr>
            <w:r>
              <w:rPr>
                <w:rFonts w:ascii="Courier New" w:cs="Courier New" w:eastAsia="Courier New" w:hAnsi="Courier New"/>
                <w:sz w:val="18"/>
                <w:szCs w:val="18"/>
                <w:color w:val="auto"/>
              </w:rPr>
              <w:t>Name of Reporting Person</w:t>
            </w:r>
          </w:p>
        </w:tc>
        <w:tc>
          <w:tcPr>
            <w:tcW w:w="1100" w:type="dxa"/>
            <w:vAlign w:val="bottom"/>
          </w:tcPr>
          <w:p>
            <w:pPr>
              <w:spacing w:after="0"/>
              <w:rPr>
                <w:sz w:val="17"/>
                <w:szCs w:val="17"/>
                <w:color w:val="auto"/>
              </w:rPr>
            </w:pPr>
          </w:p>
        </w:tc>
      </w:tr>
      <w:tr>
        <w:trPr>
          <w:trHeight w:val="296"/>
        </w:trPr>
        <w:tc>
          <w:tcPr>
            <w:tcW w:w="360" w:type="dxa"/>
            <w:vAlign w:val="bottom"/>
          </w:tcPr>
          <w:p>
            <w:pPr>
              <w:spacing w:after="0"/>
              <w:rPr>
                <w:sz w:val="24"/>
                <w:szCs w:val="24"/>
                <w:color w:val="auto"/>
              </w:rPr>
            </w:pPr>
          </w:p>
        </w:tc>
        <w:tc>
          <w:tcPr>
            <w:tcW w:w="4540" w:type="dxa"/>
            <w:vAlign w:val="bottom"/>
          </w:tcPr>
          <w:p>
            <w:pPr>
              <w:ind w:left="160"/>
              <w:spacing w:after="0"/>
              <w:rPr>
                <w:sz w:val="20"/>
                <w:szCs w:val="20"/>
                <w:color w:val="auto"/>
              </w:rPr>
            </w:pPr>
            <w:r>
              <w:rPr>
                <w:rFonts w:ascii="Courier New" w:cs="Courier New" w:eastAsia="Courier New" w:hAnsi="Courier New"/>
                <w:sz w:val="18"/>
                <w:szCs w:val="18"/>
                <w:color w:val="auto"/>
                <w:w w:val="98"/>
              </w:rPr>
              <w:t>I.R.S. Identification No. of above Person</w:t>
            </w:r>
          </w:p>
        </w:tc>
        <w:tc>
          <w:tcPr>
            <w:tcW w:w="1100" w:type="dxa"/>
            <w:vAlign w:val="bottom"/>
          </w:tcPr>
          <w:p>
            <w:pPr>
              <w:spacing w:after="0"/>
              <w:rPr>
                <w:sz w:val="24"/>
                <w:szCs w:val="24"/>
                <w:color w:val="auto"/>
              </w:rPr>
            </w:pPr>
          </w:p>
        </w:tc>
      </w:tr>
      <w:tr>
        <w:trPr>
          <w:trHeight w:val="405"/>
        </w:trPr>
        <w:tc>
          <w:tcPr>
            <w:tcW w:w="360" w:type="dxa"/>
            <w:vAlign w:val="bottom"/>
          </w:tcPr>
          <w:p>
            <w:pPr>
              <w:spacing w:after="0"/>
              <w:rPr>
                <w:sz w:val="24"/>
                <w:szCs w:val="24"/>
                <w:color w:val="auto"/>
              </w:rPr>
            </w:pPr>
          </w:p>
        </w:tc>
        <w:tc>
          <w:tcPr>
            <w:tcW w:w="4540" w:type="dxa"/>
            <w:vAlign w:val="bottom"/>
          </w:tcPr>
          <w:p>
            <w:pPr>
              <w:ind w:left="160"/>
              <w:spacing w:after="0"/>
              <w:rPr>
                <w:sz w:val="20"/>
                <w:szCs w:val="20"/>
                <w:color w:val="auto"/>
              </w:rPr>
            </w:pPr>
            <w:r>
              <w:rPr>
                <w:rFonts w:ascii="Courier New" w:cs="Courier New" w:eastAsia="Courier New" w:hAnsi="Courier New"/>
                <w:sz w:val="18"/>
                <w:szCs w:val="18"/>
                <w:color w:val="auto"/>
              </w:rPr>
              <w:t>Davis Selected Advisers, L.P.</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w w:val="99"/>
              </w:rPr>
              <w:t>85-0360310</w:t>
            </w: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169"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spacing w:after="0" w:line="31"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(b) [X]</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Colorado Limited Partnership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4"/>
          <w:szCs w:val="24"/>
          <w:color w:val="auto"/>
        </w:rPr>
      </w:pPr>
    </w:p>
    <w:tbl>
      <w:tblPr>
        <w:tblLayout w:type="fixed"/>
        <w:tblInd w:w="320" w:type="dxa"/>
        <w:tblCellMar>
          <w:top w:w="0" w:type="dxa"/>
          <w:left w:w="0" w:type="dxa"/>
          <w:bottom w:w="0" w:type="dxa"/>
          <w:right w:w="0" w:type="dxa"/>
        </w:tblCellMar>
      </w:tblPr>
      <w:tr>
        <w:trPr>
          <w:trHeight w:val="296"/>
        </w:trPr>
        <w:tc>
          <w:tcPr>
            <w:tcW w:w="2420" w:type="dxa"/>
            <w:vAlign w:val="bottom"/>
          </w:tcPr>
          <w:p>
            <w:pPr>
              <w:jc w:val="right"/>
              <w:ind w:right="256"/>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373"/>
        </w:trPr>
        <w:tc>
          <w:tcPr>
            <w:tcW w:w="2420" w:type="dxa"/>
            <w:vAlign w:val="bottom"/>
          </w:tcPr>
          <w:p>
            <w:pPr>
              <w:jc w:val="right"/>
              <w:ind w:right="1196"/>
              <w:spacing w:after="0"/>
              <w:rPr>
                <w:sz w:val="20"/>
                <w:szCs w:val="20"/>
                <w:color w:val="auto"/>
              </w:rPr>
            </w:pPr>
            <w:r>
              <w:rPr>
                <w:rFonts w:ascii="Courier New" w:cs="Courier New" w:eastAsia="Courier New" w:hAnsi="Courier New"/>
                <w:sz w:val="18"/>
                <w:szCs w:val="18"/>
                <w:color w:val="auto"/>
              </w:rPr>
              <w:t>Number of</w:t>
            </w:r>
          </w:p>
        </w:tc>
        <w:tc>
          <w:tcPr>
            <w:tcW w:w="2640" w:type="dxa"/>
            <w:vAlign w:val="bottom"/>
          </w:tcPr>
          <w:p>
            <w:pPr>
              <w:ind w:left="540"/>
              <w:spacing w:after="0"/>
              <w:rPr>
                <w:sz w:val="20"/>
                <w:szCs w:val="20"/>
                <w:color w:val="auto"/>
              </w:rPr>
            </w:pPr>
            <w:r>
              <w:rPr>
                <w:rFonts w:ascii="Courier New" w:cs="Courier New" w:eastAsia="Courier New" w:hAnsi="Courier New"/>
                <w:sz w:val="18"/>
                <w:szCs w:val="18"/>
                <w:color w:val="auto"/>
              </w:rPr>
              <w:t>60,501,647 shares</w:t>
            </w:r>
          </w:p>
        </w:tc>
        <w:tc>
          <w:tcPr>
            <w:tcW w:w="0" w:type="dxa"/>
            <w:vAlign w:val="bottom"/>
          </w:tcPr>
          <w:p>
            <w:pPr>
              <w:spacing w:after="0"/>
              <w:rPr>
                <w:sz w:val="1"/>
                <w:szCs w:val="1"/>
                <w:color w:val="auto"/>
              </w:rPr>
            </w:pPr>
          </w:p>
        </w:tc>
      </w:tr>
      <w:tr>
        <w:trPr>
          <w:trHeight w:val="311"/>
        </w:trPr>
        <w:tc>
          <w:tcPr>
            <w:tcW w:w="2420" w:type="dxa"/>
            <w:vAlign w:val="bottom"/>
          </w:tcPr>
          <w:p>
            <w:pPr>
              <w:jc w:val="right"/>
              <w:spacing w:after="0"/>
              <w:rPr>
                <w:sz w:val="20"/>
                <w:szCs w:val="20"/>
                <w:color w:val="auto"/>
              </w:rPr>
            </w:pPr>
            <w:r>
              <w:rPr>
                <w:rFonts w:ascii="Courier New" w:cs="Courier New" w:eastAsia="Courier New" w:hAnsi="Courier New"/>
                <w:sz w:val="18"/>
                <w:szCs w:val="18"/>
                <w:color w:val="auto"/>
                <w:w w:val="89"/>
              </w:rPr>
              <w:t>Shares</w:t>
            </w:r>
            <w:r>
              <w:rPr>
                <w:rFonts w:ascii="Courier New" w:cs="Courier New" w:eastAsia="Courier New" w:hAnsi="Courier New"/>
                <w:sz w:val="2"/>
                <w:szCs w:val="2"/>
                <w:color w:val="auto"/>
                <w:w w:val="89"/>
              </w:rPr>
              <w:t>----------------------------------------------------------</w:t>
            </w:r>
          </w:p>
        </w:tc>
        <w:tc>
          <w:tcPr>
            <w:tcW w:w="264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Shared or No Voting Power</w:t>
            </w:r>
          </w:p>
        </w:tc>
        <w:tc>
          <w:tcPr>
            <w:tcW w:w="0" w:type="dxa"/>
            <w:vAlign w:val="bottom"/>
          </w:tcPr>
          <w:p>
            <w:pPr>
              <w:spacing w:after="0"/>
              <w:rPr>
                <w:sz w:val="1"/>
                <w:szCs w:val="1"/>
                <w:color w:val="auto"/>
              </w:rPr>
            </w:pPr>
          </w:p>
        </w:tc>
      </w:tr>
      <w:tr>
        <w:trPr>
          <w:trHeight w:val="202"/>
        </w:trPr>
        <w:tc>
          <w:tcPr>
            <w:tcW w:w="2420" w:type="dxa"/>
            <w:vAlign w:val="bottom"/>
          </w:tcPr>
          <w:p>
            <w:pPr>
              <w:jc w:val="right"/>
              <w:ind w:right="256"/>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20" w:type="dxa"/>
            <w:vAlign w:val="bottom"/>
          </w:tcPr>
          <w:p>
            <w:pPr>
              <w:jc w:val="right"/>
              <w:ind w:right="1096"/>
              <w:spacing w:after="0"/>
              <w:rPr>
                <w:sz w:val="20"/>
                <w:szCs w:val="20"/>
                <w:color w:val="auto"/>
              </w:rPr>
            </w:pPr>
            <w:r>
              <w:rPr>
                <w:rFonts w:ascii="Courier New" w:cs="Courier New" w:eastAsia="Courier New" w:hAnsi="Courier New"/>
                <w:sz w:val="18"/>
                <w:szCs w:val="18"/>
                <w:color w:val="auto"/>
                <w:w w:val="95"/>
              </w:rPr>
              <w:t>Beneficially</w:t>
            </w:r>
          </w:p>
        </w:tc>
        <w:tc>
          <w:tcPr>
            <w:tcW w:w="264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0 shares (Shared)</w:t>
            </w:r>
          </w:p>
        </w:tc>
        <w:tc>
          <w:tcPr>
            <w:tcW w:w="0" w:type="dxa"/>
            <w:vAlign w:val="bottom"/>
          </w:tcPr>
          <w:p>
            <w:pPr>
              <w:spacing w:after="0"/>
              <w:rPr>
                <w:sz w:val="1"/>
                <w:szCs w:val="1"/>
                <w:color w:val="auto"/>
              </w:rPr>
            </w:pPr>
          </w:p>
        </w:tc>
      </w:tr>
      <w:tr>
        <w:trPr>
          <w:trHeight w:val="202"/>
        </w:trPr>
        <w:tc>
          <w:tcPr>
            <w:tcW w:w="2420" w:type="dxa"/>
            <w:vAlign w:val="bottom"/>
          </w:tcPr>
          <w:p>
            <w:pPr>
              <w:spacing w:after="0"/>
              <w:rPr>
                <w:sz w:val="17"/>
                <w:szCs w:val="17"/>
                <w:color w:val="auto"/>
              </w:rPr>
            </w:pPr>
          </w:p>
        </w:tc>
        <w:tc>
          <w:tcPr>
            <w:tcW w:w="2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ectPr>
          <w:pgSz w:w="11900" w:h="16914" w:orient="portrait"/>
          <w:cols w:equalWidth="0" w:num="1">
            <w:col w:w="10139"/>
          </w:cols>
          <w:pgMar w:left="320" w:top="218" w:right="1440" w:bottom="0" w:gutter="0" w:footer="0" w:header="0"/>
        </w:sectPr>
      </w:pPr>
    </w:p>
    <w:bookmarkStart w:id="1" w:name="page2"/>
    <w:bookmarkEnd w:id="1"/>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32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7"/>
              </w:rPr>
              <w:t>Owned by</w:t>
            </w:r>
          </w:p>
        </w:tc>
        <w:tc>
          <w:tcPr>
            <w:tcW w:w="1000" w:type="dxa"/>
            <w:vAlign w:val="bottom"/>
          </w:tcPr>
          <w:p>
            <w:pPr>
              <w:spacing w:after="0"/>
              <w:rPr>
                <w:sz w:val="17"/>
                <w:szCs w:val="17"/>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2,145,619 shares (No Vote)</w:t>
            </w:r>
          </w:p>
        </w:tc>
        <w:tc>
          <w:tcPr>
            <w:tcW w:w="0" w:type="dxa"/>
            <w:vAlign w:val="bottom"/>
          </w:tcPr>
          <w:p>
            <w:pPr>
              <w:spacing w:after="0"/>
              <w:rPr>
                <w:sz w:val="1"/>
                <w:szCs w:val="1"/>
                <w:color w:val="auto"/>
              </w:rPr>
            </w:pPr>
          </w:p>
        </w:tc>
      </w:tr>
      <w:tr>
        <w:trPr>
          <w:trHeight w:val="203"/>
        </w:trPr>
        <w:tc>
          <w:tcPr>
            <w:tcW w:w="1320" w:type="dxa"/>
            <w:vAlign w:val="bottom"/>
            <w:vMerge w:val="restart"/>
          </w:tcPr>
          <w:p>
            <w:pPr>
              <w:jc w:val="center"/>
              <w:ind w:right="172"/>
              <w:spacing w:after="0"/>
              <w:rPr>
                <w:sz w:val="20"/>
                <w:szCs w:val="20"/>
                <w:color w:val="auto"/>
              </w:rPr>
            </w:pPr>
            <w:r>
              <w:rPr>
                <w:rFonts w:ascii="Courier New" w:cs="Courier New" w:eastAsia="Courier New" w:hAnsi="Courier New"/>
                <w:sz w:val="18"/>
                <w:szCs w:val="18"/>
                <w:color w:val="auto"/>
                <w:w w:val="97"/>
              </w:rPr>
              <w:t>Each</w:t>
            </w:r>
          </w:p>
        </w:tc>
        <w:tc>
          <w:tcPr>
            <w:tcW w:w="64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320" w:type="dxa"/>
            <w:vAlign w:val="bottom"/>
            <w:vMerge w:val="continue"/>
          </w:tcPr>
          <w:p>
            <w:pPr>
              <w:spacing w:after="0"/>
              <w:rPr>
                <w:sz w:val="24"/>
                <w:szCs w:val="24"/>
                <w:color w:val="auto"/>
              </w:rPr>
            </w:pPr>
          </w:p>
        </w:tc>
        <w:tc>
          <w:tcPr>
            <w:tcW w:w="1000" w:type="dxa"/>
            <w:vAlign w:val="bottom"/>
          </w:tcPr>
          <w:p>
            <w:pPr>
              <w:jc w:val="right"/>
              <w:ind w:right="258"/>
              <w:spacing w:after="0"/>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100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62,647,266 shares</w:t>
            </w:r>
          </w:p>
        </w:tc>
        <w:tc>
          <w:tcPr>
            <w:tcW w:w="0" w:type="dxa"/>
            <w:vAlign w:val="bottom"/>
          </w:tcPr>
          <w:p>
            <w:pPr>
              <w:spacing w:after="0"/>
              <w:rPr>
                <w:sz w:val="1"/>
                <w:szCs w:val="1"/>
                <w:color w:val="auto"/>
              </w:rPr>
            </w:pPr>
          </w:p>
        </w:tc>
      </w:tr>
      <w:tr>
        <w:trPr>
          <w:trHeight w:val="405"/>
        </w:trPr>
        <w:tc>
          <w:tcPr>
            <w:tcW w:w="1320" w:type="dxa"/>
            <w:vAlign w:val="bottom"/>
          </w:tcPr>
          <w:p>
            <w:pPr>
              <w:jc w:val="center"/>
              <w:ind w:right="152"/>
              <w:spacing w:after="0"/>
              <w:rPr>
                <w:sz w:val="20"/>
                <w:szCs w:val="20"/>
                <w:color w:val="auto"/>
              </w:rPr>
            </w:pPr>
            <w:r>
              <w:rPr>
                <w:rFonts w:ascii="Courier New" w:cs="Courier New" w:eastAsia="Courier New" w:hAnsi="Courier New"/>
                <w:sz w:val="18"/>
                <w:szCs w:val="18"/>
                <w:color w:val="auto"/>
                <w:w w:val="98"/>
              </w:rPr>
              <w:t>Person</w:t>
            </w:r>
          </w:p>
        </w:tc>
        <w:tc>
          <w:tcPr>
            <w:tcW w:w="1000" w:type="dxa"/>
            <w:vAlign w:val="bottom"/>
            <w:vMerge w:val="restart"/>
          </w:tcPr>
          <w:p>
            <w:pPr>
              <w:ind w:left="380"/>
              <w:spacing w:after="0"/>
              <w:rPr>
                <w:sz w:val="20"/>
                <w:szCs w:val="20"/>
                <w:color w:val="auto"/>
              </w:rPr>
            </w:pPr>
            <w:r>
              <w:rPr>
                <w:rFonts w:ascii="Courier New" w:cs="Courier New" w:eastAsia="Courier New" w:hAnsi="Courier New"/>
                <w:sz w:val="2"/>
                <w:szCs w:val="2"/>
                <w:color w:val="auto"/>
                <w:w w:val="82"/>
              </w:rPr>
              <w:t>----------------------------------------------------------</w:t>
            </w:r>
            <w:r>
              <w:rPr>
                <w:rFonts w:ascii="Courier New" w:cs="Courier New" w:eastAsia="Courier New" w:hAnsi="Courier New"/>
                <w:sz w:val="4"/>
                <w:szCs w:val="4"/>
                <w:color w:val="auto"/>
                <w:w w:val="82"/>
                <w:vertAlign w:val="subscript"/>
              </w:rPr>
              <w:t>8.</w:t>
            </w:r>
          </w:p>
        </w:tc>
        <w:tc>
          <w:tcPr>
            <w:tcW w:w="5480" w:type="dxa"/>
            <w:vAlign w:val="bottom"/>
            <w:vMerge w:val="restart"/>
          </w:tcPr>
          <w:p>
            <w:pPr>
              <w:spacing w:after="0"/>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03"/>
        </w:trPr>
        <w:tc>
          <w:tcPr>
            <w:tcW w:w="132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With:</w:t>
            </w:r>
          </w:p>
        </w:tc>
        <w:tc>
          <w:tcPr>
            <w:tcW w:w="1000" w:type="dxa"/>
            <w:vAlign w:val="bottom"/>
            <w:vMerge w:val="continue"/>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2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5480" w:type="dxa"/>
            <w:vAlign w:val="bottom"/>
            <w:vMerge w:val="restart"/>
          </w:tcPr>
          <w:p>
            <w:pPr>
              <w:ind w:left="540"/>
              <w:spacing w:after="0"/>
              <w:rPr>
                <w:sz w:val="20"/>
                <w:szCs w:val="20"/>
                <w:color w:val="auto"/>
              </w:rPr>
            </w:pPr>
            <w:r>
              <w:rPr>
                <w:rFonts w:ascii="Courier New" w:cs="Courier New" w:eastAsia="Courier New" w:hAnsi="Courier New"/>
                <w:sz w:val="18"/>
                <w:szCs w:val="18"/>
                <w:color w:val="auto"/>
              </w:rPr>
              <w:t>0 shares</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640" w:right="3179" w:hanging="527"/>
        <w:spacing w:after="0" w:line="45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62,647,266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169" w:lineRule="exact"/>
        <w:rPr>
          <w:rFonts w:ascii="Courier New" w:cs="Courier New" w:eastAsia="Courier New" w:hAnsi="Courier New"/>
          <w:sz w:val="18"/>
          <w:szCs w:val="18"/>
          <w:color w:val="auto"/>
        </w:rPr>
      </w:pPr>
    </w:p>
    <w:p>
      <w:pPr>
        <w:ind w:left="6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r>
        <w:rPr>
          <w:rFonts w:ascii="Courier New" w:cs="Courier New" w:eastAsia="Courier New" w:hAnsi="Courier New"/>
          <w:sz w:val="16"/>
          <w:szCs w:val="16"/>
          <w:color w:val="auto"/>
        </w:rPr>
        <w:t>[_]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640" w:right="4339" w:hanging="632"/>
        <w:spacing w:after="0" w:line="457"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6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Viatris,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1000 Mylan Boulevard</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Canonsburg, PA 15317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 Names and Principal Business Addresses of Persons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Davis Selected Advisers, L.P.</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2949 East Elvira Road, Suite 101</w:t>
      </w:r>
    </w:p>
    <w:p>
      <w:pPr>
        <w:ind w:left="1160"/>
        <w:spacing w:after="0"/>
        <w:rPr>
          <w:sz w:val="20"/>
          <w:szCs w:val="20"/>
          <w:color w:val="auto"/>
        </w:rPr>
      </w:pPr>
      <w:r>
        <w:rPr>
          <w:rFonts w:ascii="Courier New" w:cs="Courier New" w:eastAsia="Courier New" w:hAnsi="Courier New"/>
          <w:sz w:val="18"/>
          <w:szCs w:val="18"/>
          <w:color w:val="auto"/>
        </w:rPr>
        <w:t>Tucson, Arizona 85756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right="2659" w:firstLine="745"/>
        <w:spacing w:after="0" w:line="476" w:lineRule="auto"/>
        <w:tabs>
          <w:tab w:leader="none" w:pos="115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Davis Selected Advisers, L.P. - Colorado Limited Partnership Item 2(d). Title of Class of Securities:</w:t>
      </w:r>
    </w:p>
    <w:p>
      <w:pPr>
        <w:spacing w:after="0" w:line="1"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201" w:lineRule="exact"/>
        <w:rPr>
          <w:rFonts w:ascii="Courier New" w:cs="Courier New" w:eastAsia="Courier New" w:hAnsi="Courier New"/>
          <w:sz w:val="18"/>
          <w:szCs w:val="18"/>
          <w:color w:val="auto"/>
        </w:rPr>
      </w:pPr>
    </w:p>
    <w:p>
      <w:pPr>
        <w:ind w:left="1160" w:right="7599" w:hanging="1158"/>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Item 2(e). CUSIP Number: 92556V106</w:t>
      </w:r>
    </w:p>
    <w:p>
      <w:pPr>
        <w:ind w:right="3399"/>
        <w:spacing w:after="0" w:line="346" w:lineRule="auto"/>
        <w:rPr>
          <w:sz w:val="20"/>
          <w:szCs w:val="20"/>
          <w:color w:val="auto"/>
        </w:rPr>
      </w:pPr>
      <w:r>
        <w:rPr>
          <w:rFonts w:ascii="Courier New" w:cs="Courier New" w:eastAsia="Courier New" w:hAnsi="Courier New"/>
          <w:sz w:val="18"/>
          <w:szCs w:val="18"/>
          <w:color w:val="auto"/>
        </w:rPr>
        <w:t>Item 3. If this statement is filed pursuant to Rules 13d-1(b) or 13d-2(b) or (c), check whether the person filing is a:</w:t>
      </w:r>
    </w:p>
    <w:p>
      <w:pPr>
        <w:spacing w:after="0" w:line="20" w:lineRule="exact"/>
        <w:rPr>
          <w:sz w:val="20"/>
          <w:szCs w:val="20"/>
          <w:color w:val="auto"/>
        </w:rPr>
      </w:pPr>
    </w:p>
    <w:p>
      <w:pPr>
        <w:ind w:left="420" w:right="2859" w:hanging="412"/>
        <w:spacing w:after="0" w:line="282" w:lineRule="auto"/>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Adviser registered under Section 203 of the Investment Advisers Act of 1940. This statement is being filed by Davis Selected Advisers, L.P. as a registered investment adviser.</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All of the securities covered by this report are owned legally</w:t>
      </w:r>
    </w:p>
    <w:p>
      <w:pPr>
        <w:ind w:left="420" w:right="22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by Davis Selected Advisers, L.P.'s investment advisory clients and none are owned directly or indirectly by Davis Selected Advisers, L.P.</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As permitted by Rule 13d-4, the filing of this statement shall</w:t>
      </w:r>
    </w:p>
    <w:p>
      <w:pPr>
        <w:ind w:left="420" w:right="2659"/>
        <w:spacing w:after="0" w:line="27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be construed as an admission that Davis Selected Advisers, L.P. is the beneficial owner of any of the securities covered by this statement.</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Amount beneficially owned: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9 on the attached cover page(s).</w:t>
      </w:r>
    </w:p>
    <w:p>
      <w:pPr>
        <w:sectPr>
          <w:pgSz w:w="11900" w:h="16838" w:orient="portrait"/>
          <w:cols w:equalWidth="0" w:num="1">
            <w:col w:w="10139"/>
          </w:cols>
          <w:pgMar w:left="320" w:top="108"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(b). Percent of Class: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 Sole power to vote or to direct the vote: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(ii). Shared or no power to vote or to direct the vote: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(iv). Shared power to dispose or to direct the disposition of:</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the response(s) to Item 8 on the attached cover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39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27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019" w:firstLine="8"/>
        <w:spacing w:after="0" w:line="282" w:lineRule="auto"/>
        <w:tabs>
          <w:tab w:leader="none" w:pos="526"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w:t>
      </w:r>
    </w:p>
    <w:p>
      <w:pPr>
        <w:ind w:right="2239"/>
        <w:spacing w:after="0" w:line="32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or with the effect of changing or influencing the control of the issuer of the securities and were not acquired and are not held in connection with or as a participant in any transaction having that purpose or effect.</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33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tbl>
      <w:tblPr>
        <w:tblLayout w:type="fixed"/>
        <w:tblInd w:w="540" w:type="dxa"/>
        <w:tblCellMar>
          <w:top w:w="0" w:type="dxa"/>
          <w:left w:w="0" w:type="dxa"/>
          <w:bottom w:w="0" w:type="dxa"/>
          <w:right w:w="0" w:type="dxa"/>
        </w:tblCellMar>
      </w:tblPr>
      <w:tr>
        <w:trPr>
          <w:trHeight w:val="296"/>
        </w:trPr>
        <w:tc>
          <w:tcPr>
            <w:tcW w:w="1260" w:type="dxa"/>
            <w:vAlign w:val="bottom"/>
          </w:tcPr>
          <w:p>
            <w:pPr>
              <w:spacing w:after="0"/>
              <w:rPr>
                <w:sz w:val="24"/>
                <w:szCs w:val="24"/>
                <w:color w:val="auto"/>
              </w:rPr>
            </w:pP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6"/>
              </w:rPr>
              <w:t>Davis Selected Advisers, L.P.</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/s/ Michaela McLoughry</w:t>
            </w:r>
          </w:p>
        </w:tc>
      </w:tr>
      <w:tr>
        <w:trPr>
          <w:trHeight w:val="311"/>
        </w:trPr>
        <w:tc>
          <w:tcPr>
            <w:tcW w:w="1260" w:type="dxa"/>
            <w:vAlign w:val="bottom"/>
          </w:tcPr>
          <w:p>
            <w:pPr>
              <w:spacing w:after="0"/>
              <w:rPr>
                <w:sz w:val="20"/>
                <w:szCs w:val="20"/>
                <w:color w:val="auto"/>
              </w:rPr>
            </w:pPr>
            <w:r>
              <w:rPr>
                <w:rFonts w:ascii="Courier New" w:cs="Courier New" w:eastAsia="Courier New" w:hAnsi="Courier New"/>
                <w:sz w:val="18"/>
                <w:szCs w:val="18"/>
                <w:color w:val="auto"/>
              </w:rPr>
              <w:t>PRINT</w:t>
            </w:r>
          </w:p>
        </w:tc>
        <w:tc>
          <w:tcPr>
            <w:tcW w:w="1640" w:type="dxa"/>
            <w:vAlign w:val="bottom"/>
          </w:tcPr>
          <w:p>
            <w:pPr>
              <w:ind w:left="740"/>
              <w:spacing w:after="0"/>
              <w:rPr>
                <w:sz w:val="20"/>
                <w:szCs w:val="20"/>
                <w:color w:val="auto"/>
              </w:rPr>
            </w:pPr>
            <w:r>
              <w:rPr>
                <w:rFonts w:ascii="Courier New" w:cs="Courier New" w:eastAsia="Courier New" w:hAnsi="Courier New"/>
                <w:sz w:val="18"/>
                <w:szCs w:val="18"/>
                <w:color w:val="auto"/>
              </w:rPr>
              <w:t>Michaela</w:t>
            </w:r>
          </w:p>
        </w:tc>
        <w:tc>
          <w:tcPr>
            <w:tcW w:w="2140" w:type="dxa"/>
            <w:vAlign w:val="bottom"/>
          </w:tcPr>
          <w:p>
            <w:pPr>
              <w:ind w:left="40"/>
              <w:spacing w:after="0"/>
              <w:rPr>
                <w:sz w:val="20"/>
                <w:szCs w:val="20"/>
                <w:color w:val="auto"/>
              </w:rPr>
            </w:pPr>
            <w:r>
              <w:rPr>
                <w:rFonts w:ascii="Courier New" w:cs="Courier New" w:eastAsia="Courier New" w:hAnsi="Courier New"/>
                <w:sz w:val="18"/>
                <w:szCs w:val="18"/>
                <w:color w:val="auto"/>
              </w:rPr>
              <w:t>McLoughry</w:t>
            </w:r>
          </w:p>
        </w:tc>
      </w:tr>
      <w:tr>
        <w:trPr>
          <w:trHeight w:val="296"/>
        </w:trPr>
        <w:tc>
          <w:tcPr>
            <w:tcW w:w="1260" w:type="dxa"/>
            <w:vAlign w:val="bottom"/>
          </w:tcPr>
          <w:p>
            <w:pPr>
              <w:spacing w:after="0"/>
              <w:rPr>
                <w:sz w:val="24"/>
                <w:szCs w:val="24"/>
                <w:color w:val="auto"/>
              </w:rPr>
            </w:pPr>
          </w:p>
        </w:tc>
        <w:tc>
          <w:tcPr>
            <w:tcW w:w="378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Vice President</w:t>
            </w:r>
          </w:p>
        </w:tc>
      </w:tr>
      <w:tr>
        <w:trPr>
          <w:trHeight w:val="405"/>
        </w:trPr>
        <w:tc>
          <w:tcPr>
            <w:tcW w:w="12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640" w:type="dxa"/>
            <w:vAlign w:val="bottom"/>
          </w:tcPr>
          <w:p>
            <w:pPr>
              <w:ind w:left="740"/>
              <w:spacing w:after="0"/>
              <w:rPr>
                <w:sz w:val="20"/>
                <w:szCs w:val="20"/>
                <w:color w:val="auto"/>
              </w:rPr>
            </w:pPr>
            <w:r>
              <w:rPr>
                <w:rFonts w:ascii="Courier New" w:cs="Courier New" w:eastAsia="Courier New" w:hAnsi="Courier New"/>
                <w:sz w:val="18"/>
                <w:szCs w:val="18"/>
                <w:color w:val="auto"/>
              </w:rPr>
              <w:t>November</w:t>
            </w:r>
          </w:p>
        </w:tc>
        <w:tc>
          <w:tcPr>
            <w:tcW w:w="2140" w:type="dxa"/>
            <w:vAlign w:val="bottom"/>
          </w:tcPr>
          <w:p>
            <w:pPr>
              <w:ind w:left="40"/>
              <w:spacing w:after="0"/>
              <w:rPr>
                <w:sz w:val="20"/>
                <w:szCs w:val="20"/>
                <w:color w:val="auto"/>
              </w:rPr>
            </w:pPr>
            <w:r>
              <w:rPr>
                <w:rFonts w:ascii="Courier New" w:cs="Courier New" w:eastAsia="Courier New" w:hAnsi="Courier New"/>
                <w:sz w:val="18"/>
                <w:szCs w:val="18"/>
                <w:color w:val="auto"/>
              </w:rPr>
              <w:t>8, 2024</w:t>
            </w:r>
          </w:p>
        </w:tc>
      </w:tr>
    </w:tbl>
    <w:p>
      <w:pPr>
        <w:spacing w:after="0" w:line="1" w:lineRule="exact"/>
        <w:rPr>
          <w:sz w:val="20"/>
          <w:szCs w:val="20"/>
          <w:color w:val="auto"/>
        </w:rPr>
      </w:pP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9"/>
    </w:lvl>
  </w:abstractNum>
  <w:abstractNum w:abstractNumId="2">
    <w:nsid w:val="3D1B58BA"/>
    <w:multiLevelType w:val="hybridMultilevel"/>
    <w:lvl w:ilvl="0">
      <w:lvlJc w:val="left"/>
      <w:lvlText w:val="%1."/>
      <w:numFmt w:val="decimal"/>
      <w:start w:val="10"/>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5"/>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2024-11-12T12:53:46Z</dcterms:created>
  <dcterms:modified xsi:type="dcterms:W3CDTF">2024-11-12T12:53:46Z</dcterms:modified>
</cp:coreProperties>
</file>