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May 8, 2025</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8, 2025, Viatris Inc. (“Viatris” or the “Company”) issued a press release reporting the Company's financial results for the period ended March 31, 2025.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500" w:hanging="1474"/>
        <w:spacing w:after="0"/>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first quarter of 2025, dated May 8, 2025.</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580" w:val="left"/>
          <w:tab w:leader="none" w:pos="7240" w:val="left"/>
        </w:tabs>
        <w:rPr>
          <w:sz w:val="20"/>
          <w:szCs w:val="20"/>
          <w:color w:val="auto"/>
        </w:rPr>
      </w:pPr>
      <w:r>
        <w:rPr>
          <w:rFonts w:ascii="Times New Roman" w:cs="Times New Roman" w:eastAsia="Times New Roman" w:hAnsi="Times New Roman"/>
          <w:sz w:val="18"/>
          <w:szCs w:val="18"/>
          <w:color w:val="auto"/>
        </w:rPr>
        <w:t>Date:</w:t>
        <w:tab/>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17145</wp:posOffset>
            </wp:positionV>
            <wp:extent cx="2520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Theodora Mistras</w:t>
      </w:r>
    </w:p>
    <w:p>
      <w:pPr>
        <w:ind w:left="72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Viatris Reports First Quarter 2025 Results and Reaffirms 2025 Outlook</w:t>
      </w:r>
    </w:p>
    <w:p>
      <w:pPr>
        <w:spacing w:after="0" w:line="200" w:lineRule="exact"/>
        <w:rPr>
          <w:sz w:val="20"/>
          <w:szCs w:val="20"/>
          <w:color w:val="auto"/>
        </w:rPr>
      </w:pPr>
    </w:p>
    <w:p>
      <w:pPr>
        <w:spacing w:after="0" w:line="2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Delivers Total Revenues in Line With Expectations Demonstrating Strength of the Base Business</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i w:val="1"/>
          <w:iCs w:val="1"/>
          <w:color w:val="auto"/>
        </w:rPr>
        <w:t>Makes Significant Pipeline Progress With Three Positive Phase 3 Data Readouts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1"/>
          <w:szCs w:val="21"/>
          <w:i w:val="1"/>
          <w:iCs w:val="1"/>
          <w:color w:val="auto"/>
        </w:rPr>
      </w:pPr>
      <w:r>
        <w:rPr>
          <w:rFonts w:ascii="Arial" w:cs="Arial" w:eastAsia="Arial" w:hAnsi="Arial"/>
          <w:sz w:val="19"/>
          <w:szCs w:val="19"/>
          <w:i w:val="1"/>
          <w:iCs w:val="1"/>
          <w:color w:val="auto"/>
        </w:rPr>
        <w:t>Returns More Than $450 Million in Capital to Shareholders Year-to-Date and Reaffirms 2025 Capital Allocation Priorities</w:t>
      </w:r>
    </w:p>
    <w:p>
      <w:pPr>
        <w:spacing w:after="0" w:line="243"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b w:val="1"/>
          <w:bCs w:val="1"/>
          <w:color w:val="auto"/>
        </w:rPr>
        <w:t xml:space="preserve">PITTSBURGH – May 8, 2025 </w:t>
      </w:r>
      <w:r>
        <w:rPr>
          <w:rFonts w:ascii="Arial" w:cs="Arial" w:eastAsia="Arial" w:hAnsi="Arial"/>
          <w:sz w:val="20"/>
          <w:szCs w:val="20"/>
          <w:color w:val="auto"/>
        </w:rPr>
        <w:t>– Viatris Inc. (Nasdaq: VTRS) today reported first quarter 2025 financial results and reaffirmed its</w:t>
      </w:r>
      <w:r>
        <w:rPr>
          <w:rFonts w:ascii="Arial" w:cs="Arial" w:eastAsia="Arial" w:hAnsi="Arial"/>
          <w:sz w:val="20"/>
          <w:szCs w:val="20"/>
          <w:b w:val="1"/>
          <w:bCs w:val="1"/>
          <w:color w:val="auto"/>
        </w:rPr>
        <w:t xml:space="preserve"> </w:t>
      </w:r>
      <w:r>
        <w:rPr>
          <w:rFonts w:ascii="Arial" w:cs="Arial" w:eastAsia="Arial" w:hAnsi="Arial"/>
          <w:sz w:val="20"/>
          <w:szCs w:val="20"/>
          <w:color w:val="auto"/>
        </w:rPr>
        <w:t>2025 outlook[1].</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Executive Commentary</w:t>
      </w:r>
    </w:p>
    <w:p>
      <w:pPr>
        <w:spacing w:after="0" w:line="258"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“2025 is off to a good start as we continue to focus on executing our strategic priorities,” said Scott A. Smith, CEO, Viatris. “Our growing pipeline, capital discipline, operational execution, and significant global scope give us confidence in our ability to navigate the periods of increased volatility and uncertainty that our industry has been experiencing much of this year.”</w:t>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9"/>
          <w:szCs w:val="19"/>
          <w:color w:val="auto"/>
        </w:rPr>
        <w:t>“We continue to generate strong cash flow and we are delivering on our capital allocation plan including share repurchases of over $300 million year to date,” said Doretta Mistras, CFO, Viatris. “We believe we are currently well positioned to meet our financial guidance and our commitment to prioritizing returning capital to shareholders through the remainder of the year.”</w:t>
      </w:r>
    </w:p>
    <w:p>
      <w:pPr>
        <w:spacing w:after="0" w:line="200" w:lineRule="exact"/>
        <w:rPr>
          <w:sz w:val="20"/>
          <w:szCs w:val="20"/>
          <w:color w:val="auto"/>
        </w:rPr>
      </w:pPr>
    </w:p>
    <w:p>
      <w:pPr>
        <w:spacing w:after="0" w:line="218" w:lineRule="exact"/>
        <w:rPr>
          <w:sz w:val="20"/>
          <w:szCs w:val="20"/>
          <w:color w:val="auto"/>
        </w:rPr>
      </w:pPr>
    </w:p>
    <w:p>
      <w:pPr>
        <w:ind w:firstLine="8"/>
        <w:spacing w:after="0" w:line="254" w:lineRule="auto"/>
        <w:tabs>
          <w:tab w:leader="none" w:pos="275"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Viatris is not providing forward-looking guidance for U.S. GAAP net (loss) earnings or U.S. GAAP diluted EPS or a quantitative reconciliation of its 2025 adjusted EBITDA or adjusted EPS guidance. U.S. GAAP net cash provided by operating activities for 2025 is estimated to be between $2.2 billion and $2.5 billion, with a midpoint of approximately $2.35 billion. 2025 financial guidance ranges as provided on May 8, 2025, exclude the impact of any divestiture-related taxes and transaction costs, acquired IPR&amp;D for unsigned deals, and any potential impact of future tariffs and trade restrictions as they cannot be reasonably forecasted. See </w:t>
      </w:r>
      <w:r>
        <w:rPr>
          <w:rFonts w:ascii="Arial" w:cs="Arial" w:eastAsia="Arial" w:hAnsi="Arial"/>
          <w:sz w:val="20"/>
          <w:szCs w:val="20"/>
          <w:color w:val="auto"/>
        </w:rPr>
        <w:t>“</w:t>
      </w:r>
      <w:r>
        <w:rPr>
          <w:rFonts w:ascii="Arial" w:cs="Arial" w:eastAsia="Arial" w:hAnsi="Arial"/>
          <w:sz w:val="20"/>
          <w:szCs w:val="20"/>
          <w:i w:val="1"/>
          <w:iCs w:val="1"/>
          <w:color w:val="auto"/>
        </w:rPr>
        <w:t xml:space="preserve">2025 Financial Guidance” and </w:t>
      </w:r>
      <w:r>
        <w:rPr>
          <w:rFonts w:ascii="Arial" w:cs="Arial" w:eastAsia="Arial" w:hAnsi="Arial"/>
          <w:sz w:val="20"/>
          <w:szCs w:val="20"/>
          <w:color w:val="auto"/>
        </w:rPr>
        <w:t>“</w:t>
      </w:r>
      <w:r>
        <w:rPr>
          <w:rFonts w:ascii="Arial" w:cs="Arial" w:eastAsia="Arial" w:hAnsi="Arial"/>
          <w:sz w:val="20"/>
          <w:szCs w:val="20"/>
          <w:i w:val="1"/>
          <w:iCs w:val="1"/>
          <w:color w:val="auto"/>
        </w:rPr>
        <w:t>Non-GAAP Financial Measures” for additional information.</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7030A0"/>
        </w:rPr>
        <w:t>First Quarter Results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5"/>
          </w:tcPr>
          <w:p>
            <w:pPr>
              <w:jc w:val="center"/>
              <w:ind w:left="5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Reported</w:t>
            </w: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4"/>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320" w:type="dxa"/>
            <w:vAlign w:val="bottom"/>
          </w:tcPr>
          <w:p>
            <w:pPr>
              <w:spacing w:after="0"/>
              <w:rPr>
                <w:sz w:val="12"/>
                <w:szCs w:val="12"/>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9"/>
        </w:trPr>
        <w:tc>
          <w:tcPr>
            <w:tcW w:w="4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ind w:left="60"/>
              <w:spacing w:after="0" w:line="189" w:lineRule="exact"/>
              <w:rPr>
                <w:sz w:val="20"/>
                <w:szCs w:val="20"/>
                <w:color w:val="auto"/>
              </w:rPr>
            </w:pPr>
            <w:r>
              <w:rPr>
                <w:rFonts w:ascii="Arial" w:cs="Arial" w:eastAsia="Arial" w:hAnsi="Arial"/>
                <w:sz w:val="21"/>
                <w:szCs w:val="21"/>
                <w:b w:val="1"/>
                <w:bCs w:val="1"/>
                <w:color w:val="auto"/>
                <w:vertAlign w:val="subscript"/>
              </w:rPr>
              <w:t>Change</w:t>
            </w:r>
            <w:r>
              <w:rPr>
                <w:rFonts w:ascii="Arial" w:cs="Arial" w:eastAsia="Arial" w:hAnsi="Arial"/>
                <w:sz w:val="8"/>
                <w:szCs w:val="8"/>
                <w:b w:val="1"/>
                <w:bCs w:val="1"/>
                <w:color w:val="auto"/>
              </w:rPr>
              <w:t>(1) (2)</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(1)(2)</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3,254.3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3,663.4</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right="23"/>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3,243.2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3,653.5</w:t>
            </w:r>
          </w:p>
        </w:tc>
        <w:tc>
          <w:tcPr>
            <w:tcW w:w="1020" w:type="dxa"/>
            <w:vAlign w:val="bottom"/>
            <w:gridSpan w:val="2"/>
          </w:tcPr>
          <w:p>
            <w:pPr>
              <w:jc w:val="center"/>
              <w:ind w:left="40"/>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3"/>
              <w:spacing w:after="0"/>
              <w:rPr>
                <w:sz w:val="20"/>
                <w:szCs w:val="20"/>
                <w:color w:val="auto"/>
              </w:rPr>
            </w:pPr>
            <w:r>
              <w:rPr>
                <w:rFonts w:ascii="Arial" w:cs="Arial" w:eastAsia="Arial" w:hAnsi="Arial"/>
                <w:sz w:val="16"/>
                <w:szCs w:val="16"/>
                <w:color w:val="auto"/>
              </w:rPr>
              <w:t>(9)%</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Developed Markets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2,165.4</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w w:val="98"/>
              </w:rPr>
              <w:t>(11)%</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Emerging Markets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626.4</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
              <w:spacing w:after="0"/>
              <w:rPr>
                <w:sz w:val="20"/>
                <w:szCs w:val="20"/>
                <w:color w:val="auto"/>
              </w:rPr>
            </w:pPr>
            <w:r>
              <w:rPr>
                <w:rFonts w:ascii="Arial" w:cs="Arial" w:eastAsia="Arial" w:hAnsi="Arial"/>
                <w:sz w:val="16"/>
                <w:szCs w:val="16"/>
                <w:color w:val="auto"/>
              </w:rPr>
              <w:t>(13)%</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JANZ</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317.8</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rPr>
              <w:t>(9)%</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Greater China</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555.5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543.9</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
              <w:spacing w:after="0"/>
              <w:rPr>
                <w:sz w:val="20"/>
                <w:szCs w:val="20"/>
                <w:color w:val="auto"/>
              </w:rPr>
            </w:pPr>
            <w:r>
              <w:rPr>
                <w:rFonts w:ascii="Arial" w:cs="Arial" w:eastAsia="Arial" w:hAnsi="Arial"/>
                <w:sz w:val="16"/>
                <w:szCs w:val="16"/>
                <w:color w:val="auto"/>
              </w:rPr>
              <w:t>4%</w:t>
            </w:r>
          </w:p>
        </w:tc>
        <w:tc>
          <w:tcPr>
            <w:tcW w:w="136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Net Sales by Product Category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2,309.1</w:t>
            </w:r>
          </w:p>
        </w:tc>
        <w:tc>
          <w:tcPr>
            <w:tcW w:w="10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3"/>
              <w:spacing w:after="0"/>
              <w:rPr>
                <w:sz w:val="20"/>
                <w:szCs w:val="20"/>
                <w:color w:val="auto"/>
              </w:rPr>
            </w:pPr>
            <w:r>
              <w:rPr>
                <w:rFonts w:ascii="Arial" w:cs="Arial" w:eastAsia="Arial" w:hAnsi="Arial"/>
                <w:sz w:val="16"/>
                <w:szCs w:val="16"/>
                <w:color w:val="auto"/>
              </w:rPr>
              <w:t>(5)%</w:t>
            </w:r>
          </w:p>
        </w:tc>
        <w:tc>
          <w:tcPr>
            <w:tcW w:w="13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960" w:type="dxa"/>
            <w:vAlign w:val="bottom"/>
          </w:tcPr>
          <w:p>
            <w:pPr>
              <w:ind w:left="220"/>
              <w:spacing w:after="0"/>
              <w:rPr>
                <w:sz w:val="20"/>
                <w:szCs w:val="20"/>
                <w:color w:val="auto"/>
              </w:rPr>
            </w:pPr>
            <w:r>
              <w:rPr>
                <w:rFonts w:ascii="Arial" w:cs="Arial" w:eastAsia="Arial" w:hAnsi="Arial"/>
                <w:sz w:val="16"/>
                <w:szCs w:val="16"/>
                <w:color w:val="auto"/>
              </w:rPr>
              <w:t>Generics</w:t>
            </w: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1,126.3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1,344.4</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
              <w:spacing w:after="0"/>
              <w:rPr>
                <w:sz w:val="20"/>
                <w:szCs w:val="20"/>
                <w:color w:val="auto"/>
              </w:rPr>
            </w:pPr>
            <w:r>
              <w:rPr>
                <w:rFonts w:ascii="Arial" w:cs="Arial" w:eastAsia="Arial" w:hAnsi="Arial"/>
                <w:sz w:val="16"/>
                <w:szCs w:val="16"/>
                <w:color w:val="auto"/>
              </w:rPr>
              <w:t>(15)%</w:t>
            </w: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U.S. GAAP 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1,161.2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1,504.0</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Margin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1,819.6</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2,154.8</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vMerge w:val="restart"/>
            <w:shd w:val="clear" w:color="auto" w:fill="DBDBDB"/>
          </w:tcPr>
          <w:p>
            <w:pPr>
              <w:spacing w:after="0"/>
              <w:rPr>
                <w:sz w:val="18"/>
                <w:szCs w:val="18"/>
                <w:color w:val="auto"/>
              </w:rPr>
            </w:pPr>
          </w:p>
        </w:tc>
        <w:tc>
          <w:tcPr>
            <w:tcW w:w="100" w:type="dxa"/>
            <w:vAlign w:val="bottom"/>
            <w:vMerge w:val="restart"/>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U.S. GAAP Net (Loss) Earnings </w:t>
            </w:r>
            <w:r>
              <w:rPr>
                <w:rFonts w:ascii="Arial" w:cs="Arial" w:eastAsia="Arial" w:hAnsi="Arial"/>
                <w:sz w:val="21"/>
                <w:szCs w:val="21"/>
                <w:color w:val="auto"/>
                <w:vertAlign w:val="superscript"/>
              </w:rPr>
              <w:t>(3)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vMerge w:val="continue"/>
            <w:shd w:val="clear" w:color="auto" w:fill="DBDBDB"/>
          </w:tcPr>
          <w:p>
            <w:pPr>
              <w:spacing w:after="0"/>
              <w:rPr>
                <w:sz w:val="18"/>
                <w:szCs w:val="18"/>
                <w:color w:val="auto"/>
              </w:rPr>
            </w:pPr>
          </w:p>
        </w:tc>
        <w:tc>
          <w:tcPr>
            <w:tcW w:w="100" w:type="dxa"/>
            <w:vAlign w:val="bottom"/>
            <w:vMerge w:val="continue"/>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U.S. GAAP (Loss) Earnings Per Share </w:t>
            </w:r>
            <w:r>
              <w:rPr>
                <w:rFonts w:ascii="Arial" w:cs="Arial" w:eastAsia="Arial" w:hAnsi="Arial"/>
                <w:sz w:val="21"/>
                <w:szCs w:val="2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812.7</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0.67</w:t>
            </w:r>
          </w:p>
        </w:tc>
        <w:tc>
          <w:tcPr>
            <w:tcW w:w="1020" w:type="dxa"/>
            <w:vAlign w:val="bottom"/>
            <w:gridSpan w:val="2"/>
          </w:tcPr>
          <w:p>
            <w:pPr>
              <w:jc w:val="center"/>
              <w:ind w:lef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(2,316.8)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1,034.0</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NM</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1,193.4</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614.6</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49.8</w:t>
            </w:r>
          </w:p>
        </w:tc>
        <w:tc>
          <w:tcPr>
            <w:tcW w:w="1020" w:type="dxa"/>
            <w:vAlign w:val="bottom"/>
            <w:tcBorders>
              <w:bottom w:val="single" w:sz="8" w:color="CCEEFF"/>
            </w:tcBorders>
            <w:gridSpan w:val="2"/>
          </w:tcPr>
          <w:p>
            <w:pPr>
              <w:jc w:val="center"/>
              <w:ind w:lef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(2)(4)</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564.8</w:t>
            </w:r>
          </w:p>
        </w:tc>
        <w:tc>
          <w:tcPr>
            <w:tcW w:w="102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9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See “Certain Key Terms and Presentation Matters” in this release for more information.</w:t>
      </w:r>
    </w:p>
    <w:p>
      <w:pPr>
        <w:spacing w:after="0" w:line="53" w:lineRule="exact"/>
        <w:rPr>
          <w:rFonts w:ascii="Arial" w:cs="Arial" w:eastAsia="Arial" w:hAnsi="Arial"/>
          <w:sz w:val="19"/>
          <w:szCs w:val="19"/>
          <w:color w:val="auto"/>
          <w:vertAlign w:val="superscript"/>
        </w:rPr>
      </w:pPr>
    </w:p>
    <w:p>
      <w:pPr>
        <w:ind w:left="540" w:hanging="208"/>
        <w:spacing w:after="0" w:line="193" w:lineRule="auto"/>
        <w:tabs>
          <w:tab w:leader="none" w:pos="5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13" w:lineRule="auto"/>
        <w:tabs>
          <w:tab w:leader="none" w:pos="581"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2025, includes a goodwill impairment charge of $2.9 billion as a result of the interim goodwill impairment test performed as of March 31, 2025. See “Goodwill Impairment” for additional information.</w:t>
      </w:r>
    </w:p>
    <w:p>
      <w:pPr>
        <w:spacing w:after="0" w:line="40" w:lineRule="exact"/>
        <w:rPr>
          <w:rFonts w:ascii="Arial" w:cs="Arial" w:eastAsia="Arial" w:hAnsi="Arial"/>
          <w:sz w:val="19"/>
          <w:szCs w:val="19"/>
          <w:color w:val="auto"/>
          <w:vertAlign w:val="superscript"/>
        </w:rPr>
      </w:pPr>
    </w:p>
    <w:p>
      <w:pPr>
        <w:jc w:val="both"/>
        <w:ind w:left="660" w:hanging="328"/>
        <w:spacing w:after="0"/>
        <w:tabs>
          <w:tab w:leader="none" w:pos="62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and taxes primarily related to the divestitures of $43 million, free cash flow for the three months ended March 31, 2025, was $535 million. Excluding the impact of transaction costs and taxes primarily related to the divestitures of $83 million, free cash flow for the three months ended March 31, 2024, was $648 million.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Quarterly Financial Highlights</w:t>
      </w:r>
    </w:p>
    <w:p>
      <w:pPr>
        <w:spacing w:after="0" w:line="272" w:lineRule="exact"/>
        <w:rPr>
          <w:sz w:val="20"/>
          <w:szCs w:val="20"/>
          <w:color w:val="auto"/>
        </w:rPr>
      </w:pPr>
    </w:p>
    <w:p>
      <w:pPr>
        <w:ind w:left="660" w:right="20" w:hanging="328"/>
        <w:spacing w:after="0" w:line="251"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First quarter 2025 total revenues were $3.3 billion, down 11% on a reported basis and down 2% on a divestiture-adjusted operational basis compared to first quarter 2024, primarily driven by the negative Indore Impact. Excluding the Indore Impact, total revenues would have increased 2% on a divestiture-adjusted operational basis compared to first quarter 2024.</w:t>
      </w:r>
    </w:p>
    <w:p>
      <w:pPr>
        <w:spacing w:after="0" w:line="228" w:lineRule="exact"/>
        <w:rPr>
          <w:rFonts w:ascii="Arial" w:cs="Arial" w:eastAsia="Arial" w:hAnsi="Arial"/>
          <w:sz w:val="22"/>
          <w:szCs w:val="22"/>
          <w:color w:val="auto"/>
        </w:rPr>
      </w:pPr>
    </w:p>
    <w:p>
      <w:pPr>
        <w:ind w:left="660" w:right="380" w:hanging="328"/>
        <w:spacing w:after="0" w:line="26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0"/>
          <w:szCs w:val="20"/>
          <w:color w:val="auto"/>
        </w:rPr>
        <w:t>Brands net sales reflect the expansion of the Company's portfolio in Emerging Markets, and strong growth in Greater China and Developed Markets.</w:t>
      </w:r>
    </w:p>
    <w:p>
      <w:pPr>
        <w:sectPr>
          <w:pgSz w:w="11900" w:h="16838" w:orient="portrait"/>
          <w:cols w:equalWidth="0" w:num="1">
            <w:col w:w="11240"/>
          </w:cols>
          <w:pgMar w:left="320" w:top="11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01" w:right="339" w:bottom="1440" w:gutter="0" w:footer="0" w:header="0"/>
          <w:type w:val="continuous"/>
        </w:sectPr>
      </w:pPr>
    </w:p>
    <w:bookmarkStart w:id="6" w:name="page7"/>
    <w:bookmarkEnd w:id="6"/>
    <w:p>
      <w:pPr>
        <w:ind w:left="660" w:right="160" w:hanging="328"/>
        <w:spacing w:after="0" w:line="26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Generics net sales reflect the expected negative Indore Impact, partially offset by growth in certain complex products in North America, strong performance across key European markets, and volume growth in JANZ.</w:t>
      </w:r>
    </w:p>
    <w:p>
      <w:pPr>
        <w:spacing w:after="0" w:line="215" w:lineRule="exact"/>
        <w:rPr>
          <w:rFonts w:ascii="Arial" w:cs="Arial" w:eastAsia="Arial" w:hAnsi="Arial"/>
          <w:sz w:val="22"/>
          <w:szCs w:val="22"/>
          <w:color w:val="auto"/>
        </w:rPr>
      </w:pPr>
    </w:p>
    <w:p>
      <w:pPr>
        <w:ind w:left="660" w:right="300" w:hanging="328"/>
        <w:spacing w:after="0" w:line="26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The Company generated approximately $67 million in new product revenues in the quarter and continues to expect to deliver approximately $450 million to $550 million in new product revenues in 2025.</w:t>
      </w:r>
    </w:p>
    <w:p>
      <w:pPr>
        <w:spacing w:after="0" w:line="215"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First quarter 2025 U.S. GAAP net loss was $(3.0) billion compared to U.S. GAAP net earnings of $114 million in the first quarter of 2024, and U.S. GAAP diluted EPS was a loss of $(2.55) per share in Q1 2025 compared to a gain of $0.09 per share in Q1 2024, in each case primarily driven by a non-cash goodwill impairment charge of $2.9 billion in the current quarter. See “Goodwill Impairment</w:t>
      </w:r>
      <w:r>
        <w:rPr>
          <w:rFonts w:ascii="Arial" w:cs="Arial" w:eastAsia="Arial" w:hAnsi="Arial"/>
          <w:sz w:val="20"/>
          <w:szCs w:val="20"/>
          <w:i w:val="1"/>
          <w:iCs w:val="1"/>
          <w:color w:val="auto"/>
        </w:rPr>
        <w:t>”</w:t>
      </w:r>
      <w:r>
        <w:rPr>
          <w:rFonts w:ascii="Arial" w:cs="Arial" w:eastAsia="Arial" w:hAnsi="Arial"/>
          <w:sz w:val="20"/>
          <w:szCs w:val="20"/>
          <w:color w:val="auto"/>
        </w:rPr>
        <w:t xml:space="preserve"> for more information.</w:t>
      </w:r>
    </w:p>
    <w:p>
      <w:pPr>
        <w:spacing w:after="0" w:line="242" w:lineRule="exact"/>
        <w:rPr>
          <w:rFonts w:ascii="Arial" w:cs="Arial" w:eastAsia="Arial" w:hAnsi="Arial"/>
          <w:sz w:val="22"/>
          <w:szCs w:val="22"/>
          <w:color w:val="auto"/>
        </w:rPr>
      </w:pPr>
    </w:p>
    <w:p>
      <w:pPr>
        <w:ind w:left="660" w:right="300" w:hanging="328"/>
        <w:spacing w:after="0" w:line="251"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First quarter 2025 adjusted EBITDA was $923 million, down 23% on a reported basis and down 12% on a divestiture-adjusted operational basis compared to the first quarter of 2024, and adjusted EPS was $0.50 per share in Q1 2025, down 25% on a reported basis and down 14% on a divestiture-adjusted operational basis compared to Q1 2024, both primarily driven by the negative Indore Impact.</w:t>
      </w:r>
    </w:p>
    <w:p>
      <w:pPr>
        <w:spacing w:after="0" w:line="228" w:lineRule="exact"/>
        <w:rPr>
          <w:rFonts w:ascii="Arial" w:cs="Arial" w:eastAsia="Arial" w:hAnsi="Arial"/>
          <w:sz w:val="22"/>
          <w:szCs w:val="22"/>
          <w:color w:val="auto"/>
        </w:rPr>
      </w:pPr>
    </w:p>
    <w:p>
      <w:pPr>
        <w:ind w:left="660" w:hanging="328"/>
        <w:spacing w:after="0" w:line="262"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The Company generated U.S. GAAP net cash provided by operating activities of $535 million, and free cash flow of $493 million, including $43 million in transaction-related costs.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Additional Highlights</w:t>
      </w:r>
    </w:p>
    <w:p>
      <w:pPr>
        <w:spacing w:after="0" w:line="245" w:lineRule="exact"/>
        <w:rPr>
          <w:sz w:val="20"/>
          <w:szCs w:val="20"/>
          <w:color w:val="auto"/>
        </w:rPr>
      </w:pPr>
    </w:p>
    <w:p>
      <w:pPr>
        <w:ind w:left="660" w:right="100" w:hanging="328"/>
        <w:spacing w:after="0" w:line="246" w:lineRule="auto"/>
        <w:tabs>
          <w:tab w:leader="none" w:pos="655" w:val="left"/>
        </w:tabs>
        <w:numPr>
          <w:ilvl w:val="0"/>
          <w:numId w:val="8"/>
        </w:numPr>
        <w:rPr>
          <w:rFonts w:ascii="Arial" w:cs="Arial" w:eastAsia="Arial" w:hAnsi="Arial"/>
          <w:sz w:val="21"/>
          <w:szCs w:val="21"/>
          <w:color w:val="7030A0"/>
        </w:rPr>
      </w:pPr>
      <w:r>
        <w:rPr>
          <w:rFonts w:ascii="Arial" w:cs="Arial" w:eastAsia="Arial" w:hAnsi="Arial"/>
          <w:sz w:val="19"/>
          <w:szCs w:val="19"/>
          <w:color w:val="auto"/>
        </w:rPr>
        <w:t>The Company received positive results from the Phase 3 open-label, long-term extension study for EFFEXOR</w:t>
      </w:r>
      <w:r>
        <w:rPr>
          <w:rFonts w:ascii="Arial" w:cs="Arial" w:eastAsia="Arial" w:hAnsi="Arial"/>
          <w:sz w:val="24"/>
          <w:szCs w:val="24"/>
          <w:color w:val="auto"/>
          <w:vertAlign w:val="superscript"/>
        </w:rPr>
        <w:t>®</w:t>
      </w:r>
      <w:r>
        <w:rPr>
          <w:rFonts w:ascii="Arial" w:cs="Arial" w:eastAsia="Arial" w:hAnsi="Arial"/>
          <w:sz w:val="19"/>
          <w:szCs w:val="19"/>
          <w:color w:val="auto"/>
        </w:rPr>
        <w:t xml:space="preserve"> required for approval in Japan and the Company filed applications to the Ministry of Health, Labor and Welfare for approval of EFFEXOR SR Capsules (venlafaxine hydrochloride), a serotonin-noradrenaline reuptake inhibitor to treat adults with generalized anxiety disorder, an indication for which no other treatment option is currently approved in Japan.</w:t>
      </w:r>
    </w:p>
    <w:p>
      <w:pPr>
        <w:spacing w:after="0" w:line="233" w:lineRule="exact"/>
        <w:rPr>
          <w:rFonts w:ascii="Arial" w:cs="Arial" w:eastAsia="Arial" w:hAnsi="Arial"/>
          <w:sz w:val="21"/>
          <w:szCs w:val="21"/>
          <w:color w:val="7030A0"/>
        </w:rPr>
      </w:pPr>
    </w:p>
    <w:p>
      <w:pPr>
        <w:ind w:left="660" w:hanging="328"/>
        <w:spacing w:after="0" w:line="249" w:lineRule="auto"/>
        <w:tabs>
          <w:tab w:leader="none" w:pos="655"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The Company announced positive top-line results from two pivotal Phase 3 studies of its novel fast-acting formulation of meloxicam (MR-107A-02) for the treatment of moderate-to-severe acute pain. The Phase 3 program consisted of two randomized, double-blind, placebo-(double-dummy) and active-controlled trials – one following herniorrhaphy surgery and one following bunionectomy surgery. In both Phase 3 studies, all primary and secondary endpoints were met and MR-107A-02 demonstrated statistically significant and clinically meaningful results. The Company is targeting to submit a New Drug Application (NDA) to the U.S. Food and Drug Administration (FDA) by the end of 2025.</w:t>
      </w:r>
    </w:p>
    <w:p>
      <w:pPr>
        <w:spacing w:after="0" w:line="232" w:lineRule="exact"/>
        <w:rPr>
          <w:rFonts w:ascii="Times New Roman" w:cs="Times New Roman" w:eastAsia="Times New Roman" w:hAnsi="Times New Roman"/>
          <w:sz w:val="22"/>
          <w:szCs w:val="22"/>
          <w:color w:val="auto"/>
        </w:rPr>
      </w:pPr>
    </w:p>
    <w:p>
      <w:pPr>
        <w:ind w:left="660" w:right="20" w:hanging="328"/>
        <w:spacing w:after="0" w:line="251" w:lineRule="auto"/>
        <w:tabs>
          <w:tab w:leader="none" w:pos="655" w:val="left"/>
        </w:tabs>
        <w:numPr>
          <w:ilvl w:val="0"/>
          <w:numId w:val="8"/>
        </w:numPr>
        <w:rPr>
          <w:rFonts w:ascii="Times New Roman" w:cs="Times New Roman" w:eastAsia="Times New Roman" w:hAnsi="Times New Roman"/>
          <w:sz w:val="22"/>
          <w:szCs w:val="22"/>
          <w:color w:val="auto"/>
        </w:rPr>
      </w:pPr>
      <w:r>
        <w:rPr>
          <w:rFonts w:ascii="Arial" w:cs="Arial" w:eastAsia="Arial" w:hAnsi="Arial"/>
          <w:sz w:val="20"/>
          <w:szCs w:val="20"/>
          <w:color w:val="auto"/>
        </w:rPr>
        <w:t>The Company announced positive results of its Phase 3 study evaluating the contraceptive efficacy and safety of investigational XULANE LO</w:t>
      </w:r>
      <w:r>
        <w:rPr>
          <w:rFonts w:ascii="Arial" w:cs="Arial" w:eastAsia="Arial" w:hAnsi="Arial"/>
          <w:sz w:val="11"/>
          <w:szCs w:val="11"/>
          <w:color w:val="auto"/>
        </w:rPr>
        <w:t>TM</w:t>
      </w:r>
      <w:r>
        <w:rPr>
          <w:rFonts w:ascii="Arial" w:cs="Arial" w:eastAsia="Arial" w:hAnsi="Arial"/>
          <w:sz w:val="20"/>
          <w:szCs w:val="20"/>
          <w:color w:val="auto"/>
        </w:rPr>
        <w:t xml:space="preserve"> low dose weekly dermal patch with 150 mcg norelgestromin and 17.5 mcg ethinyl estradiol per day in women of childbearing potential. In this study, XULANE LO demonstrated a favorable efficacy and safety profile with no new safety concerns identified, as well as a potential best-in-class patch performance profile. The Company plans to submit an NDA to the FDA in the second half of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14"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7030A0"/>
        </w:rPr>
        <w:t>Capital Allocation</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Company is reaffirming its commitment to prioritizing returning capital to shareholders in 2025 as previously stated.</w:t>
      </w:r>
    </w:p>
    <w:p>
      <w:pPr>
        <w:spacing w:after="0" w:line="229"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Year-to-date, the Company returned more than $450 million of capital to shareholders, including over $ 300 million in share repurchases and ~$143 million in dividends paid. The Company expects $500 million to $650 million in total share repurchases in 2025 and expects to be opportunistic with cash available throughout the year.</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9"/>
          <w:szCs w:val="19"/>
          <w:color w:val="auto"/>
        </w:rPr>
        <w:t>From a business development perspective, the Company expects to continue to pursue regional licensing and partnership opportunities with immediate revenue contribution that leverage its unique commercial and R&amp;D infrastructure and capabilities.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2025 Financial Guidance</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Viatris is reaffirming its 2025 outlook that was previously provided on February 27, 2025, as set forth below, after adjusting the guidance ranges solely to reflect the impact of acquired IPR&amp;D and share repurchases as applicable. The Company is not providing forward-looking guidance for U.S. GAAP net (loss) earnings or U.S. GAAP diluted (loss) earnings per share (EPS) or a quantitative reconciliation of its 2025 adjusted EBITDA or adjusted EPS guidance to the most directly comparable U.S. GAAP measures, U.S. GAAP net (loss) earnings or U.S. GAAP diluted EPS, respectively, because it is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provided as of February 27, 2025, and May 8, 2025, U.S. GAAP net cash provided by operating activities for 2025 is estimated to be between $2.2 billion and $ 2.5 billion, with a midpoint of approximately $ 2.35 billion. With respect to the Estimated Ranges provided as of February 27, 2025, Viatris did not provide forward-looking guidance for U.S. GAAP net (loss) earnings or U.S. GAAP diluted EPS or a quantitative reconciliation of its 2025 adjusted EBITDA or adjusted EPS guidance. Please see “Non-GAAP Financial Measures” for additional information.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Adjusted</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(2)</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xml:space="preserve">Midpoint </w:t>
            </w:r>
            <w:r>
              <w:rPr>
                <w:rFonts w:ascii="Arial" w:cs="Arial" w:eastAsia="Arial" w:hAnsi="Arial"/>
                <w:sz w:val="18"/>
                <w:szCs w:val="18"/>
                <w:b w:val="1"/>
                <w:bCs w:val="1"/>
                <w:color w:val="auto"/>
                <w:w w:val="98"/>
                <w:vertAlign w:val="superscript"/>
              </w:rPr>
              <w:t>(2)</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Acquired</w:t>
            </w: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 Repurchases</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18"/>
                <w:szCs w:val="18"/>
                <w:b w:val="1"/>
                <w:bCs w:val="1"/>
                <w:color w:val="auto"/>
                <w:vertAlign w:val="superscript"/>
              </w:rPr>
              <w:t>(4)</w:t>
            </w: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08"/>
        </w:trPr>
        <w:tc>
          <w:tcPr>
            <w:tcW w:w="208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i w:val="1"/>
                <w:iCs w:val="1"/>
                <w:color w:val="auto"/>
              </w:rPr>
              <w:t>EPS)</w:t>
            </w:r>
          </w:p>
        </w:tc>
        <w:tc>
          <w:tcPr>
            <w:tcW w:w="19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8"/>
              </w:rPr>
              <w:t>February 27, 2025</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February 27, 2025</w:t>
            </w:r>
          </w:p>
        </w:tc>
        <w:tc>
          <w:tcPr>
            <w:tcW w:w="10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IPR&amp;D</w:t>
            </w: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9"/>
                <w:szCs w:val="9"/>
                <w:color w:val="auto"/>
              </w:rPr>
            </w:pPr>
          </w:p>
        </w:tc>
        <w:tc>
          <w:tcPr>
            <w:tcW w:w="19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May 8, 2025</w:t>
            </w:r>
          </w:p>
        </w:tc>
        <w:tc>
          <w:tcPr>
            <w:tcW w:w="118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May 8, 2025</w:t>
            </w:r>
          </w:p>
        </w:tc>
        <w:tc>
          <w:tcPr>
            <w:tcW w:w="0" w:type="dxa"/>
            <w:vAlign w:val="bottom"/>
          </w:tcPr>
          <w:p>
            <w:pPr>
              <w:spacing w:after="0"/>
              <w:rPr>
                <w:sz w:val="1"/>
                <w:szCs w:val="1"/>
                <w:color w:val="auto"/>
              </w:rPr>
            </w:pPr>
          </w:p>
        </w:tc>
      </w:tr>
      <w:tr>
        <w:trPr>
          <w:trHeight w:val="40"/>
        </w:trPr>
        <w:tc>
          <w:tcPr>
            <w:tcW w:w="2080" w:type="dxa"/>
            <w:vAlign w:val="bottom"/>
            <w:vMerge w:val="continue"/>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$14,000</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$13,750</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$14,000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$3,900</w:t>
            </w:r>
          </w:p>
        </w:tc>
        <w:tc>
          <w:tcPr>
            <w:tcW w:w="980" w:type="dxa"/>
            <w:vAlign w:val="bottom"/>
          </w:tcPr>
          <w:p>
            <w:pPr>
              <w:ind w:left="40"/>
              <w:spacing w:after="0"/>
              <w:rPr>
                <w:sz w:val="20"/>
                <w:szCs w:val="20"/>
                <w:color w:val="auto"/>
              </w:rPr>
            </w:pPr>
            <w:r>
              <w:rPr>
                <w:rFonts w:ascii="Arial" w:cs="Arial" w:eastAsia="Arial" w:hAnsi="Arial"/>
                <w:sz w:val="16"/>
                <w:szCs w:val="16"/>
                <w:color w:val="auto"/>
              </w:rPr>
              <w:t>- $4,200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$4,050</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$3,890</w:t>
            </w:r>
          </w:p>
        </w:tc>
        <w:tc>
          <w:tcPr>
            <w:tcW w:w="960" w:type="dxa"/>
            <w:vAlign w:val="bottom"/>
          </w:tcPr>
          <w:p>
            <w:pPr>
              <w:ind w:left="20"/>
              <w:spacing w:after="0"/>
              <w:rPr>
                <w:sz w:val="20"/>
                <w:szCs w:val="20"/>
                <w:color w:val="auto"/>
              </w:rPr>
            </w:pPr>
            <w:r>
              <w:rPr>
                <w:rFonts w:ascii="Arial" w:cs="Arial" w:eastAsia="Arial" w:hAnsi="Arial"/>
                <w:sz w:val="16"/>
                <w:szCs w:val="16"/>
                <w:color w:val="auto"/>
              </w:rPr>
              <w:t>- $4,190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$4,040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$2.26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$2.23</w:t>
            </w:r>
          </w:p>
        </w:tc>
        <w:tc>
          <w:tcPr>
            <w:tcW w:w="0" w:type="dxa"/>
            <w:vAlign w:val="bottom"/>
          </w:tcPr>
          <w:p>
            <w:pPr>
              <w:spacing w:after="0"/>
              <w:rPr>
                <w:sz w:val="1"/>
                <w:szCs w:val="1"/>
                <w:color w:val="auto"/>
              </w:rPr>
            </w:pPr>
          </w:p>
        </w:tc>
      </w:tr>
      <w:tr>
        <w:trPr>
          <w:trHeight w:val="298"/>
        </w:trPr>
        <w:tc>
          <w:tcPr>
            <w:tcW w:w="2080" w:type="dxa"/>
            <w:vAlign w:val="bottom"/>
          </w:tcPr>
          <w:p>
            <w:pPr>
              <w:ind w:left="2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6"/>
                <w:szCs w:val="16"/>
                <w:color w:val="auto"/>
              </w:rPr>
              <w:t>$1,800</w:t>
            </w:r>
          </w:p>
        </w:tc>
        <w:tc>
          <w:tcPr>
            <w:tcW w:w="980" w:type="dxa"/>
            <w:vAlign w:val="bottom"/>
          </w:tcPr>
          <w:p>
            <w:pPr>
              <w:ind w:left="40"/>
              <w:spacing w:after="0"/>
              <w:rPr>
                <w:sz w:val="20"/>
                <w:szCs w:val="20"/>
                <w:color w:val="auto"/>
              </w:rPr>
            </w:pPr>
            <w:r>
              <w:rPr>
                <w:rFonts w:ascii="Arial" w:cs="Arial" w:eastAsia="Arial" w:hAnsi="Arial"/>
                <w:sz w:val="16"/>
                <w:szCs w:val="16"/>
                <w:color w:val="auto"/>
              </w:rPr>
              <w:t>- $2,200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$1,800</w:t>
            </w:r>
          </w:p>
        </w:tc>
        <w:tc>
          <w:tcPr>
            <w:tcW w:w="960" w:type="dxa"/>
            <w:vAlign w:val="bottom"/>
          </w:tcPr>
          <w:p>
            <w:pPr>
              <w:ind w:left="20"/>
              <w:spacing w:after="0"/>
              <w:rPr>
                <w:sz w:val="20"/>
                <w:szCs w:val="20"/>
                <w:color w:val="auto"/>
              </w:rPr>
            </w:pPr>
            <w:r>
              <w:rPr>
                <w:rFonts w:ascii="Arial" w:cs="Arial" w:eastAsia="Arial" w:hAnsi="Arial"/>
                <w:sz w:val="16"/>
                <w:szCs w:val="16"/>
                <w:color w:val="auto"/>
              </w:rPr>
              <w:t>- $2,200</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540" w:hanging="208"/>
        <w:spacing w:after="0"/>
        <w:tabs>
          <w:tab w:leader="none" w:pos="54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13" w:lineRule="auto"/>
        <w:tabs>
          <w:tab w:leader="none" w:pos="66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2025 Financial Guidance as provided as of February 27, 2025, excluded the impact of divestiture-related taxes and transaction costs. Also excluded any acquired IPR&amp;D for unsigned deals to be incurred in any future period as it could not be reasonably forecasted.</w:t>
      </w:r>
    </w:p>
    <w:p>
      <w:pPr>
        <w:spacing w:after="0" w:line="40" w:lineRule="exact"/>
        <w:rPr>
          <w:rFonts w:ascii="Arial" w:cs="Arial" w:eastAsia="Arial" w:hAnsi="Arial"/>
          <w:sz w:val="19"/>
          <w:szCs w:val="19"/>
          <w:color w:val="auto"/>
          <w:vertAlign w:val="superscript"/>
        </w:rPr>
      </w:pPr>
    </w:p>
    <w:p>
      <w:pPr>
        <w:ind w:left="660" w:hanging="328"/>
        <w:spacing w:after="0" w:line="231" w:lineRule="auto"/>
        <w:tabs>
          <w:tab w:leader="none" w:pos="72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estimated impact of share repurchases executed through and including May 7, 2025, and does not include the expected impact of additional share repurchases in 2025 after such date.</w:t>
      </w:r>
    </w:p>
    <w:p>
      <w:pPr>
        <w:spacing w:after="0" w:line="39" w:lineRule="exact"/>
        <w:rPr>
          <w:rFonts w:ascii="Arial" w:cs="Arial" w:eastAsia="Arial" w:hAnsi="Arial"/>
          <w:sz w:val="19"/>
          <w:szCs w:val="19"/>
          <w:color w:val="auto"/>
          <w:vertAlign w:val="superscript"/>
        </w:rPr>
      </w:pPr>
    </w:p>
    <w:p>
      <w:pPr>
        <w:ind w:left="660" w:hanging="328"/>
        <w:spacing w:after="0" w:line="234" w:lineRule="auto"/>
        <w:tabs>
          <w:tab w:leader="none" w:pos="56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2025 Financial Guidance as provided as of May 8, 2025, excludes the impact of divestiture-related taxes and transaction costs. Also excludes any acquired IPR&amp;D for unsigned deals to be incurred in any future period as it cannot be reasonably forecasted. 2025 financial guidance does not currently include any potential adverse impact from future tariffs and trade restrictions, which we are unable to predict at this time and could be material.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7030A0"/>
        </w:rPr>
        <w:t>Conference Call and Earnings Materials</w:t>
      </w:r>
    </w:p>
    <w:p>
      <w:pPr>
        <w:spacing w:after="0" w:line="204"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Viatris will host a conference call and live webcast, today at 8:30 a.m. ET, to review the Company's first quarter 2025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31" w:lineRule="exact"/>
        <w:rPr>
          <w:sz w:val="20"/>
          <w:szCs w:val="20"/>
          <w:color w:val="auto"/>
        </w:rPr>
      </w:pPr>
    </w:p>
    <w:p>
      <w:pPr>
        <w:ind w:right="260"/>
        <w:spacing w:after="0" w:line="279" w:lineRule="auto"/>
        <w:rPr>
          <w:sz w:val="20"/>
          <w:szCs w:val="20"/>
          <w:color w:val="auto"/>
        </w:rPr>
      </w:pPr>
      <w:r>
        <w:rPr>
          <w:rFonts w:ascii="Arial" w:cs="Arial" w:eastAsia="Arial" w:hAnsi="Arial"/>
          <w:sz w:val="19"/>
          <w:szCs w:val="19"/>
          <w:color w:val="auto"/>
        </w:rPr>
        <w:t>844.308.3344 or 412.317.1896 for international callers. The “Viatris Q1 2025 Earnings Presentation,” which will be referenced during the call, can be found at investor.viatris.com. A replay of the webcast also will be available on the website.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About Viatris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Non-GAAP Financial Measures</w:t>
      </w:r>
    </w:p>
    <w:p>
      <w:pPr>
        <w:spacing w:after="0" w:line="231"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 costs and taxes primarily related to the divestitures,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2024 adjusted net sales excluding divestitures, divestiture-adjusted operational change, and divestiture-adjusted operational change excluding the Indore Impact,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divestitures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44" w:right="339" w:bottom="1440" w:gutter="0" w:footer="0" w:header="0"/>
        </w:sectPr>
      </w:pPr>
    </w:p>
    <w:bookmarkStart w:id="9" w:name="page10"/>
    <w:bookmarkEnd w:id="9"/>
    <w:p>
      <w:pPr>
        <w:ind w:right="40"/>
        <w:spacing w:after="0" w:line="263" w:lineRule="auto"/>
        <w:rPr>
          <w:sz w:val="20"/>
          <w:szCs w:val="20"/>
          <w:color w:val="auto"/>
        </w:rPr>
      </w:pPr>
      <w:r>
        <w:rPr>
          <w:rFonts w:ascii="Arial" w:cs="Arial" w:eastAsia="Arial" w:hAnsi="Arial"/>
          <w:sz w:val="19"/>
          <w:szCs w:val="19"/>
          <w:color w:val="auto"/>
        </w:rPr>
        <w:t>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closed during 2024 by excluding proportionate net sales from those divested businesses from the comparable 2024 period, and divestiture-adjusted operational change excluding the Indore Impact refers to divestiture-adjusted operational change further adjusted for the negative Indore Impact. The "Summary of Total Revenues by Segment" table below compares total revenues and net sales on an actual and constant currency basis for each reportable segment for the quarters ended March 31, 2025 and 2024, as well as divestiture-adjusted operational change in net sales and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March 31, 2025.</w:t>
      </w:r>
    </w:p>
    <w:p>
      <w:pPr>
        <w:spacing w:after="0" w:line="200" w:lineRule="exact"/>
        <w:rPr>
          <w:sz w:val="20"/>
          <w:szCs w:val="20"/>
          <w:color w:val="auto"/>
        </w:rPr>
      </w:pP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With respect to the guidance ranges as provided on February 27, 2025, at that time the Company did not provide forward-looking guidance for U.S. GAAP net earnings (loss) or U.S. GAAP diluted EPS or a quantitative reconciliation of its 2025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future share repurchases, and other contingencies, such as changes to contingent consideration, acquired IPR&amp;D and certain other gains or losses, including for the fair value accounting for non-marketable equity investments, as well as related income tax accounting, because certain of these items had not occurred, were out of the Company’s control, and/or could not be reasonably predicted without unreasonable effort. These items were uncertain, depended on various factors, and could have had a material impact on U.S. GAAP reported results for the guidance period. As previously disclosed, such guidance ranges excluded the impact of any divestiture-related taxes and transaction costs as well as any acquired IPR&amp;D for unsigned deals to be incurred in any future period as it could not be reasonably forecasted. With respect to the guidance ranges provided as of February 27, 2025, U.S. GAAP net cash provided by operating activities for 2025 was estimated to be between $2.2 billion and $2.5 billion, with a midpoint of approximately $2.35 billion.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7030A0"/>
        </w:rPr>
        <w:t>Goodwill Impairment</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Company reviews goodwill for impairment annually on April 1 or more frequently if events or changes in circumstances indicate that the carrying value of goodwill may not be recoverable. Since the end of February 2025, the Company has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When compared to the prior year annual goodwill impairment test completed on April 1, 2024, the recent significantly increased uncertainty and volatility in the geopolitical and economic environments in which the Company operates has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recent significant increase in business risks and uncertainty have led to an increase in discount rate assumptions impacting all reporting units as compared to the April 1, 2024, annual goodwill impairment test. For the three months ended March 31, 2025, the Company recorded a non-cash goodwill impairment charge of $2.9 billion as a result of the interim goodwill impairment test performed as of March 31,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Certain Key Terms and Presentation Matters</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2025 and the carryover impact of new products, including business development, launched within the last 12 months.</w:t>
      </w:r>
    </w:p>
    <w:p>
      <w:pPr>
        <w:spacing w:after="0" w:line="140" w:lineRule="exact"/>
        <w:rPr>
          <w:sz w:val="20"/>
          <w:szCs w:val="20"/>
          <w:color w:val="auto"/>
        </w:rPr>
      </w:pPr>
    </w:p>
    <w:p>
      <w:pPr>
        <w:jc w:val="both"/>
        <w:ind w:right="480"/>
        <w:spacing w:after="0" w:line="282" w:lineRule="auto"/>
        <w:rPr>
          <w:sz w:val="20"/>
          <w:szCs w:val="20"/>
          <w:color w:val="auto"/>
        </w:rPr>
      </w:pPr>
      <w:r>
        <w:rPr>
          <w:rFonts w:ascii="Arial" w:cs="Arial" w:eastAsia="Arial" w:hAnsi="Arial"/>
          <w:sz w:val="19"/>
          <w:szCs w:val="19"/>
          <w:u w:val="single" w:color="auto"/>
          <w:color w:val="auto"/>
        </w:rPr>
        <w:t>Operational change:</w:t>
      </w:r>
      <w:r>
        <w:rPr>
          <w:rFonts w:ascii="Arial" w:cs="Arial" w:eastAsia="Arial" w:hAnsi="Arial"/>
          <w:sz w:val="19"/>
          <w:szCs w:val="19"/>
          <w:color w:val="auto"/>
        </w:rPr>
        <w:t xml:space="preserve"> Refers to constant currency percentage changes and is derived by translating amounts for the current period at prior year comparative period exchange rates, and in doing so shows the percentage change from 2025 constant currency net sales, total revenues, adjusted EBITDA, and adjusted EPS to the corresponding amount in the prior year.</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9"/>
          <w:szCs w:val="19"/>
          <w:u w:val="single" w:color="auto"/>
          <w:color w:val="auto"/>
        </w:rPr>
        <w:t>Divestiture-adjusted operational change:</w:t>
      </w:r>
      <w:r>
        <w:rPr>
          <w:rFonts w:ascii="Arial" w:cs="Arial" w:eastAsia="Arial" w:hAnsi="Arial"/>
          <w:sz w:val="19"/>
          <w:szCs w:val="19"/>
          <w:color w:val="auto"/>
        </w:rPr>
        <w:t xml:space="preserve"> Refers to operational changes, further adjusted for the impact of the proportionate results from the divestitures that closed in 2024, from the 2024 period by excluding such net sales or revenues from those divested businesses from comparable prior periods. Also, for adjusted EBITDA and adjusted EPS, refers to operational changes, adjusted as outlined in the previous sentence and further adjusted for associated net other income.</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20"/>
          <w:szCs w:val="20"/>
          <w:u w:val="single" w:color="auto"/>
          <w:color w:val="auto"/>
        </w:rPr>
        <w:t>SG&amp;A and R&amp;D TSA reimbursement and DSA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any mark-up is included in other expense (income), net. For comparability purposes, amounts related to the cost reimbursement were reclassified to adjusted SG&amp;A and adjusted R&amp;D during the first quarter of 2024, primarily related to the contribution of the biosimilars business to Biocon Biologics Limited (“Biocon Biologics”) in November 2022. This reclassification had no impact on adjusted net earnings, adjusted EBITDA or adjusted EPS. Any TSA reimbursement and DSA reimbursement amounts related to the closed divestitures are not direct offsets to operational expense and have not been reclassified.</w:t>
      </w:r>
    </w:p>
    <w:p>
      <w:pPr>
        <w:spacing w:after="0" w:line="213" w:lineRule="exact"/>
        <w:rPr>
          <w:sz w:val="20"/>
          <w:szCs w:val="20"/>
          <w:color w:val="auto"/>
        </w:rPr>
      </w:pPr>
    </w:p>
    <w:p>
      <w:pPr>
        <w:ind w:right="200"/>
        <w:spacing w:after="0" w:line="255" w:lineRule="auto"/>
        <w:rPr>
          <w:sz w:val="20"/>
          <w:szCs w:val="20"/>
          <w:color w:val="auto"/>
        </w:rPr>
      </w:pPr>
      <w:r>
        <w:rPr>
          <w:rFonts w:ascii="Arial" w:cs="Arial" w:eastAsia="Arial" w:hAnsi="Arial"/>
          <w:sz w:val="20"/>
          <w:szCs w:val="20"/>
          <w:u w:val="single" w:color="auto"/>
          <w:color w:val="auto"/>
        </w:rPr>
        <w:t>Closed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divestitures closed in 2024</w:t>
      </w:r>
      <w:r>
        <w:rPr>
          <w:rFonts w:ascii="Arial" w:cs="Arial" w:eastAsia="Arial" w:hAnsi="Arial"/>
          <w:sz w:val="20"/>
          <w:szCs w:val="20"/>
          <w:color w:val="auto"/>
        </w:rPr>
        <w:t>: Refers to the divestiture of the Company’s rights to two women’s healthcare products in the U.K. that closed in August 2024, the divestitures of the commercialization rights in the majority of the Upjohn Distributor markets that closed in 2024, the divestiture of the women’s healthcare business that closed in March 2024, the divestiture of the API</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85" w:right="35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business in India that closed in June 2024, and the divestiture of the OTC business that closed in July 2024.</w:t>
      </w:r>
    </w:p>
    <w:p>
      <w:pPr>
        <w:spacing w:after="0" w:line="256" w:lineRule="exact"/>
        <w:rPr>
          <w:sz w:val="20"/>
          <w:szCs w:val="20"/>
          <w:color w:val="auto"/>
        </w:rPr>
      </w:pPr>
    </w:p>
    <w:p>
      <w:pPr>
        <w:ind w:right="400"/>
        <w:spacing w:after="0" w:line="245" w:lineRule="auto"/>
        <w:rPr>
          <w:sz w:val="20"/>
          <w:szCs w:val="20"/>
          <w:color w:val="auto"/>
        </w:rPr>
      </w:pPr>
      <w:r>
        <w:rPr>
          <w:rFonts w:ascii="Arial" w:cs="Arial" w:eastAsia="Arial" w:hAnsi="Arial"/>
          <w:sz w:val="20"/>
          <w:szCs w:val="20"/>
          <w:u w:val="single" w:color="auto"/>
          <w:color w:val="auto"/>
        </w:rPr>
        <w:t>Indore Impact:</w:t>
      </w:r>
      <w:r>
        <w:rPr>
          <w:rFonts w:ascii="Arial" w:cs="Arial" w:eastAsia="Arial" w:hAnsi="Arial"/>
          <w:sz w:val="20"/>
          <w:szCs w:val="20"/>
          <w:color w:val="auto"/>
        </w:rPr>
        <w:t xml:space="preserve"> Refers to the estimated negative financial impact on 2025 total revenues and (loss) earnings from operations versus the comparable 2024 periods as a result of the FDA issued warning letter and import alert related to our oral finished dose manufacturing facility in Indore, India. For first quarter 2025, the estimated Indore Impact to total revenues was approximately $140 million.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Forward-Looking Statements</w:t>
      </w:r>
    </w:p>
    <w:p>
      <w:pPr>
        <w:spacing w:after="0" w:line="231"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This press release contains “forward-looking statements”. These statements are made pursuant to the safe harbor provisions of the Private Securities Litigation Reform Act of 1995. Such forward-looking statements may include, without limitation, statements about our 2025 financial guidance; reaffirms 2025 outlook; delivers total revenues in line with expectations demonstrating strength of the base business; makes significant pipeline progress with three positive phase 3 data readouts; reaffirms 2025 capital allocation priorities; 2025 is off to a good start as we continue to focus on executing our strategic priorities; our growing pipeline, capital discipline, operational execution, and significant global scope give us confidence in our ability to navigate the periods of increased volatility and uncertainty that our industry has been experiencing much of this year; we continue to generate strong cash flow and we are delivering on our capital allocation plan including share repurchases of over $300 million year to date; we believe we are currently well positioned to meet our financial guidance and our commitment to prioritizing returning capital to shareholders through the remainder of the year; continues to expect to deliver approximately $450 million to $550 million in new product revenues in 2025; the Company received positive results from the Phase 3 open-label, long-term extension study for EFFEXOR® required for approval in Japan and the Company filed applications to the Ministry of Health, Labor and Welfare for approval of EFFEXOR SR Capsules (venlafaxine hydrochloride), a serotonin-noradrenaline reuptake inhibitor to treat adults with generalized anxiety disorder, an indication for which no other treatment option is currently approved in Japan; the Company announced positive top-line results from two pivotal Phase 3 studies of its novel fast acting formulation of meloxicam (MR-107A-02) for the treatment of moderate-to-severe acute pain; in both Phase 3 studies, all primary and secondary endpoints were met and MR-107A-02 demonstrated statistically significant and clinically meaningful results; the Company is targeting to submit a New Drug Application (NDA) to the U.S. Food and Drug Administration (FDA) by the end of 2025; the Company announced positive results of its Phase 3 study evaluating the contraceptive efficacy and safety of investigational XULANE LO</w:t>
      </w:r>
      <w:r>
        <w:rPr>
          <w:rFonts w:ascii="Arial" w:cs="Arial" w:eastAsia="Arial" w:hAnsi="Arial"/>
          <w:sz w:val="11"/>
          <w:szCs w:val="11"/>
          <w:color w:val="auto"/>
        </w:rPr>
        <w:t>TM</w:t>
      </w:r>
      <w:r>
        <w:rPr>
          <w:rFonts w:ascii="Arial" w:cs="Arial" w:eastAsia="Arial" w:hAnsi="Arial"/>
          <w:sz w:val="19"/>
          <w:szCs w:val="19"/>
          <w:color w:val="auto"/>
        </w:rPr>
        <w:t xml:space="preserve"> low dose weekly dermal patch with 150 mcg norelgestromin and 17.5 mcg ethinyl estradiol per day in women of childbearing potential; in this study, XULANE LO demonstrated a favorable efficacy and safety profile with no new safety concerns identified as well as a potential best-in-class patch performance profile; the Company plans to submit an NDA to the FDA in the second half of 2025; the Company is reaffirming its commitment to prioritizing returning capital to shareholders in 2025 as previously discussed; the Company expects $500 million to $650 million in total share repurchases in 2025 and expects to be opportunistic with cash available throughout the year; from a business development perspective, the Company expects to continue to pursue regional licensing and partnership opportunities with immediate revenue contribution that leverage its unique commercial and R&amp;D infrastructure and capabilities; U.S. GAAP net cash provided by operating</w:t>
      </w:r>
    </w:p>
    <w:p>
      <w:pPr>
        <w:spacing w:after="0" w:line="22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 xml:space="preserve">activities for 2025 is estimated to be between $2.2 billion and $2.5 billion, with a midpoint of approximately $2.35 billion; </w:t>
      </w:r>
      <w:r>
        <w:rPr>
          <w:rFonts w:ascii="Arial" w:cs="Arial" w:eastAsia="Arial" w:hAnsi="Arial"/>
          <w:sz w:val="21"/>
          <w:szCs w:val="21"/>
          <w:i w:val="1"/>
          <w:iCs w:val="1"/>
          <w:color w:val="auto"/>
        </w:rPr>
        <w:t>w</w:t>
      </w:r>
      <w:r>
        <w:rPr>
          <w:rFonts w:ascii="Arial" w:cs="Arial" w:eastAsia="Arial" w:hAnsi="Arial"/>
          <w:sz w:val="20"/>
          <w:szCs w:val="20"/>
          <w:color w:val="auto"/>
        </w:rPr>
        <w:t>hen compared to the prior year annual goodwill impairment test completed on April 1, 2024, the recent significantly increased uncertainty and volatility in the geopolitical and economic environments in which the Company operates has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outcome of clinical trials; the goals or outlooks with respect to the Company’s strategic initiatives and priorities, including but not limited to divestitures, acquisitions, strategic alliances, collaborations, or other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7" w:right="339" w:bottom="1440" w:gutter="0" w:footer="0" w:header="0"/>
        </w:sectPr>
      </w:pPr>
    </w:p>
    <w:bookmarkStart w:id="12" w:name="page13"/>
    <w:bookmarkEnd w:id="12"/>
    <w:p>
      <w:pPr>
        <w:spacing w:after="0" w:line="262" w:lineRule="auto"/>
        <w:rPr>
          <w:sz w:val="20"/>
          <w:szCs w:val="20"/>
          <w:color w:val="auto"/>
        </w:rPr>
      </w:pPr>
      <w:r>
        <w:rPr>
          <w:rFonts w:ascii="Arial" w:cs="Arial" w:eastAsia="Arial" w:hAnsi="Arial"/>
          <w:sz w:val="19"/>
          <w:szCs w:val="19"/>
          <w:color w:val="auto"/>
        </w:rPr>
        <w:t>potential transactions; 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the ongoing risks and uncertainties associated with our recent divestitures; goodwill or impairment charges or other losses; the Company’s failure to achieve expected or targeted future financial and operating performance and results; the potential impact of natural or man-made disasters, public health outbreaks, epidemics, pandemics or social disruption in regions where we or our partners or suppliers operate;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the Company’s liquidity, capital resources and ability to obtain financing; any regulatory, legal or other impediments to the Company’s ability to bring new products to market, including but not limited to “at-risk launches”; products in development that receive regulatory approval may not achieve expected levels of market acceptance, efficacy or safety; longer review, response and approval times as a result of evolving regulatory priorities and reductions in personnel at health agencies;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adverse regulatory action,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potential for adverse impacts from future tariffs and trade restrictions,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7" w:right="339" w:bottom="1440" w:gutter="0" w:footer="0" w:header="0"/>
        </w:sectPr>
      </w:pPr>
    </w:p>
    <w:bookmarkStart w:id="13" w:name="page14"/>
    <w:bookmarkEnd w:id="13"/>
    <w:p>
      <w:pPr>
        <w:spacing w:after="0" w:line="250" w:lineRule="auto"/>
        <w:rPr>
          <w:sz w:val="20"/>
          <w:szCs w:val="20"/>
          <w:color w:val="auto"/>
        </w:rPr>
      </w:pPr>
      <w:r>
        <w:rPr>
          <w:rFonts w:ascii="Arial" w:cs="Arial" w:eastAsia="Arial" w:hAnsi="Arial"/>
          <w:sz w:val="20"/>
          <w:szCs w:val="20"/>
          <w:color w:val="auto"/>
        </w:rPr>
        <w:t>For more detailed information on the risks and uncertainties associated with Viatris, see the risks described in Part I, Item 1A of the Company’s Annual Report on form 10-K for the year ended December 31, 2024, as amended, Part II, Item 1A of the Company’s Quarterly Report on Form 10-Q for the quarter ended March 31, 2025, which is expected to be filed with the SEC on May 8, 2025,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press release or our filings with the SEC. Viatris undertakes no obligation to update any statements herein for revisions or changes after the date of this press release other than as required by law.</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7030A0"/>
        </w:rPr>
        <w:t>Contacts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w:t>
      </w:r>
    </w:p>
    <w:p>
      <w:pPr>
        <w:spacing w:after="0" w:line="31" w:lineRule="exact"/>
        <w:rPr>
          <w:sz w:val="20"/>
          <w:szCs w:val="20"/>
          <w:color w:val="auto"/>
        </w:rPr>
      </w:pPr>
    </w:p>
    <w:p>
      <w:pPr>
        <w:ind w:left="280" w:hanging="254"/>
        <w:spacing w:after="0"/>
        <w:tabs>
          <w:tab w:leader="none" w:pos="2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1.724.514.1968</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Communications@viatris.com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Mauer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Jennifer.Mauer@viatris.com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 Klein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Matthew.Klein@viatris.com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Investors:</w:t>
      </w:r>
    </w:p>
    <w:p>
      <w:pPr>
        <w:spacing w:after="0" w:line="31" w:lineRule="exact"/>
        <w:rPr>
          <w:sz w:val="20"/>
          <w:szCs w:val="20"/>
          <w:color w:val="auto"/>
        </w:rPr>
      </w:pPr>
    </w:p>
    <w:p>
      <w:pPr>
        <w:ind w:left="280" w:hanging="254"/>
        <w:spacing w:after="0"/>
        <w:tabs>
          <w:tab w:leader="none" w:pos="2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1.724.514.1813</w:t>
      </w:r>
    </w:p>
    <w:p>
      <w:pPr>
        <w:spacing w:after="0" w:line="26" w:lineRule="exact"/>
        <w:rPr>
          <w:rFonts w:ascii="Arial" w:cs="Arial" w:eastAsia="Arial" w:hAnsi="Arial"/>
          <w:sz w:val="20"/>
          <w:szCs w:val="20"/>
          <w:color w:val="auto"/>
        </w:rPr>
      </w:pPr>
    </w:p>
    <w:p>
      <w:pPr>
        <w:ind w:left="20"/>
        <w:spacing w:after="0"/>
        <w:rPr>
          <w:rFonts w:ascii="Arial" w:cs="Arial" w:eastAsia="Arial" w:hAnsi="Arial"/>
          <w:sz w:val="20"/>
          <w:szCs w:val="20"/>
          <w:color w:val="auto"/>
        </w:rPr>
      </w:pPr>
      <w:r>
        <w:rPr>
          <w:rFonts w:ascii="Arial" w:cs="Arial" w:eastAsia="Arial" w:hAnsi="Arial"/>
          <w:sz w:val="20"/>
          <w:szCs w:val="20"/>
          <w:color w:val="auto"/>
        </w:rPr>
        <w:t>InvestorRelations@viatris.com</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Bill Szablewski</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887" w:right="37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3,243.2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3,653.5</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3,663.4</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2,093.1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2,159.4</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1,504.0</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1,017.5</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1,300.1</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(Loss) earnings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203.9</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(Loss) earnings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5"/>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earnings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(Loss) earnings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1,195.2</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60" w:top="890"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3,221.3</w:t>
            </w:r>
          </w:p>
        </w:tc>
        <w:tc>
          <w:tcPr>
            <w:tcW w:w="0" w:type="dxa"/>
            <w:vAlign w:val="bottom"/>
          </w:tcPr>
          <w:p>
            <w:pPr>
              <w:spacing w:after="0"/>
              <w:rPr>
                <w:sz w:val="1"/>
                <w:szCs w:val="1"/>
                <w:color w:val="auto"/>
              </w:rPr>
            </w:pPr>
          </w:p>
        </w:tc>
      </w:tr>
      <w:tr>
        <w:trPr>
          <w:trHeight w:val="215"/>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3,854.1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1,710.5</w:t>
            </w:r>
          </w:p>
        </w:tc>
        <w:tc>
          <w:tcPr>
            <w:tcW w:w="0" w:type="dxa"/>
            <w:vAlign w:val="bottom"/>
          </w:tcPr>
          <w:p>
            <w:pPr>
              <w:spacing w:after="0"/>
              <w:rPr>
                <w:sz w:val="1"/>
                <w:szCs w:val="1"/>
                <w:color w:val="auto"/>
              </w:rPr>
            </w:pP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9,520.7</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17,070.9</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9,133.3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5,776.0</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5,771.1</w:t>
            </w: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14,038.9</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3,047.1</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22,865.4</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18,635.5</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41,500.9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890"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2024</w:t>
            </w:r>
          </w:p>
        </w:tc>
      </w:tr>
      <w:tr>
        <w:trPr>
          <w:trHeight w:val="19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Global Products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Lipitor ®</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388.0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388.9</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Norvasc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Lyrica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Viagra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EpiPen® Auto-Injectors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Creon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Celebrex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Effexor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Xalabrands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Select Key Segment Products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Yupelri ®</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Amitiza ®</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months ended March 31, 2025,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3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Reconciliation of U.S. GAAP Net (Loss) Earnings to Adjusted Net Earnings and U.S. GAAP (Loss) Earnings Per Share to Adjusted EPS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Below is a reconciliation of U.S. GAAP net (loss) earnings and diluted (loss) earnings per share to adjusted net earnings and adjusted EPS for the three months ended March 31,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197"/>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 and U.S. GAAP diluted (loss) earnings per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Purchase accounting amortization (primarily included in cost of sales)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75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Impairment of goodwill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Loss (gain) on divestitures of businesses (included in other expense (income), net)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Acquisition and divestiture-related costs (primarily included in SG&amp;A) </w:t>
            </w:r>
            <w:r>
              <w:rPr>
                <w:rFonts w:ascii="Arial" w:cs="Arial" w:eastAsia="Arial" w:hAnsi="Arial"/>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5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(d)</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Other special items included in:</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752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7520" w:type="dxa"/>
            <w:vAlign w:val="bottom"/>
          </w:tcPr>
          <w:p>
            <w:pPr>
              <w:ind w:left="220"/>
              <w:spacing w:after="0"/>
              <w:rPr>
                <w:sz w:val="20"/>
                <w:szCs w:val="20"/>
                <w:color w:val="auto"/>
              </w:rPr>
            </w:pPr>
            <w:r>
              <w:rPr>
                <w:rFonts w:ascii="Arial" w:cs="Arial" w:eastAsia="Arial" w:hAnsi="Arial"/>
                <w:sz w:val="16"/>
                <w:szCs w:val="16"/>
                <w:color w:val="auto"/>
              </w:rPr>
              <w:t>Research and development expense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52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Other expense (income), net </w:t>
            </w:r>
            <w:r>
              <w:rPr>
                <w:rFonts w:ascii="Arial" w:cs="Arial" w:eastAsia="Arial" w:hAnsi="Arial"/>
                <w:sz w:val="21"/>
                <w:szCs w:val="21"/>
                <w:color w:val="auto"/>
                <w:vertAlign w:val="superscript"/>
              </w:rPr>
              <w:t>(f)</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(g)</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Adjusted net earnings and adjusted EPS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0.50</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0.67</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Significant items include the following:</w:t>
      </w:r>
    </w:p>
    <w:p>
      <w:pPr>
        <w:spacing w:after="0" w:line="73" w:lineRule="exact"/>
        <w:rPr>
          <w:sz w:val="20"/>
          <w:szCs w:val="20"/>
          <w:color w:val="auto"/>
        </w:rPr>
      </w:pPr>
    </w:p>
    <w:p>
      <w:pPr>
        <w:ind w:left="660" w:hanging="328"/>
        <w:spacing w:after="0" w:line="227"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includes a goodwill impairment charge of $2.9 billion as a result of the interim goodwill impairment test performed as of March 31, 2025.</w:t>
      </w:r>
    </w:p>
    <w:p>
      <w:pPr>
        <w:spacing w:after="0" w:line="29" w:lineRule="exact"/>
        <w:rPr>
          <w:rFonts w:ascii="Arial" w:cs="Arial" w:eastAsia="Arial" w:hAnsi="Arial"/>
          <w:sz w:val="21"/>
          <w:szCs w:val="21"/>
          <w:color w:val="auto"/>
          <w:vertAlign w:val="superscript"/>
        </w:rPr>
      </w:pPr>
    </w:p>
    <w:p>
      <w:pPr>
        <w:jc w:val="both"/>
        <w:ind w:left="660" w:hanging="328"/>
        <w:spacing w:after="0" w:line="238"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Acquisition and divestiture-related costs consist primarily of transaction costs including legal and consulting fees, and integration activities.</w:t>
      </w:r>
    </w:p>
    <w:p>
      <w:pPr>
        <w:spacing w:after="0" w:line="44" w:lineRule="exact"/>
        <w:rPr>
          <w:rFonts w:ascii="Arial" w:cs="Arial" w:eastAsia="Arial" w:hAnsi="Arial"/>
          <w:sz w:val="21"/>
          <w:szCs w:val="21"/>
          <w:color w:val="auto"/>
          <w:vertAlign w:val="superscript"/>
        </w:rPr>
      </w:pPr>
    </w:p>
    <w:p>
      <w:pPr>
        <w:ind w:left="660" w:hanging="328"/>
        <w:spacing w:after="0" w:line="218"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charges include approximately $19.8 million in cost of sales, approximately $0.8 million in R&amp;D, and approximately $72.3 million in SG&amp;A.</w:t>
      </w:r>
    </w:p>
    <w:p>
      <w:pPr>
        <w:spacing w:after="0" w:line="43" w:lineRule="exact"/>
        <w:rPr>
          <w:rFonts w:ascii="Arial" w:cs="Arial" w:eastAsia="Arial" w:hAnsi="Arial"/>
          <w:sz w:val="21"/>
          <w:szCs w:val="21"/>
          <w:color w:val="auto"/>
          <w:vertAlign w:val="superscript"/>
        </w:rPr>
      </w:pPr>
    </w:p>
    <w:p>
      <w:pPr>
        <w:ind w:left="660" w:right="20" w:hanging="328"/>
        <w:spacing w:after="0" w:line="227"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charges include incremental manufacturing variances at plants slated for sale or closure or undergoing remediation activities of approximately $31.7 million.</w:t>
      </w:r>
    </w:p>
    <w:p>
      <w:pPr>
        <w:spacing w:after="0" w:line="43" w:lineRule="exact"/>
        <w:rPr>
          <w:rFonts w:ascii="Arial" w:cs="Arial" w:eastAsia="Arial" w:hAnsi="Arial"/>
          <w:sz w:val="21"/>
          <w:szCs w:val="21"/>
          <w:color w:val="auto"/>
          <w:vertAlign w:val="superscript"/>
        </w:rPr>
      </w:pPr>
    </w:p>
    <w:p>
      <w:pPr>
        <w:ind w:left="660" w:hanging="328"/>
        <w:spacing w:after="0" w:line="227" w:lineRule="auto"/>
        <w:tabs>
          <w:tab w:leader="none" w:pos="651"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includes a loss of approximately $115.8 million as a result of remeasuring the compulsory convertible preferred shares (CCPS) in Biocon Biologics to fair value.</w:t>
      </w:r>
    </w:p>
    <w:p>
      <w:pPr>
        <w:spacing w:after="0" w:line="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Reconciliation of U.S. GAAP Net (Loss) Earnings to EBITDA and Adjusted EBITDA</w:t>
      </w:r>
    </w:p>
    <w:p>
      <w:pPr>
        <w:spacing w:after="0" w:line="30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Below is a reconciliation of U.S. GAAP net (loss) earnings to EBITDA and adjusted EBITDA for the three months ended March 31, 2025,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7"/>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2024</w:t>
            </w:r>
          </w:p>
        </w:tc>
      </w:tr>
      <w:tr>
        <w:trPr>
          <w:trHeight w:val="210"/>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 earnings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(benefit)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16"/>
        </w:trPr>
        <w:tc>
          <w:tcPr>
            <w:tcW w:w="870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138.4</w:t>
            </w:r>
          </w:p>
        </w:tc>
      </w:tr>
      <w:tr>
        <w:trPr>
          <w:trHeight w:val="216"/>
        </w:trPr>
        <w:tc>
          <w:tcPr>
            <w:tcW w:w="870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691.0</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(2,316.8)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1,034.0</w:t>
            </w:r>
          </w:p>
        </w:tc>
      </w:tr>
      <w:tr>
        <w:trPr>
          <w:trHeight w:val="217"/>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70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215"/>
        </w:trPr>
        <w:tc>
          <w:tcPr>
            <w:tcW w:w="8700" w:type="dxa"/>
            <w:vAlign w:val="bottom"/>
          </w:tcPr>
          <w:p>
            <w:pPr>
              <w:ind w:left="220"/>
              <w:spacing w:after="0"/>
              <w:rPr>
                <w:sz w:val="20"/>
                <w:szCs w:val="20"/>
                <w:color w:val="auto"/>
              </w:rPr>
            </w:pPr>
            <w:r>
              <w:rPr>
                <w:rFonts w:ascii="Arial" w:cs="Arial" w:eastAsia="Arial" w:hAnsi="Arial"/>
                <w:sz w:val="16"/>
                <w:szCs w:val="16"/>
                <w:color w:val="auto"/>
              </w:rPr>
              <w:t>Loss (gain) on divestitures of businesses</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70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r>
      <w:tr>
        <w:trPr>
          <w:trHeight w:val="23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923.5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(Loss) Earnings to Adjusted Net Earnings.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Constant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Constant</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2024 Adjusted</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4"/>
        </w:trPr>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4"/>
                <w:szCs w:val="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4"/>
                <w:szCs w:val="4"/>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Ex Divestitures</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 xml:space="preserve">Impact </w:t>
            </w:r>
            <w:r>
              <w:rPr>
                <w:rFonts w:ascii="Arial" w:cs="Arial" w:eastAsia="Arial" w:hAnsi="Arial"/>
                <w:sz w:val="15"/>
                <w:szCs w:val="15"/>
                <w:b w:val="1"/>
                <w:bCs w:val="1"/>
                <w:color w:val="auto"/>
                <w:vertAlign w:val="superscript"/>
              </w:rPr>
              <w:t>(1)</w:t>
            </w:r>
          </w:p>
        </w:tc>
        <w:tc>
          <w:tcPr>
            <w:tcW w:w="100" w:type="dxa"/>
            <w:vAlign w:val="bottom"/>
          </w:tcPr>
          <w:p>
            <w:pPr>
              <w:spacing w:after="0"/>
              <w:rPr>
                <w:sz w:val="11"/>
                <w:szCs w:val="11"/>
                <w:color w:val="auto"/>
              </w:rPr>
            </w:pPr>
          </w:p>
        </w:tc>
        <w:tc>
          <w:tcPr>
            <w:tcW w:w="80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1"/>
                <w:szCs w:val="11"/>
                <w:color w:val="auto"/>
              </w:rPr>
            </w:pP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(2)</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Divestitures </w:t>
            </w:r>
            <w:r>
              <w:rPr>
                <w:rFonts w:ascii="Arial" w:cs="Arial" w:eastAsia="Arial" w:hAnsi="Arial"/>
                <w:sz w:val="15"/>
                <w:szCs w:val="15"/>
                <w:b w:val="1"/>
                <w:bCs w:val="1"/>
                <w:color w:val="auto"/>
                <w:vertAlign w:val="superscript"/>
              </w:rPr>
              <w:t>(3)</w:t>
            </w:r>
          </w:p>
        </w:tc>
        <w:tc>
          <w:tcPr>
            <w:tcW w:w="280" w:type="dxa"/>
            <w:vAlign w:val="bottom"/>
          </w:tcPr>
          <w:p>
            <w:pPr>
              <w:spacing w:after="0"/>
              <w:rPr>
                <w:sz w:val="11"/>
                <w:szCs w:val="11"/>
                <w:color w:val="auto"/>
              </w:rPr>
            </w:pPr>
          </w:p>
        </w:tc>
        <w:tc>
          <w:tcPr>
            <w:tcW w:w="800" w:type="dxa"/>
            <w:vAlign w:val="bottom"/>
          </w:tcPr>
          <w:p>
            <w:pPr>
              <w:jc w:val="right"/>
              <w:ind w:right="411"/>
              <w:spacing w:after="0"/>
              <w:rPr>
                <w:sz w:val="20"/>
                <w:szCs w:val="20"/>
                <w:color w:val="auto"/>
              </w:rPr>
            </w:pPr>
            <w:r>
              <w:rPr>
                <w:rFonts w:ascii="Arial" w:cs="Arial" w:eastAsia="Arial" w:hAnsi="Arial"/>
                <w:sz w:val="9"/>
                <w:szCs w:val="9"/>
                <w:b w:val="1"/>
                <w:bCs w:val="1"/>
                <w:color w:val="auto"/>
              </w:rPr>
              <w:t>(4)</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83"/>
        </w:trPr>
        <w:tc>
          <w:tcPr>
            <w:tcW w:w="18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1,891.7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2,165.4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1,924.9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1,985.7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8"/>
        </w:trPr>
        <w:tc>
          <w:tcPr>
            <w:tcW w:w="1860" w:type="dxa"/>
            <w:vAlign w:val="bottom"/>
          </w:tcPr>
          <w:p>
            <w:pPr>
              <w:ind w:left="220"/>
              <w:spacing w:after="0"/>
              <w:rPr>
                <w:sz w:val="20"/>
                <w:szCs w:val="20"/>
                <w:color w:val="auto"/>
              </w:rPr>
            </w:pPr>
            <w:r>
              <w:rPr>
                <w:rFonts w:ascii="Arial" w:cs="Arial" w:eastAsia="Arial" w:hAnsi="Arial"/>
                <w:sz w:val="14"/>
                <w:szCs w:val="14"/>
                <w:color w:val="auto"/>
              </w:rPr>
              <w:t>JANZ</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1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2"/>
        </w:trPr>
        <w:tc>
          <w:tcPr>
            <w:tcW w:w="186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3,243.2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3,653.5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3,328.3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3,416.1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12"/>
        </w:trPr>
        <w:tc>
          <w:tcPr>
            <w:tcW w:w="1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9"/>
                <w:szCs w:val="9"/>
                <w:color w:val="auto"/>
              </w:rPr>
              <w:t>(6)</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gridSpan w:val="2"/>
          </w:tcPr>
          <w:p>
            <w:pPr>
              <w:ind w:left="740"/>
              <w:spacing w:after="0"/>
              <w:rPr>
                <w:sz w:val="20"/>
                <w:szCs w:val="20"/>
                <w:color w:val="auto"/>
              </w:rPr>
            </w:pPr>
            <w:r>
              <w:rPr>
                <w:rFonts w:ascii="Arial" w:cs="Arial" w:eastAsia="Arial" w:hAnsi="Arial"/>
                <w:sz w:val="14"/>
                <w:szCs w:val="14"/>
                <w:color w:val="auto"/>
              </w:rPr>
              <w:t>NM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34"/>
        </w:trPr>
        <w:tc>
          <w:tcPr>
            <w:tcW w:w="186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Consolidated total</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3,254.3</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3,663.4</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3,339.5</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239.2</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3,424.2</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4"/>
        </w:trPr>
        <w:tc>
          <w:tcPr>
            <w:tcW w:w="186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27" w:lineRule="auto"/>
        <w:tabs>
          <w:tab w:leader="none" w:pos="636"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spacing w:after="0" w:line="15"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Represents proportionate net sales relating to divestitures that closed during 2024 in the relevant period.</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closed during 2024 for the relevant period.</w:t>
      </w:r>
    </w:p>
    <w:p>
      <w:pPr>
        <w:spacing w:after="0" w:line="44" w:lineRule="exact"/>
        <w:rPr>
          <w:rFonts w:ascii="Arial" w:cs="Arial" w:eastAsia="Arial" w:hAnsi="Arial"/>
          <w:sz w:val="21"/>
          <w:szCs w:val="21"/>
          <w:color w:val="auto"/>
          <w:vertAlign w:val="superscript"/>
        </w:rPr>
      </w:pPr>
    </w:p>
    <w:p>
      <w:pPr>
        <w:ind w:left="640" w:hanging="308"/>
        <w:spacing w:after="0" w:line="197" w:lineRule="auto"/>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58" w:lineRule="exact"/>
        <w:rPr>
          <w:rFonts w:ascii="Arial" w:cs="Arial" w:eastAsia="Arial" w:hAnsi="Arial"/>
          <w:sz w:val="21"/>
          <w:szCs w:val="21"/>
          <w:color w:val="auto"/>
          <w:vertAlign w:val="superscript"/>
        </w:rPr>
      </w:pPr>
    </w:p>
    <w:p>
      <w:pPr>
        <w:ind w:left="660" w:right="20" w:hanging="328"/>
        <w:spacing w:after="0" w:line="218" w:lineRule="auto"/>
        <w:tabs>
          <w:tab w:leader="none" w:pos="65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2025, other revenues in Developed Markets, JANZ, and Emerging Markets were approximately $6.9 million, $1.0 million, and $3.2 million, respectively.</w:t>
      </w:r>
    </w:p>
    <w:p>
      <w:pPr>
        <w:spacing w:after="0" w:line="16"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892" w:right="339" w:bottom="1440" w:gutter="0" w:footer="0" w:header="0"/>
          <w:type w:val="continuous"/>
        </w:sectPr>
      </w:pPr>
    </w:p>
    <w:bookmarkStart w:id="19" w:name="page20"/>
    <w:bookmarkEnd w:id="19"/>
    <w:p>
      <w:pPr>
        <w:ind w:left="3640"/>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5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85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2,093.1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2,159.4</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(611.5)</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7"/>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00"/>
        </w:trPr>
        <w:tc>
          <w:tcPr>
            <w:tcW w:w="852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1,434.7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1,508.6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1,819.6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2,154.8</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wp:posOffset>
            </wp:positionV>
            <wp:extent cx="711517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4"/>
          <w:szCs w:val="14"/>
          <w:color w:val="auto"/>
        </w:rPr>
        <w:t>Other special items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31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r>
      <w:tr>
        <w:trPr>
          <w:trHeight w:val="189"/>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222.0</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199.7</w:t>
            </w:r>
          </w:p>
        </w:tc>
      </w:tr>
      <w:tr>
        <w:trPr>
          <w:trHeight w:val="405"/>
        </w:trPr>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(4.6)</w:t>
            </w:r>
          </w:p>
        </w:tc>
      </w:tr>
      <w:tr>
        <w:trPr>
          <w:trHeight w:val="203"/>
        </w:trPr>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203"/>
        </w:trPr>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07"/>
        </w:trPr>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r>
      <w:tr>
        <w:trPr>
          <w:trHeight w:val="196"/>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217.5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189.1</w:t>
            </w:r>
          </w:p>
        </w:tc>
      </w:tr>
      <w:tr>
        <w:trPr>
          <w:trHeight w:val="25"/>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81"/>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25"/>
        </w:trPr>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35" w:lineRule="exact"/>
        <w:rPr>
          <w:sz w:val="20"/>
          <w:szCs w:val="20"/>
          <w:color w:val="auto"/>
        </w:rPr>
      </w:pPr>
    </w:p>
    <w:p>
      <w:pPr>
        <w:sectPr>
          <w:pgSz w:w="11900" w:h="16838" w:orient="portrait"/>
          <w:cols w:equalWidth="0" w:num="2">
            <w:col w:w="7780" w:space="720"/>
            <w:col w:w="2740"/>
          </w:cols>
          <w:pgMar w:left="320" w:top="1187" w:right="33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8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77"/>
        </w:trPr>
        <w:tc>
          <w:tcPr>
            <w:tcW w:w="84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948.1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color w:val="auto"/>
              </w:rPr>
              <w:t>Deduct: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778.7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859.6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7" w:right="339" w:bottom="1440" w:gutter="0" w:footer="0" w:header="0"/>
          <w:type w:val="continuous"/>
        </w:sectPr>
      </w:pPr>
    </w:p>
    <w:bookmarkStart w:id="20" w:name="page21"/>
    <w:bookmarkEnd w:id="20"/>
    <w:tbl>
      <w:tblPr>
        <w:tblLayout w:type="fixed"/>
        <w:tblInd w:w="2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7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9"/>
        </w:trPr>
        <w:tc>
          <w:tcPr>
            <w:tcW w:w="87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1,300.1</w:t>
            </w:r>
          </w:p>
        </w:tc>
        <w:tc>
          <w:tcPr>
            <w:tcW w:w="0" w:type="dxa"/>
            <w:vAlign w:val="bottom"/>
          </w:tcPr>
          <w:p>
            <w:pPr>
              <w:spacing w:after="0"/>
              <w:rPr>
                <w:sz w:val="1"/>
                <w:szCs w:val="1"/>
                <w:color w:val="auto"/>
              </w:rPr>
            </w:pPr>
          </w:p>
        </w:tc>
      </w:tr>
      <w:tr>
        <w:trPr>
          <w:trHeight w:val="198"/>
        </w:trPr>
        <w:tc>
          <w:tcPr>
            <w:tcW w:w="870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7"/>
        </w:trPr>
        <w:tc>
          <w:tcPr>
            <w:tcW w:w="8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98"/>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Impairment of goodwill adjustments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(2,936.8)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7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premiums and discounts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interest expense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other expense (income), net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138.4</w:t>
            </w:r>
          </w:p>
        </w:tc>
      </w:tr>
      <w:tr>
        <w:trPr>
          <w:trHeight w:val="405"/>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25"/>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9"/>
        </w:trPr>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(139.1)</w:t>
            </w:r>
          </w:p>
        </w:tc>
      </w:tr>
    </w:tbl>
    <w:p>
      <w:pPr>
        <w:spacing w:after="0" w:line="215" w:lineRule="exact"/>
        <w:rPr>
          <w:sz w:val="20"/>
          <w:szCs w:val="20"/>
          <w:color w:val="auto"/>
        </w:rPr>
      </w:pPr>
    </w:p>
    <w:p>
      <w:pPr>
        <w:sectPr>
          <w:pgSz w:w="11900" w:h="16838" w:orient="portrait"/>
          <w:cols w:equalWidth="0" w:num="2">
            <w:col w:w="8000" w:space="720"/>
            <w:col w:w="2520"/>
          </w:cols>
          <w:pgMar w:left="320" w:top="940" w:right="339" w:bottom="1440" w:gutter="0" w:footer="0" w:header="0"/>
          <w:type w:val="continuous"/>
        </w:sectPr>
      </w:pPr>
    </w:p>
    <w:p>
      <w:pPr>
        <w:ind w:left="24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(Loss) gain on divestitures of businesses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203"/>
        </w:trPr>
        <w:tc>
          <w:tcPr>
            <w:tcW w:w="4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07"/>
        </w:trPr>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5"/>
        </w:trPr>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23495</wp:posOffset>
            </wp:positionV>
            <wp:extent cx="1731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p>
      <w:pPr>
        <w:ind w:left="280"/>
        <w:spacing w:after="0"/>
        <w:tabs>
          <w:tab w:leader="none" w:pos="16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35" w:lineRule="exact"/>
        <w:rPr>
          <w:sz w:val="20"/>
          <w:szCs w:val="20"/>
          <w:color w:val="auto"/>
        </w:rPr>
      </w:pPr>
    </w:p>
    <w:p>
      <w:pPr>
        <w:sectPr>
          <w:pgSz w:w="11900" w:h="16838" w:orient="portrait"/>
          <w:cols w:equalWidth="0" w:num="2">
            <w:col w:w="8000" w:space="720"/>
            <w:col w:w="252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earnings before income taxes</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(3,097.0)</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3,824.7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762.9</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727.7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(benefit) provision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182.3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127.3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6"/>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68" w:lineRule="exact"/>
        <w:rPr>
          <w:rFonts w:ascii="Arial" w:cs="Arial" w:eastAsia="Arial" w:hAnsi="Arial"/>
          <w:sz w:val="9"/>
          <w:szCs w:val="9"/>
          <w:color w:val="auto"/>
        </w:rPr>
      </w:pPr>
    </w:p>
    <w:p>
      <w:pPr>
        <w:ind w:left="660" w:right="20" w:hanging="328"/>
        <w:spacing w:after="0" w:line="231" w:lineRule="auto"/>
        <w:tabs>
          <w:tab w:leader="none" w:pos="64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94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May 8,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Excludes the impact of any divestiture-related taxes and transaction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2025 U.S. GAAP Net Cash Provided by Operating Activities to Free Cash Flow as of February 27, 2025</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2025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$2,500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$(400)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$2,200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57"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Excluded the impact of any divestiture-related taxes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2025-05-08T06:58:17Z</dcterms:created>
  <dcterms:modified xsi:type="dcterms:W3CDTF">2025-05-08T06:58:17Z</dcterms:modified>
</cp:coreProperties>
</file>