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February 27, 2023</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983"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sectPr>
          <w:pgSz w:w="11900" w:h="16838" w:orient="portrait"/>
          <w:cols w:equalWidth="0" w:num="3">
            <w:col w:w="4500" w:space="720"/>
            <w:col w:w="2980" w:space="720"/>
            <w:col w:w="2320"/>
          </w:cols>
          <w:pgMar w:left="320" w:top="983"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983"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33" w:lineRule="exact"/>
        <w:rPr>
          <w:sz w:val="24"/>
          <w:szCs w:val="24"/>
          <w:color w:val="auto"/>
        </w:rPr>
      </w:pPr>
    </w:p>
    <w:p>
      <w:pPr>
        <w:ind w:right="100" w:firstLine="324"/>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44" w:lineRule="exact"/>
        <w:rPr>
          <w:sz w:val="24"/>
          <w:szCs w:val="24"/>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119"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105"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 (b))</w:t>
      </w:r>
    </w:p>
    <w:p>
      <w:pPr>
        <w:spacing w:after="0" w:line="119" w:lineRule="exact"/>
        <w:rPr>
          <w:rFonts w:ascii="MS PGothic" w:cs="MS PGothic" w:eastAsia="MS PGothic" w:hAnsi="MS PGothic"/>
          <w:sz w:val="19"/>
          <w:szCs w:val="19"/>
          <w:color w:val="auto"/>
        </w:rPr>
      </w:pPr>
    </w:p>
    <w:p>
      <w:pPr>
        <w:ind w:right="2060" w:firstLine="332"/>
        <w:spacing w:after="0" w:line="369" w:lineRule="auto"/>
        <w:tabs>
          <w:tab w:leader="none" w:pos="688"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 (c)) Securities registered pursuant to Section 12(b) of the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0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54" w:lineRule="exact"/>
        <w:rPr>
          <w:sz w:val="24"/>
          <w:szCs w:val="24"/>
          <w:color w:val="auto"/>
        </w:rPr>
      </w:pPr>
    </w:p>
    <w:p>
      <w:pPr>
        <w:ind w:right="180" w:firstLine="324"/>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340"/>
        <w:spacing w:after="0" w:line="219" w:lineRule="exact"/>
        <w:tabs>
          <w:tab w:leader="none" w:pos="2560" w:val="left"/>
        </w:tabs>
        <w:rPr>
          <w:sz w:val="20"/>
          <w:szCs w:val="20"/>
          <w:color w:val="auto"/>
        </w:rPr>
      </w:pPr>
      <w:r>
        <w:rPr>
          <w:rFonts w:ascii="Times New Roman" w:cs="Times New Roman" w:eastAsia="Times New Roman" w:hAnsi="Times New Roman"/>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23" w:lineRule="exact"/>
        <w:rPr>
          <w:sz w:val="24"/>
          <w:szCs w:val="24"/>
          <w:color w:val="auto"/>
        </w:rPr>
      </w:pPr>
    </w:p>
    <w:p>
      <w:pPr>
        <w:ind w:left="340" w:right="340"/>
        <w:spacing w:after="0" w:line="254"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27, 2023, Viatris Inc. (“Viatris” or the “Company”) issued a press release reporting the Company's financial results for the period ended December 31, 2022 and announcing 2023 guidance. A copy of the press release is attached hereto as Exhibit 99.1 and is incorporated herein by reference.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fourth quarter and full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95"/>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3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w w:val="99"/>
              </w:rPr>
              <w:t>Press release announcing the Company’s financial results for the fourth quarter and year ended December 31, 2022, and 2023</w:t>
            </w:r>
          </w:p>
        </w:tc>
      </w:tr>
      <w:tr>
        <w:trPr>
          <w:trHeight w:val="214"/>
        </w:trPr>
        <w:tc>
          <w:tcPr>
            <w:tcW w:w="320" w:type="dxa"/>
            <w:vAlign w:val="bottom"/>
            <w:tcBorders>
              <w:top w:val="single" w:sz="8" w:color="0000FF"/>
            </w:tcBorders>
          </w:tcPr>
          <w:p>
            <w:pPr>
              <w:spacing w:after="0"/>
              <w:rPr>
                <w:sz w:val="18"/>
                <w:szCs w:val="18"/>
                <w:color w:val="auto"/>
              </w:rPr>
            </w:pPr>
          </w:p>
        </w:tc>
        <w:tc>
          <w:tcPr>
            <w:tcW w:w="86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guidance dated February 27, 2023.</w:t>
            </w:r>
          </w:p>
        </w:tc>
      </w:tr>
    </w:tbl>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30" w:right="10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February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Sanjeev Narula</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Viatris Reports Strong Fourth Quarter and Full Year 2022 Financial Results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Provides 2023 Financial Guidance</w:t>
      </w:r>
    </w:p>
    <w:p>
      <w:pPr>
        <w:spacing w:after="0" w:line="211" w:lineRule="exact"/>
        <w:rPr>
          <w:sz w:val="20"/>
          <w:szCs w:val="20"/>
          <w:color w:val="auto"/>
        </w:rPr>
      </w:pPr>
    </w:p>
    <w:p>
      <w:pPr>
        <w:ind w:left="660" w:right="40" w:hanging="328"/>
        <w:spacing w:after="0" w:line="271"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Company Meets its 2022 Adjusted Guidance After Incorporating the Fourth Quarter Impact of the Biosimilars Transaction and Acquired IPR&amp;D</w:t>
      </w:r>
    </w:p>
    <w:p>
      <w:pPr>
        <w:spacing w:after="0" w:line="142"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2023 Guidance Midpoint Reflects Revenue Growth Over 2022, Excluding Full-Year Impact of Biosimilars</w:t>
      </w:r>
    </w:p>
    <w:p>
      <w:pPr>
        <w:spacing w:after="0" w:line="229"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Reaffirms 2024 Phase 2 Outlook from November 7 Strategic Update</w:t>
      </w:r>
    </w:p>
    <w:p>
      <w:pPr>
        <w:spacing w:after="0" w:line="229"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Company Increases Return of Capital to Shareholders by Completing $250 Million in Share Repurchases</w:t>
      </w:r>
    </w:p>
    <w:p>
      <w:pPr>
        <w:spacing w:after="0" w:line="215" w:lineRule="exact"/>
        <w:rPr>
          <w:rFonts w:ascii="Arial" w:cs="Arial" w:eastAsia="Arial" w:hAnsi="Arial"/>
          <w:sz w:val="20"/>
          <w:szCs w:val="20"/>
          <w:i w:val="1"/>
          <w:iCs w:val="1"/>
          <w:color w:val="auto"/>
        </w:rPr>
      </w:pPr>
    </w:p>
    <w:p>
      <w:pPr>
        <w:ind w:left="660" w:right="400" w:hanging="328"/>
        <w:spacing w:after="0" w:line="286"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Board of Directors Approves 2023 Dividend Policy of Forty-Eight Cents ($0.48) per Share and Declares First Quarter Dividend of Twelve Cents ($0.12) per Share</w:t>
      </w:r>
    </w:p>
    <w:p>
      <w:pPr>
        <w:spacing w:after="0" w:line="140"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Paid Down Debt of Approximately $3.3 Billion in 2022, Retiring $5.4 Billion of Debt Since 2021</w:t>
      </w:r>
    </w:p>
    <w:p>
      <w:pPr>
        <w:spacing w:after="0" w:line="229"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Remains on Track to Execute Planned Divestitures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color w:val="auto"/>
        </w:rPr>
        <w:t xml:space="preserve">PITTSBURGH – February 27, 2023 </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Viatris Inc. (NASDAQ: VTRS) today reported strong results for the fourth quarter and full year 2022,</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its adjusted guidance range for 2022 after incorporating the fourth quarter impact of the closing of the transaction pursuant to which the Company contributed its biosimilars portfolio to Biocon Biologics (the "Biosimilars Transaction") and acquired IPR&amp;D.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Financial Impact of Completion of the Biosimilars Transaction and Acquired IPR&amp;D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2022 financial guidance metrics were impacted by the Biosimilars Transaction and acquired IPR&amp;D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2022 Guidance</w:t>
            </w:r>
          </w:p>
        </w:tc>
        <w:tc>
          <w:tcPr>
            <w:tcW w:w="19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Biosimilars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Adjusted 2022</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80" w:type="dxa"/>
            <w:vAlign w:val="bottom"/>
            <w:gridSpan w:val="3"/>
          </w:tcPr>
          <w:p>
            <w:pPr>
              <w:jc w:val="center"/>
              <w:ind w:right="100"/>
              <w:spacing w:after="0" w:line="161" w:lineRule="exact"/>
              <w:rPr>
                <w:sz w:val="20"/>
                <w:szCs w:val="20"/>
                <w:color w:val="auto"/>
              </w:rPr>
            </w:pPr>
            <w:r>
              <w:rPr>
                <w:rFonts w:ascii="Arial" w:cs="Arial" w:eastAsia="Arial" w:hAnsi="Arial"/>
                <w:sz w:val="14"/>
                <w:szCs w:val="14"/>
                <w:b w:val="1"/>
                <w:bCs w:val="1"/>
                <w:color w:val="auto"/>
              </w:rPr>
              <w:t>Ranges</w:t>
            </w:r>
            <w:r>
              <w:rPr>
                <w:rFonts w:ascii="Arial" w:cs="Arial" w:eastAsia="Arial" w:hAnsi="Arial"/>
                <w:sz w:val="18"/>
                <w:szCs w:val="18"/>
                <w:b w:val="1"/>
                <w:bCs w:val="1"/>
                <w:color w:val="auto"/>
                <w:vertAlign w:val="superscript"/>
              </w:rPr>
              <w:t>(1)</w:t>
            </w:r>
          </w:p>
        </w:tc>
        <w:tc>
          <w:tcPr>
            <w:tcW w:w="1900" w:type="dxa"/>
            <w:vAlign w:val="bottom"/>
            <w:gridSpan w:val="2"/>
            <w:vMerge w:val="continue"/>
          </w:tcPr>
          <w:p>
            <w:pPr>
              <w:spacing w:after="0"/>
              <w:rPr>
                <w:sz w:val="14"/>
                <w:szCs w:val="14"/>
                <w:color w:val="auto"/>
              </w:rPr>
            </w:pPr>
          </w:p>
        </w:tc>
        <w:tc>
          <w:tcPr>
            <w:tcW w:w="190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Acquired IPR&amp;D</w:t>
            </w:r>
          </w:p>
        </w:tc>
        <w:tc>
          <w:tcPr>
            <w:tcW w:w="1880" w:type="dxa"/>
            <w:vAlign w:val="bottom"/>
            <w:gridSpan w:val="3"/>
            <w:vMerge w:val="continue"/>
          </w:tcPr>
          <w:p>
            <w:pPr>
              <w:spacing w:after="0"/>
              <w:rPr>
                <w:sz w:val="14"/>
                <w:szCs w:val="14"/>
                <w:color w:val="auto"/>
              </w:rPr>
            </w:pPr>
          </w:p>
        </w:tc>
        <w:tc>
          <w:tcPr>
            <w:tcW w:w="180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2022 Results</w:t>
            </w:r>
          </w:p>
        </w:tc>
        <w:tc>
          <w:tcPr>
            <w:tcW w:w="0" w:type="dxa"/>
            <w:vAlign w:val="bottom"/>
          </w:tcPr>
          <w:p>
            <w:pPr>
              <w:spacing w:after="0"/>
              <w:rPr>
                <w:sz w:val="1"/>
                <w:szCs w:val="1"/>
                <w:color w:val="auto"/>
              </w:rPr>
            </w:pPr>
          </w:p>
        </w:tc>
      </w:tr>
      <w:tr>
        <w:trPr>
          <w:trHeight w:val="203"/>
        </w:trPr>
        <w:tc>
          <w:tcPr>
            <w:tcW w:w="1880" w:type="dxa"/>
            <w:vAlign w:val="bottom"/>
            <w:gridSpan w:val="2"/>
            <w:vMerge w:val="continue"/>
          </w:tcPr>
          <w:p>
            <w:pPr>
              <w:spacing w:after="0"/>
              <w:rPr>
                <w:sz w:val="17"/>
                <w:szCs w:val="17"/>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(November 7, 2022)</w:t>
            </w:r>
          </w:p>
        </w:tc>
        <w:tc>
          <w:tcPr>
            <w:tcW w:w="1900" w:type="dxa"/>
            <w:vAlign w:val="bottom"/>
            <w:gridSpan w:val="2"/>
          </w:tcPr>
          <w:p>
            <w:pPr>
              <w:ind w:left="460"/>
              <w:spacing w:after="0"/>
              <w:rPr>
                <w:sz w:val="20"/>
                <w:szCs w:val="20"/>
                <w:color w:val="auto"/>
              </w:rPr>
            </w:pPr>
            <w:r>
              <w:rPr>
                <w:rFonts w:ascii="Arial" w:cs="Arial" w:eastAsia="Arial" w:hAnsi="Arial"/>
                <w:sz w:val="16"/>
                <w:szCs w:val="16"/>
                <w:b w:val="1"/>
                <w:bCs w:val="1"/>
                <w:color w:val="auto"/>
              </w:rPr>
              <w:t>Transaction</w:t>
            </w:r>
          </w:p>
        </w:tc>
        <w:tc>
          <w:tcPr>
            <w:tcW w:w="1900" w:type="dxa"/>
            <w:vAlign w:val="bottom"/>
            <w:gridSpan w:val="2"/>
            <w:vMerge w:val="continue"/>
          </w:tcPr>
          <w:p>
            <w:pPr>
              <w:spacing w:after="0"/>
              <w:rPr>
                <w:sz w:val="17"/>
                <w:szCs w:val="17"/>
                <w:color w:val="auto"/>
              </w:rPr>
            </w:pPr>
          </w:p>
        </w:tc>
        <w:tc>
          <w:tcPr>
            <w:tcW w:w="1880" w:type="dxa"/>
            <w:vAlign w:val="bottom"/>
            <w:gridSpan w:val="3"/>
          </w:tcPr>
          <w:p>
            <w:pPr>
              <w:jc w:val="center"/>
              <w:ind w:right="100"/>
              <w:spacing w:after="0" w:line="204" w:lineRule="exact"/>
              <w:rPr>
                <w:sz w:val="20"/>
                <w:szCs w:val="20"/>
                <w:color w:val="auto"/>
              </w:rPr>
            </w:pPr>
            <w:r>
              <w:rPr>
                <w:rFonts w:ascii="Arial" w:cs="Arial" w:eastAsia="Arial" w:hAnsi="Arial"/>
                <w:sz w:val="16"/>
                <w:szCs w:val="16"/>
                <w:b w:val="1"/>
                <w:bCs w:val="1"/>
                <w:color w:val="auto"/>
                <w:w w:val="98"/>
              </w:rPr>
              <w:t>Guidance Ranges</w:t>
            </w:r>
            <w:r>
              <w:rPr>
                <w:rFonts w:ascii="Arial" w:cs="Arial" w:eastAsia="Arial" w:hAnsi="Arial"/>
                <w:sz w:val="21"/>
                <w:szCs w:val="21"/>
                <w:b w:val="1"/>
                <w:bCs w:val="1"/>
                <w:color w:val="auto"/>
                <w:w w:val="98"/>
                <w:vertAlign w:val="superscript"/>
              </w:rPr>
              <w:t>(1)</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$16,200</w:t>
            </w: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$16,700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$16,100</w:t>
            </w: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$16,600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$16,263</w:t>
            </w:r>
          </w:p>
        </w:tc>
        <w:tc>
          <w:tcPr>
            <w:tcW w:w="0" w:type="dxa"/>
            <w:vAlign w:val="bottom"/>
          </w:tcPr>
          <w:p>
            <w:pPr>
              <w:spacing w:after="0"/>
              <w:rPr>
                <w:sz w:val="1"/>
                <w:szCs w:val="1"/>
                <w:color w:val="auto"/>
              </w:rPr>
            </w:pPr>
          </w:p>
        </w:tc>
      </w:tr>
      <w:tr>
        <w:trPr>
          <w:trHeight w:val="216"/>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840" w:type="dxa"/>
            <w:vAlign w:val="bottom"/>
          </w:tcPr>
          <w:p>
            <w:pPr>
              <w:jc w:val="right"/>
              <w:spacing w:after="0"/>
              <w:rPr>
                <w:sz w:val="20"/>
                <w:szCs w:val="20"/>
                <w:color w:val="auto"/>
              </w:rPr>
            </w:pPr>
            <w:r>
              <w:rPr>
                <w:rFonts w:ascii="Arial" w:cs="Arial" w:eastAsia="Arial" w:hAnsi="Arial"/>
                <w:sz w:val="16"/>
                <w:szCs w:val="16"/>
                <w:color w:val="auto"/>
              </w:rPr>
              <w:t>$5,800</w:t>
            </w:r>
          </w:p>
        </w:tc>
        <w:tc>
          <w:tcPr>
            <w:tcW w:w="940" w:type="dxa"/>
            <w:vAlign w:val="bottom"/>
          </w:tcPr>
          <w:p>
            <w:pPr>
              <w:ind w:left="20"/>
              <w:spacing w:after="0"/>
              <w:rPr>
                <w:sz w:val="20"/>
                <w:szCs w:val="20"/>
                <w:color w:val="auto"/>
              </w:rPr>
            </w:pPr>
            <w:r>
              <w:rPr>
                <w:rFonts w:ascii="Arial" w:cs="Arial" w:eastAsia="Arial" w:hAnsi="Arial"/>
                <w:sz w:val="16"/>
                <w:szCs w:val="16"/>
                <w:color w:val="auto"/>
              </w:rPr>
              <w:t>- $6,200</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$5,725</w:t>
            </w:r>
          </w:p>
        </w:tc>
        <w:tc>
          <w:tcPr>
            <w:tcW w:w="940" w:type="dxa"/>
            <w:vAlign w:val="bottom"/>
          </w:tcPr>
          <w:p>
            <w:pPr>
              <w:ind w:left="20"/>
              <w:spacing w:after="0"/>
              <w:rPr>
                <w:sz w:val="20"/>
                <w:szCs w:val="20"/>
                <w:color w:val="auto"/>
              </w:rPr>
            </w:pPr>
            <w:r>
              <w:rPr>
                <w:rFonts w:ascii="Arial" w:cs="Arial" w:eastAsia="Arial" w:hAnsi="Arial"/>
                <w:sz w:val="16"/>
                <w:szCs w:val="16"/>
                <w:color w:val="auto"/>
              </w:rPr>
              <w:t>- $6,125</w:t>
            </w:r>
          </w:p>
        </w:tc>
        <w:tc>
          <w:tcPr>
            <w:tcW w:w="100" w:type="dxa"/>
            <w:vAlign w:val="bottom"/>
          </w:tcPr>
          <w:p>
            <w:pPr>
              <w:spacing w:after="0"/>
              <w:rPr>
                <w:sz w:val="18"/>
                <w:szCs w:val="18"/>
                <w:color w:val="auto"/>
              </w:rPr>
            </w:pPr>
          </w:p>
        </w:tc>
        <w:tc>
          <w:tcPr>
            <w:tcW w:w="1800" w:type="dxa"/>
            <w:vAlign w:val="bottom"/>
          </w:tcPr>
          <w:p>
            <w:pPr>
              <w:jc w:val="center"/>
              <w:spacing w:after="0" w:line="216" w:lineRule="exact"/>
              <w:rPr>
                <w:sz w:val="20"/>
                <w:szCs w:val="20"/>
                <w:color w:val="auto"/>
              </w:rPr>
            </w:pPr>
            <w:r>
              <w:rPr>
                <w:rFonts w:ascii="Arial" w:cs="Arial" w:eastAsia="Arial" w:hAnsi="Arial"/>
                <w:sz w:val="16"/>
                <w:szCs w:val="16"/>
                <w:color w:val="auto"/>
                <w:w w:val="93"/>
              </w:rPr>
              <w:t>$5,777</w:t>
            </w:r>
            <w:r>
              <w:rPr>
                <w:rFonts w:ascii="Arial" w:cs="Arial" w:eastAsia="Arial" w:hAnsi="Arial"/>
                <w:sz w:val="21"/>
                <w:szCs w:val="21"/>
                <w:color w:val="auto"/>
                <w:w w:val="93"/>
                <w:vertAlign w:val="superscript"/>
              </w:rPr>
              <w:t>(2)</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$2,900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$(274)</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$2,600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3"/>
              </w:rPr>
              <w:t>$2,547</w:t>
            </w:r>
            <w:r>
              <w:rPr>
                <w:rFonts w:ascii="Arial" w:cs="Arial" w:eastAsia="Arial" w:hAnsi="Arial"/>
                <w:sz w:val="21"/>
                <w:szCs w:val="21"/>
                <w:color w:val="auto"/>
                <w:w w:val="93"/>
                <w:vertAlign w:val="superscript"/>
              </w:rPr>
              <w:t>(2)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1" w:lineRule="exact"/>
        <w:rPr>
          <w:sz w:val="20"/>
          <w:szCs w:val="20"/>
          <w:color w:val="auto"/>
        </w:rPr>
      </w:pPr>
    </w:p>
    <w:p>
      <w:pPr>
        <w:ind w:right="20" w:firstLine="8"/>
        <w:spacing w:after="0" w:line="258" w:lineRule="auto"/>
        <w:tabs>
          <w:tab w:leader="none" w:pos="173"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Viatris did not provide forward-looking guidance for comparable U.S. GAAP net earnings (loss) or a quantitative reconciliation of its 2022 adjusted EBITDA guidance. U.S. GAAP net cash provided by operating activities was estimated to be between $3,100 million and $3,300 million (without adjustment for the Biosimilars Transaction). Please see "Non-GAAP Financial Measures" for additional information.</w:t>
      </w:r>
    </w:p>
    <w:p>
      <w:pPr>
        <w:spacing w:after="0" w:line="178"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2022 reported U.S. GAAP net earnings was $2,079 million. 2022 reported U.S. GAAP net cash provided by operating activities was $2,953 million.</w:t>
      </w:r>
    </w:p>
    <w:p>
      <w:pPr>
        <w:spacing w:after="0" w:line="213"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The Company's financial guidance ranges provided on November 7, 2022 for total revenues, adjusted EBITDA and free cash flow for the year ending December 31, 2022 did not include the impact of the closing of the Biosimilars Transaction and acquired IPR&amp;D expenses. In conjunction with the November 29, 2022 closing of the Biosimilars Transaction, the Company is reporting $1.950 billion of cash proceeds in</w:t>
      </w:r>
    </w:p>
    <w:p>
      <w:pPr>
        <w:spacing w:after="0" w:line="2"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color w:val="auto"/>
        </w:rPr>
        <w:t>U.S. GAAP net cash provided by investing activities. The related taxes and associated transaction costs of $254 million have been reported in U.S. GAAP net cash provided by operating activities.</w:t>
      </w:r>
    </w:p>
    <w:p>
      <w:pPr>
        <w:sectPr>
          <w:pgSz w:w="11900" w:h="16838" w:orient="portrait"/>
          <w:cols w:equalWidth="0" w:num="1">
            <w:col w:w="11240"/>
          </w:cols>
          <w:pgMar w:left="320" w:top="1440" w:right="339" w:bottom="1440" w:gutter="0" w:footer="0" w:header="0"/>
        </w:sectPr>
      </w:pPr>
    </w:p>
    <w:bookmarkStart w:id="5" w:name="page6"/>
    <w:bookmarkEnd w:id="5"/>
    <w:p>
      <w:pPr>
        <w:ind w:right="160"/>
        <w:spacing w:after="0" w:line="268" w:lineRule="auto"/>
        <w:rPr>
          <w:sz w:val="20"/>
          <w:szCs w:val="20"/>
          <w:color w:val="auto"/>
        </w:rPr>
      </w:pPr>
      <w:r>
        <w:rPr>
          <w:rFonts w:ascii="Arial" w:cs="Arial" w:eastAsia="Arial" w:hAnsi="Arial"/>
          <w:sz w:val="18"/>
          <w:szCs w:val="18"/>
          <w:color w:val="auto"/>
        </w:rPr>
        <w:t>Also, beginning in 2022, upfront and milestone-related R&amp;D expenses related to collaboration and licensing arrangements made prior to regulatory approval of a development product are no longer excluded from reported adjusted financial metrics. See "Certain Key Terms and Presentation Matters" below for further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Return of Capital to Shareholders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Viatris also announced that, on February 24, 2023, its Board of Directors approved a 2023 dividend policy of forty-eight cents ($0.48) per share and declared a quarterly dividend of twelve cents ($0.12) for each issued and outstanding share of the Company's common stock. The dividend is payable on March 17, 2023, to shareholders of record at the close of business on March 9, 2023.</w:t>
      </w:r>
    </w:p>
    <w:p>
      <w:pPr>
        <w:spacing w:after="0" w:line="19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Additionally, in January and February 2023, the Company repurchased approximately 21.2 million shares of common stock at a cost of approximately $250 million, as part of its previously announced $1 billion stock repurchase program that Viatris’ Board of Directors authorized.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Executive Commentary</w:t>
      </w:r>
    </w:p>
    <w:p>
      <w:pPr>
        <w:spacing w:after="0" w:line="11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Viatris CEO Michael Goettler said: “For Viatris, this is the eighth consecutive quarter of strong execution that has enabled us to continue to deliver on our Phase 1 commitments to build a solid foundation and set our company up for Phase 2. The execution of planned divestitures remains on track and we are confident in our expectation that 2024 and beyond will be a period of renewed growth for the company.”</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Viatris President Rajiv Malik said: “We met our commitments in 2022 to advance the pipeline, integrate and capture synergies, and stabilize the base business. We believe we will continue to effectively manage our established brand business to drive stability of our base business in 2023 and position the company for growth. We are also excited with the advancement of key development programs across complex injectables, novel products, complex generics, as well as our Phase III-ready eye care pipeline.”</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Viatris CFO Sanjeev Narula said: “Today we reported solid operational results which were in line with our expectations for 2022. We delivered on our financial commitments, which included the paydown of $ 3.3 billion of debt and the return of more than $ 580 million in dividends in 2022. We believe Viatris is in a very strong financial position to begin 2023. Despite all of the moving pieces and ongoing activities, we expect to deliver a solid 2023 and we remain confident in our outlook for 2024 and beyond. We expect to significantly increase the return of capital to shareholders in 2023 while continuing to pay down debt. We believe the actions we are taking to reshape the company are serving to strengthen the foundation and position us for long-term growth.”</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2023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financial guidance metrics for fiscal year 2023.</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not providing forward-looking guidance for U.S. GAAP net earnings (loss) or a quantitative reconciliation of its 2023 adjusted EBITDA guidance to the most directly comparable U.S. GAAP measure, U.S. GAAP net earnings (loss), because it is unable to predict with reasonable certainty the ultimate outcome of certain significant items, including integration, acquisition and divestiture related expenses, restructuring expenses, asset impairments, litigation settlements, and other contingencies, such as changes to contingent consideration, acquired IPR&amp;D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2023 is estimated to be between $2.8 billion and $3.1 billion, with a midpoint of approximately $2.95 billion.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33" w:right="339" w:bottom="1440" w:gutter="0" w:footer="0" w:header="0"/>
        </w:sectPr>
      </w:pPr>
    </w:p>
    <w:bookmarkStart w:id="6" w:name="page7"/>
    <w:bookmarkEnd w:id="6"/>
    <w:tbl>
      <w:tblPr>
        <w:tblLayout w:type="fixed"/>
        <w:tblInd w:w="80" w:type="dxa"/>
        <w:tblCellMar>
          <w:top w:w="0" w:type="dxa"/>
          <w:left w:w="0" w:type="dxa"/>
          <w:bottom w:w="0" w:type="dxa"/>
          <w:right w:w="0" w:type="dxa"/>
        </w:tblCellMar>
      </w:tblPr>
      <w:tr>
        <w:trPr>
          <w:trHeight w:val="207"/>
        </w:trPr>
        <w:tc>
          <w:tcPr>
            <w:tcW w:w="7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billions)</w:t>
            </w:r>
          </w:p>
        </w:tc>
        <w:tc>
          <w:tcPr>
            <w:tcW w:w="1940" w:type="dxa"/>
            <w:vAlign w:val="bottom"/>
            <w:gridSpan w:val="3"/>
          </w:tcPr>
          <w:p>
            <w:pPr>
              <w:ind w:left="100"/>
              <w:spacing w:after="0"/>
              <w:rPr>
                <w:sz w:val="20"/>
                <w:szCs w:val="20"/>
                <w:color w:val="auto"/>
              </w:rPr>
            </w:pPr>
            <w:r>
              <w:rPr>
                <w:rFonts w:ascii="Arial" w:cs="Arial" w:eastAsia="Arial" w:hAnsi="Arial"/>
                <w:sz w:val="14"/>
                <w:szCs w:val="14"/>
                <w:b w:val="1"/>
                <w:bCs w:val="1"/>
                <w:color w:val="auto"/>
              </w:rPr>
              <w:t xml:space="preserve">2023 Guidance Range </w:t>
            </w:r>
            <w:r>
              <w:rPr>
                <w:rFonts w:ascii="Arial" w:cs="Arial" w:eastAsia="Arial" w:hAnsi="Arial"/>
                <w:sz w:val="18"/>
                <w:szCs w:val="18"/>
                <w:b w:val="1"/>
                <w:bCs w:val="1"/>
                <w:color w:val="auto"/>
                <w:vertAlign w:val="superscript"/>
              </w:rPr>
              <w:t>(2)</w:t>
            </w:r>
          </w:p>
        </w:tc>
        <w:tc>
          <w:tcPr>
            <w:tcW w:w="1980" w:type="dxa"/>
            <w:vAlign w:val="bottom"/>
          </w:tcPr>
          <w:p>
            <w:pPr>
              <w:ind w:left="520"/>
              <w:spacing w:after="0"/>
              <w:rPr>
                <w:sz w:val="20"/>
                <w:szCs w:val="20"/>
                <w:color w:val="auto"/>
              </w:rPr>
            </w:pPr>
            <w:r>
              <w:rPr>
                <w:rFonts w:ascii="Arial" w:cs="Arial" w:eastAsia="Arial" w:hAnsi="Arial"/>
                <w:sz w:val="14"/>
                <w:szCs w:val="14"/>
                <w:b w:val="1"/>
                <w:bCs w:val="1"/>
                <w:color w:val="auto"/>
              </w:rPr>
              <w:t>2023 Midpoint</w:t>
            </w:r>
          </w:p>
        </w:tc>
      </w:tr>
      <w:tr>
        <w:trPr>
          <w:trHeight w:val="21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$16.0</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$15.75</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980" w:type="dxa"/>
            <w:vAlign w:val="bottom"/>
          </w:tcPr>
          <w:p>
            <w:pPr>
              <w:ind w:left="20"/>
              <w:spacing w:after="0"/>
              <w:rPr>
                <w:sz w:val="20"/>
                <w:szCs w:val="20"/>
                <w:color w:val="auto"/>
              </w:rPr>
            </w:pPr>
            <w:r>
              <w:rPr>
                <w:rFonts w:ascii="Arial" w:cs="Arial" w:eastAsia="Arial" w:hAnsi="Arial"/>
                <w:sz w:val="16"/>
                <w:szCs w:val="16"/>
                <w:color w:val="auto"/>
              </w:rPr>
              <w:t>- $5.4</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rPr>
              <w:t>$5.2</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r>
    </w:tbl>
    <w:p>
      <w:pPr>
        <w:spacing w:after="0" w:line="138" w:lineRule="exact"/>
        <w:rPr>
          <w:sz w:val="20"/>
          <w:szCs w:val="20"/>
          <w:color w:val="auto"/>
        </w:rPr>
      </w:pPr>
    </w:p>
    <w:p>
      <w:pPr>
        <w:ind w:left="540" w:hanging="208"/>
        <w:spacing w:after="0"/>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66" w:lineRule="exact"/>
        <w:rPr>
          <w:rFonts w:ascii="Arial" w:cs="Arial" w:eastAsia="Arial" w:hAnsi="Arial"/>
          <w:sz w:val="19"/>
          <w:szCs w:val="19"/>
          <w:color w:val="auto"/>
          <w:vertAlign w:val="superscript"/>
        </w:rPr>
      </w:pPr>
    </w:p>
    <w:p>
      <w:pPr>
        <w:ind w:left="660" w:hanging="328"/>
        <w:spacing w:after="0" w:line="305" w:lineRule="auto"/>
        <w:tabs>
          <w:tab w:leader="none" w:pos="581"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Includes the full year expected performance for the planned divestitures and excludes any potential related costs, such as taxes and transaction costs. Also excludes any acquired IPR&amp;D for unsigned deals.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Viatris Inc. will host a conference call and live webcast, today at 8:30 a.m. ET, to review the Company’s fourth quarter and full year 2022 financial results, along with 2023 financial guidance. Investors and the general public are invited to listen to a live webcast of the call at investor.viatris.com or by calling 866.342.8591 or 203.518.9713 for international callers (Conference ID: VTRSQ422). The “Viatris Q4 and Full Year 2022 Earnings Presentation”, which will be referenced during the call, can be found at investor.viatris.com. A replay of the webcast also will be available on the website.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C16AE"/>
        </w:rPr>
        <w:t>Financial Summary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center"/>
              <w:ind w:right="32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300" w:type="dxa"/>
            <w:vAlign w:val="bottom"/>
          </w:tcPr>
          <w:p>
            <w:pPr>
              <w:spacing w:after="0"/>
              <w:rPr>
                <w:sz w:val="13"/>
                <w:szCs w:val="13"/>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3,867.1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4,331.3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24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2,382.2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2,560.8</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727.5</w:t>
            </w:r>
          </w:p>
        </w:tc>
        <w:tc>
          <w:tcPr>
            <w:tcW w:w="1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(20)%</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6240" w:type="dxa"/>
            <w:vAlign w:val="bottom"/>
          </w:tcPr>
          <w:p>
            <w:pPr>
              <w:ind w:left="220"/>
              <w:spacing w:after="0"/>
              <w:rPr>
                <w:sz w:val="20"/>
                <w:szCs w:val="20"/>
                <w:color w:val="auto"/>
              </w:rPr>
            </w:pPr>
            <w:r>
              <w:rPr>
                <w:rFonts w:ascii="Arial" w:cs="Arial" w:eastAsia="Arial" w:hAnsi="Arial"/>
                <w:sz w:val="16"/>
                <w:szCs w:val="16"/>
                <w:color w:val="auto"/>
              </w:rPr>
              <w:t>JANZ</w:t>
            </w:r>
          </w:p>
        </w:tc>
        <w:tc>
          <w:tcPr>
            <w:tcW w:w="3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539.2</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(26)%</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503.8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2,312.1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2,611.9</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(11)%</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 and Biosimilars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348.4</w:t>
            </w:r>
          </w:p>
        </w:tc>
        <w:tc>
          <w:tcPr>
            <w:tcW w:w="1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(29)%</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(26)%</w:t>
            </w:r>
          </w:p>
        </w:tc>
        <w:tc>
          <w:tcPr>
            <w:tcW w:w="0" w:type="dxa"/>
            <w:vAlign w:val="bottom"/>
          </w:tcPr>
          <w:p>
            <w:pPr>
              <w:spacing w:after="0"/>
              <w:rPr>
                <w:sz w:val="1"/>
                <w:szCs w:val="1"/>
                <w:color w:val="auto"/>
              </w:rPr>
            </w:pPr>
          </w:p>
        </w:tc>
      </w:tr>
      <w:tr>
        <w:trPr>
          <w:trHeight w:val="215"/>
        </w:trPr>
        <w:tc>
          <w:tcPr>
            <w:tcW w:w="624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1,371.0</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1,274.1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1,546.4</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(18)%</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2,207.3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2,458.7</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 (3)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823.0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912.2</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2,485.8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703.8</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 (3)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1,343.7</w:t>
            </w:r>
          </w:p>
        </w:tc>
        <w:tc>
          <w:tcPr>
            <w:tcW w:w="1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523.1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197.4</w:t>
            </w:r>
          </w:p>
        </w:tc>
        <w:tc>
          <w:tcPr>
            <w:tcW w:w="11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8"/>
              </w:rPr>
              <w:t>(22)%</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325.7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0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300" w:type="dxa"/>
            <w:vAlign w:val="bottom"/>
          </w:tcPr>
          <w:p>
            <w:pPr>
              <w:spacing w:after="0"/>
              <w:rPr>
                <w:sz w:val="13"/>
                <w:szCs w:val="13"/>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120"/>
              <w:spacing w:after="0" w:line="157"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16,218.1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17,813.6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9,768.9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10,428.7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98"/>
              </w:rPr>
              <w:t>(17)%</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JANZ</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1,632.4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2,027.4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w w:val="98"/>
              </w:rPr>
              <w:t>(19)%</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rPr>
              <w:t>(1)%</w:t>
            </w:r>
          </w:p>
        </w:tc>
        <w:tc>
          <w:tcPr>
            <w:tcW w:w="13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9,889.6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10,841.3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rPr>
              <w:t>(9)%</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 and Biosimilars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1,342.1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rPr>
              <w:t>(2)%</w:t>
            </w:r>
          </w:p>
        </w:tc>
        <w:tc>
          <w:tcPr>
            <w:tcW w:w="13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5,015.1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5,630.2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w w:val="98"/>
              </w:rPr>
              <w:t>(11)%</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6,497.0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5,575.5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9,581.7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10,499.1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2,078.6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(1,269.1)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 (3)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4,077.1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4,410.0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6,433.2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4,540.2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color w:val="auto"/>
              </w:rPr>
              <w:t>42%</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 (3)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5,776.8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6,356.0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2,952.6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ind w:right="120"/>
              <w:spacing w:after="0"/>
              <w:rPr>
                <w:sz w:val="20"/>
                <w:szCs w:val="20"/>
                <w:color w:val="auto"/>
              </w:rPr>
            </w:pPr>
            <w:r>
              <w:rPr>
                <w:rFonts w:ascii="Arial" w:cs="Arial" w:eastAsia="Arial" w:hAnsi="Arial"/>
                <w:sz w:val="16"/>
                <w:szCs w:val="16"/>
                <w:color w:val="auto"/>
                <w:w w:val="98"/>
              </w:rPr>
              <w:t>(11)%</w:t>
            </w:r>
          </w:p>
        </w:tc>
        <w:tc>
          <w:tcPr>
            <w:tcW w:w="1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2,546.6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2,559.7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hanging="328"/>
        <w:spacing w:after="0" w:line="300" w:lineRule="auto"/>
        <w:tabs>
          <w:tab w:leader="none" w:pos="653"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operational change for net sales and adjusted EBITDA which excludes the impacts of foreign currency translation. See “Certain Key Terms and Presentation Matters” in this release for more information.</w:t>
      </w:r>
    </w:p>
    <w:p>
      <w:pPr>
        <w:ind w:left="640" w:hanging="308"/>
        <w:spacing w:after="0"/>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09" w:lineRule="auto"/>
        <w:tabs>
          <w:tab w:leader="none" w:pos="653"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Refer to "Prior Period Presentation for Acquired IPR&amp;D Impact" under "Certain Key Terms and Presentation Matters" section in this release for more information on updates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4C16AE"/>
        </w:rPr>
        <w:t>Financial Highlights</w:t>
      </w:r>
    </w:p>
    <w:p>
      <w:pPr>
        <w:spacing w:after="0" w:line="11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Fourth quarter 2022 net sales totaled $3.87 billion, down 2% on an operational basis compared to Q4 2021 results.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Brands had strong performance across the portfolio, offset by seasonality in certain products in Europe.</w:t>
      </w:r>
    </w:p>
    <w:p>
      <w:pPr>
        <w:spacing w:after="0" w:line="225"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 generics performed in line with expectations while biosimilars were below expectations due to customer buying patterns. The Company has not recognized the results of the biosimilars business in its consolidated financial statements subsequent to the closing of the Biosimilars Transaction on November 29, 2022 and results for the quarter and year ended December 31, 2022 reflect a decrease of approximately $63.5 million related to the year over year impact of the sale. For the period from January 1, 2022 to November 29, 2022, total revenues relating to the biosimilars portfolio were approximately $611.5 million.</w:t>
      </w:r>
    </w:p>
    <w:p>
      <w:pPr>
        <w:spacing w:after="0" w:line="179"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in line with expectations, including solid performance across the broader North America portfolio.</w:t>
      </w:r>
    </w:p>
    <w:p>
      <w:pPr>
        <w:spacing w:after="0" w:line="152" w:lineRule="exact"/>
        <w:rPr>
          <w:rFonts w:ascii="Arial" w:cs="Arial" w:eastAsia="Arial" w:hAnsi="Arial"/>
          <w:sz w:val="18"/>
          <w:szCs w:val="18"/>
          <w:color w:val="auto"/>
        </w:rPr>
      </w:pPr>
    </w:p>
    <w:p>
      <w:pPr>
        <w:ind w:left="340" w:right="580" w:hanging="332"/>
        <w:spacing w:after="0" w:line="318"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generated approximately $133 million in new product revenues (as defined in "Certain Key Terms and Presentation Matters" below) in the fourth quarter (approximately $483 million for the year) primarily driven by lenalidomide in the U.S.</w:t>
      </w:r>
    </w:p>
    <w:p>
      <w:pPr>
        <w:spacing w:after="0" w:line="129" w:lineRule="exact"/>
        <w:rPr>
          <w:rFonts w:ascii="Arial" w:cs="Arial" w:eastAsia="Arial" w:hAnsi="Arial"/>
          <w:sz w:val="17"/>
          <w:szCs w:val="17"/>
          <w:color w:val="auto"/>
        </w:rPr>
      </w:pPr>
    </w:p>
    <w:p>
      <w:pPr>
        <w:jc w:val="both"/>
        <w:ind w:left="340" w:right="120" w:hanging="332"/>
        <w:spacing w:after="0" w:line="262"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had U.S. GAAP net cash provided by operating activities of $143 million and negative free cash flow of $11 million in the quarter. The Company had U.S. GAAP net cash provided by operating activities of $2.95 billion and generated $2.55 billion of free cash flow for the year. Amounts include the negative impact of acquired IPR&amp;D of $36 million and the deal-related expenses associated with the closing of the Biosimilars Transaction of $254 million.</w:t>
      </w:r>
    </w:p>
    <w:p>
      <w:pPr>
        <w:spacing w:after="0" w:line="203" w:lineRule="exact"/>
        <w:rPr>
          <w:rFonts w:ascii="Arial" w:cs="Arial" w:eastAsia="Arial" w:hAnsi="Arial"/>
          <w:sz w:val="18"/>
          <w:szCs w:val="18"/>
          <w:color w:val="auto"/>
        </w:rPr>
      </w:pPr>
    </w:p>
    <w:p>
      <w:pPr>
        <w:ind w:left="340" w:right="220" w:hanging="332"/>
        <w:spacing w:after="0" w:line="28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paid down approximately $1.2 billion in debt in the fourth quarter (approximately $3.3 billion for the year), exceeding our 2022 target. The Company remains committed to maintaining its investment grade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106"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4C16AE"/>
        </w:rPr>
        <w:t>Certain Key Terms and Presentation Matters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Refers to revenue from new products launched in 2022 and the carryover impact of new products, including business development, launched within the last twelve months.</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 and is derived by translating amounts for the current period at prior year comparative period exchange rates, and in doing so shows the percentage change from 2022 constant currency net sales, revenues and adjusted EBITDA to the corresponding amount in the prior year.</w:t>
      </w:r>
    </w:p>
    <w:p>
      <w:pPr>
        <w:spacing w:after="0" w:line="198"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u w:val="single" w:color="auto"/>
          <w:color w:val="auto"/>
        </w:rPr>
        <w:t>SG&amp;A and R&amp;D TSA reimbursement:</w:t>
      </w:r>
      <w:r>
        <w:rPr>
          <w:rFonts w:ascii="Arial" w:cs="Arial" w:eastAsia="Arial" w:hAnsi="Arial"/>
          <w:sz w:val="18"/>
          <w:szCs w:val="18"/>
          <w:color w:val="auto"/>
        </w:rPr>
        <w:t xml:space="preserve"> Expenses related to TSA services provided to Biocon Biologics are recorded in their respective functional line item; however, reimbursement of those expenses plus the mark-up is included in other (income) expense, net. For comparability purposes, amounts related to the cost reimbursement are reclassified to adjusted SG&amp;A and adjusted R&amp;D. This reclassification has no impact on adjusted net earnings or adjusted EBITDA.</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Prior period presentation for acquired IPR&amp;D impact:</w:t>
      </w:r>
      <w:r>
        <w:rPr>
          <w:rFonts w:ascii="Arial" w:cs="Arial" w:eastAsia="Arial" w:hAnsi="Arial"/>
          <w:sz w:val="18"/>
          <w:szCs w:val="18"/>
          <w:color w:val="auto"/>
        </w:rPr>
        <w:t xml:space="preserve"> Beginning in 2022, upfront and milestone-related R&amp;D expenses related to collaboration and licensing arrangements made prior to regulatory approval of a development product were reclassified from R&amp;D expenses to acquired IPR&amp;D expenses in the consolidated statements of operations, and are no longer excluded from adjusted net earnings and adjusted EBITDA. For purposes of comparability, the prior years’ U.S. GAAP and non-GAAP financial measures for the three months and year ended December 31, 2021 have been updated to reflect this change, resulting in: (i) a decrease in U.S. GAAP R&amp;D expense and an increase in U.S. GAAP acquired IPR&amp;D expense of $72.1 million and $70.1 million, respectively; (ii) a decrease in adjusted earnings from operations and adjusted earnings before income tax and an increase in adjusted total operating expenses of $72.1 million and $70.1 million, respectively; (iii) a decrease in adjusted tax expense and adjusted income tax provision of $12.6 million and $12.3 million, respectively; and (iv) a decrease in adjusted net earnings of $59.5 million and $57.8 million, respectively.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Non-GAAP Financial Measures</w:t>
      </w:r>
    </w:p>
    <w:p>
      <w:pPr>
        <w:spacing w:after="0" w:line="104"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w:t>
      </w:r>
    </w:p>
    <w:p>
      <w:pPr>
        <w:spacing w:after="0" w:line="1" w:lineRule="exact"/>
        <w:rPr>
          <w:sz w:val="20"/>
          <w:szCs w:val="20"/>
          <w:color w:val="auto"/>
        </w:rPr>
      </w:pPr>
    </w:p>
    <w:p>
      <w:pPr>
        <w:ind w:right="20" w:firstLine="8"/>
        <w:spacing w:after="0" w:line="224"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total revenues, adjusted SG&amp;A and as a % of total revenues, adjusted earnings from operations, adjusted interest expense, adjusted other income, net, adjusted effective tax rate, adjusted total revenues excluding biosimilars, constant currency total revenues, constant currency net sales and constant currency adjusted EBITDA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and adjusted 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3" w:right="339" w:bottom="1440" w:gutter="0" w:footer="0" w:header="0"/>
        </w:sectPr>
      </w:pPr>
    </w:p>
    <w:bookmarkStart w:id="11" w:name="page12"/>
    <w:bookmarkEnd w:id="11"/>
    <w:p>
      <w:pPr>
        <w:ind w:right="20"/>
        <w:spacing w:after="0" w:line="251" w:lineRule="auto"/>
        <w:rPr>
          <w:sz w:val="20"/>
          <w:szCs w:val="20"/>
          <w:color w:val="auto"/>
        </w:rPr>
      </w:pPr>
      <w:r>
        <w:rPr>
          <w:rFonts w:ascii="Arial" w:cs="Arial" w:eastAsia="Arial" w:hAnsi="Arial"/>
          <w:sz w:val="17"/>
          <w:szCs w:val="17"/>
          <w:color w:val="auto"/>
        </w:rPr>
        <w:t>net sales on an actual and constant currency basis for each reportable segment for the three and twelve months ended December 31, 2022 and 2021 as well as for total revenues. Also, set forth below, Viatris has provided reconciliations of such non-GAAP financial measures to the</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components and uses of Non-GAAP financial measures, refer to Management's Discussion and Analysis of Financial Condition and Results of Operations--Use of Non-GAAP Financial Measures section of Viatris’ Annual Report on Form 10-K for the year ended December 31, 2022.</w:t>
      </w:r>
    </w:p>
    <w:p>
      <w:pPr>
        <w:spacing w:after="0" w:line="175"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With respect to the guidance ranges as provided on November 7, 2022, at that time the Company was not providing forward-looking guidance for U.S. GAAP net earnings (loss) or a quantitative reconciliation of its 2022 adjusted EBITDA guidance to the most directly</w:t>
      </w:r>
    </w:p>
    <w:p>
      <w:pPr>
        <w:spacing w:after="0" w:line="1"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comparable U.S. GAAP measure, U.S. GAAP net earnings (loss), because it was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had not occurred, were out of the Company’s control and/or could be</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reasonably predicted without unreasonable effort. These items were uncertain, depended on various factors, and could have had a material impact on U.S. GAAP reported results for the guidance period.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Viatris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0563C1"/>
        </w:rPr>
        <w:t xml:space="preserve">Viatris Inc. </w:t>
      </w:r>
      <w:r>
        <w:rPr>
          <w:rFonts w:ascii="Arial" w:cs="Arial" w:eastAsia="Arial" w:hAnsi="Arial"/>
          <w:sz w:val="18"/>
          <w:szCs w:val="18"/>
          <w:color w:val="000000"/>
        </w:rPr>
        <w:t>(NASDAQ: VTRS) is a global healthcare company empowering people worldwide to live healthier at every stage of life. We</w:t>
      </w:r>
      <w:r>
        <w:rPr>
          <w:rFonts w:ascii="Arial" w:cs="Arial" w:eastAsia="Arial" w:hAnsi="Arial"/>
          <w:sz w:val="18"/>
          <w:szCs w:val="18"/>
          <w:color w:val="0563C1"/>
        </w:rPr>
        <w:t xml:space="preserve"> </w:t>
      </w:r>
      <w:r>
        <w:rPr>
          <w:rFonts w:ascii="Arial" w:cs="Arial" w:eastAsia="Arial" w:hAnsi="Arial"/>
          <w:sz w:val="18"/>
          <w:szCs w:val="18"/>
          <w:color w:val="000000"/>
        </w:rPr>
        <w:t>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approximately 37,000 colleagues globally, Viatris is headquartered in the U.S., with global centers in Pittsburgh, Shanghai and Hyderabad, India. Learn more at viatris.com and investor.viatris.com, and connect with us on Twitter at @ViatrisInc, LinkedIn and YouTube.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5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statements about 2023 financial guidance; 2023 guidance midpoint reflects revenue growth over 2022, excluding full year impact of biosimilars; reaffirms 2024 phase 2 outlook from November 7 strategic update; board of directors approves 2023 dividend policy of forty-eight cents ($0.48) per share and declares first quarter dividend of twelve cents ($ 0.12) per share payable on March 17, 2023, to shareholders of record at the close of business on March 9, 2023; remains on track to execute planned divestitures; this is the eighth consecutive quarter of strong execution that has enabled us to continue to deliver on our Phase 1 commitments to build a solid foundation and set our company up for Phase 2; we are confident in our expectation that 2024 and beyond will be a period of renewed growth for the company; we met our commitments in 2022 to advance the pipeline, integrate and capture synergies, and stabilize the base business; we believe we will continue to effectively manage our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established brand business to drive stability of our base business in 2023 and position the company for growth; we are also excited with the advancement of key development programs across complex injectables, novel products, complex generics, as well as our Phase III-ready</w:t>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eye care pipeline; we believe Viatris is in a very strong financial position to begin 2023; despite all of the moving pieces and ongoing activities, we expect to deliver a solid 2023 and we remain confident in our outlook for 2024 and beyond; we expect to significantly increase the return of capital to shareholders in 2023 while continuing to pay down debt; we believe the actions we are taking to reshape the company are serving to strengthen the foundation and position us for long-term growth; the Company remains committed to maintaining its investment grade credit rating; the goals or outlooks with respect to the Company's strategic initiatives, including but not limited to the Company's two-phased strategic vision and potential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877" w:right="359" w:bottom="1440" w:gutter="0" w:footer="0" w:header="0"/>
        </w:sectPr>
      </w:pPr>
    </w:p>
    <w:bookmarkStart w:id="12" w:name="page13"/>
    <w:bookmarkEnd w:id="12"/>
    <w:p>
      <w:pPr>
        <w:ind w:right="20"/>
        <w:spacing w:after="0" w:line="238" w:lineRule="auto"/>
        <w:rPr>
          <w:sz w:val="20"/>
          <w:szCs w:val="20"/>
          <w:color w:val="auto"/>
        </w:rPr>
      </w:pPr>
      <w:r>
        <w:rPr>
          <w:rFonts w:ascii="Arial" w:cs="Arial" w:eastAsia="Arial" w:hAnsi="Arial"/>
          <w:sz w:val="18"/>
          <w:szCs w:val="18"/>
          <w:color w:val="auto"/>
        </w:rPr>
        <w:t>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realize the intended benefits of, or achieve the intended goals or outlooks with respect to, its strategic initiatives; the possibility that the Company may be unable to achieve expected benefits, synergies and</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operating efficiencies in connection with acquisitions, divestitures, or its global restructuring program, within the expected timeframe or at all; impairment charges or other losses related to the divestiture or sale of businesses or assets; the Company’s failure to achieve expected or</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targeted future financial and operating performance and results; the potential impact of public health outbreaks, epidemics and pandemics, including the ongoing challenges and uncertainties posed by the COVID-19 pandemic; actions and decisions of healthcare and pharmaceutical regulators; changes in relevant laws and regulations, including but not limited to changes in tax, healthcare and pharmaceutical laws and regulations globally (including the impact of recent and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operations globally; the ability to protect intellectual property and preserve intellectual property rights; changes in third-party relationships; the effect of any changes in the Company’s or its partners’ customer and supplier relationships and customer purchasing patterns, including</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2021, as amended, the Company's Annual Report on Form 10-K for the year ended December 31, 2022, which is expected to be filed with the SEC on February 27, 2023,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w:t>
      </w:r>
    </w:p>
    <w:p>
      <w:pPr>
        <w:spacing w:after="0" w:line="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use this website address as a means of disclosing material information to the public in a broad, non-exclusionary manner for purposes of the SEC’s Regulation Fair Disclosure (Reg FD). The contents of our website are not incorporated into this release or our other filings with the</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SEC. Viatris undertakes no obligation to update any statements herein for revisions or changes after the date of this release other than as required by law.</w:t>
      </w:r>
    </w:p>
    <w:p>
      <w:pPr>
        <w:spacing w:after="0" w:line="19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particular, certain statements in this release relate to Viatris' Phase II strategy in 2024-2028 and its related goals, targets, forecasts, objectives and commitments (such statements, the "Phase II Outlooks"). Viatris believes that the assumptions used as a basis for these Phase II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these Phase II Outlooks, it is possible that Viatris will not attain them in the timeframe noted or at all. These Phase II Outlooks reflect assumptions as to certain business decisions that are subject to change. Important factors that may affect actual results and cause these Phase II Outlooks not to be achieved, or that may change the underlying variables and assumptions on which these Phase II Outlooks were based and cause these Phase II Outlooks to differ materially, include, but are not limited</w:t>
      </w:r>
    </w:p>
    <w:p>
      <w:pPr>
        <w:spacing w:after="0" w:line="3"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to, risks and uncertainties relating to our planned acquisitions and divestitures, including whether such transactions are completed on the expected timelines or at all, failure to achieve the anticipated benefits of any acquisitions or divestitures, failure to receive the anticipated</w:t>
      </w:r>
    </w:p>
    <w:p>
      <w:pPr>
        <w:spacing w:after="0" w:line="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cash proceeds of any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first paragraph of "Forward Looking Statements". In addition, although certain of the outlooks are presented with numerical specificity, they are still forward-looking statements that involve inherent risks and uncertainties. Further, these Phase II Outlooks cover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877" w:right="359" w:bottom="1440" w:gutter="0" w:footer="0" w:header="0"/>
        </w:sectPr>
      </w:pPr>
    </w:p>
    <w:bookmarkStart w:id="13" w:name="page14"/>
    <w:bookmarkEnd w:id="13"/>
    <w:p>
      <w:pPr>
        <w:spacing w:after="0" w:line="247" w:lineRule="auto"/>
        <w:rPr>
          <w:sz w:val="20"/>
          <w:szCs w:val="20"/>
          <w:color w:val="auto"/>
        </w:rPr>
      </w:pPr>
      <w:r>
        <w:rPr>
          <w:rFonts w:ascii="Arial" w:cs="Arial" w:eastAsia="Arial" w:hAnsi="Arial"/>
          <w:sz w:val="18"/>
          <w:szCs w:val="18"/>
          <w:color w:val="auto"/>
        </w:rPr>
        <w:t>multiple years and such information by its nature becomes less reliable with each successive year. Accordingly, there can be no assurance that any aspect of these Phase II Outlooks will be realized or that actual results will not differ materially. Therefore, you should construe these statements regarding these Phase II Outlooks only as goals, targets and objectives rather than promises of future performance or absolute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5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MEDIA</w:t>
      </w:r>
      <w:r>
        <w:rPr>
          <w:sz w:val="20"/>
          <w:szCs w:val="20"/>
          <w:color w:val="auto"/>
        </w:rPr>
        <w:tab/>
      </w: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+1.724.514.1968</w:t>
      </w:r>
      <w:r>
        <w:rPr>
          <w:sz w:val="20"/>
          <w:szCs w:val="20"/>
          <w:color w:val="auto"/>
        </w:rPr>
        <w:tab/>
      </w:r>
      <w:r>
        <w:rPr>
          <w:rFonts w:ascii="Arial" w:cs="Arial" w:eastAsia="Arial" w:hAnsi="Arial"/>
          <w:sz w:val="18"/>
          <w:szCs w:val="18"/>
          <w:color w:val="auto"/>
        </w:rPr>
        <w:t>Bill Szablewski</w:t>
      </w:r>
    </w:p>
    <w:p>
      <w:pPr>
        <w:spacing w:after="0" w:line="9"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Communications@viatris.com</w:t>
      </w:r>
      <w:r>
        <w:rPr>
          <w:sz w:val="20"/>
          <w:szCs w:val="20"/>
          <w:color w:val="auto"/>
        </w:rPr>
        <w:tab/>
      </w:r>
      <w:r>
        <w:rPr>
          <w:rFonts w:ascii="Arial" w:cs="Arial" w:eastAsia="Arial" w:hAnsi="Arial"/>
          <w:sz w:val="18"/>
          <w:szCs w:val="18"/>
          <w:color w:val="auto"/>
        </w:rPr>
        <w:t>+1.412.707.2866</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InvestorRelations@viatris.com</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Jennifer Mauer</w:t>
      </w:r>
      <w:r>
        <w:rPr>
          <w:sz w:val="20"/>
          <w:szCs w:val="20"/>
          <w:color w:val="auto"/>
        </w:rPr>
        <w:tab/>
      </w:r>
      <w:r>
        <w:rPr>
          <w:rFonts w:ascii="Arial" w:cs="Arial" w:eastAsia="Arial" w:hAnsi="Arial"/>
          <w:sz w:val="18"/>
          <w:szCs w:val="18"/>
          <w:color w:val="auto"/>
        </w:rPr>
        <w:t>William.Szablewski@viatris.com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Jennifer.Mauer@viatris.com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Matt Klein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Matthew.Klein@viatris.com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77"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3,867.1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4,331.3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16,218.1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17,813.6</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16,262.7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17,886.3</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2,795.2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9,765.7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12,310.8</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6,497.0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5,575.5</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681.0</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Acquired IPR&amp;D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4,529.2</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from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636.2</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Earnings (loss) before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604.7</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(1,269.1)</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Viatris Inc. shareholders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hanging="328"/>
        <w:spacing w:after="0" w:line="218" w:lineRule="auto"/>
        <w:tabs>
          <w:tab w:leader="none" w:pos="653"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Refer to "Prior period presentation for acquired IPR&amp;D impact" under "Certain Key Terms and Presentation Matters" section in this release for more information on reclassifications from R&amp;D to acquired IPR&amp;D.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5080" w:type="dxa"/>
            <w:vAlign w:val="bottom"/>
          </w:tcPr>
          <w:p>
            <w:pPr>
              <w:jc w:val="center"/>
              <w:ind w:left="35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p>
      <w:pPr>
        <w:sectPr>
          <w:pgSz w:w="11900" w:h="16838" w:orient="portrait"/>
          <w:cols w:equalWidth="0" w:num="1">
            <w:col w:w="11200"/>
          </w:cols>
          <w:pgMar w:left="340" w:top="890" w:right="35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158115</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-115570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1,259.9</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701.2</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4,266.4</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3,977.7</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1,957.6</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10,635.4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10,902.9</w:t>
            </w: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22,607.1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26,134.2</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10,425.8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12,113.7</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5,692.0</w:t>
            </w:r>
          </w:p>
        </w:tc>
      </w:tr>
      <w:tr>
        <w:trPr>
          <w:trHeight w:val="209"/>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50,022.2</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54,842.8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1,259.1</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1,877.5</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8,006.9</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18,015.2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19,717.1</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4,748.6</w:t>
            </w:r>
          </w:p>
        </w:tc>
      </w:tr>
      <w:tr>
        <w:trPr>
          <w:trHeight w:val="209"/>
        </w:trPr>
        <w:tc>
          <w:tcPr>
            <w:tcW w:w="83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28,949.9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34,350.1</w:t>
            </w: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21,072.3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20,492.7</w:t>
            </w: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50,022.2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54,842.8</w:t>
            </w:r>
          </w:p>
        </w:tc>
      </w:tr>
      <w:tr>
        <w:trPr>
          <w:trHeight w:val="20"/>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40" w:top="890" w:right="3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15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198"/>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Lipitor ®</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1,635.2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1,663.2</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Norvasc ®</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775.1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824.7</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Lyrica ®</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623.8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Viagra ®</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533.8</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Celebrex ®</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Creon ®</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304.0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309.8</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EpiPen® Auto-Injectors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Effexor ®</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279.6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316.8</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Zoloft ®</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Xalabrands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226.0</w:t>
            </w:r>
          </w:p>
        </w:tc>
      </w:tr>
      <w:tr>
        <w:trPr>
          <w:trHeight w:val="271"/>
        </w:trPr>
        <w:tc>
          <w:tcPr>
            <w:tcW w:w="5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Yupelri ®</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Influvac ®</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225.5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299.3</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Amitiza ®</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Dymista ®</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168.0</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Xanax ®</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Company does not disclose net sales for any products considered competitively sensitive.</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Products disclosed may change in future periods, including as a result of seasonality, competition or new product launches.</w:t>
      </w:r>
    </w:p>
    <w:p>
      <w:pPr>
        <w:spacing w:after="0" w:line="31" w:lineRule="exact"/>
        <w:rPr>
          <w:rFonts w:ascii="Arial" w:cs="Arial" w:eastAsia="Arial" w:hAnsi="Arial"/>
          <w:sz w:val="21"/>
          <w:szCs w:val="21"/>
          <w:color w:val="auto"/>
          <w:vertAlign w:val="superscript"/>
        </w:rPr>
      </w:pPr>
    </w:p>
    <w:p>
      <w:pPr>
        <w:ind w:left="660" w:hanging="328"/>
        <w:spacing w:after="0" w:line="218"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Amounts for the three months and year ended December 31, 2022,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Below is a reconciliation of U.S. GAAP net loss to adjusted net earnings for the three months and year ended December 31, 2022, compared to the prior year periods: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w:t>
            </w:r>
          </w:p>
        </w:tc>
        <w:tc>
          <w:tcPr>
            <w:tcW w:w="220" w:type="dxa"/>
            <w:vAlign w:val="bottom"/>
          </w:tcPr>
          <w:p>
            <w:pPr>
              <w:spacing w:after="0"/>
              <w:rPr>
                <w:sz w:val="14"/>
                <w:szCs w:val="14"/>
                <w:color w:val="auto"/>
              </w:rPr>
            </w:pPr>
          </w:p>
        </w:tc>
        <w:tc>
          <w:tcPr>
            <w:tcW w:w="21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5"/>
        </w:trPr>
        <w:tc>
          <w:tcPr>
            <w:tcW w:w="6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(1,269.1)</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related amortization (primarily included in cost of sales) </w:t>
            </w:r>
            <w:r>
              <w:rPr>
                <w:rFonts w:ascii="Arial" w:cs="Arial" w:eastAsia="Arial" w:hAnsi="Arial"/>
                <w:sz w:val="21"/>
                <w:szCs w:val="21"/>
                <w:color w:val="auto"/>
                <w:vertAlign w:val="superscript"/>
              </w:rPr>
              <w:t>(a)</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4,039.7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Impairment of goodwill related to assets held for sale </w:t>
            </w:r>
            <w:r>
              <w:rPr>
                <w:rFonts w:ascii="Arial" w:cs="Arial" w:eastAsia="Arial" w:hAnsi="Arial"/>
                <w:sz w:val="21"/>
                <w:szCs w:val="21"/>
                <w:color w:val="auto"/>
                <w:vertAlign w:val="superscript"/>
              </w:rPr>
              <w:t>(a)</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Clean energy investments pre-tax loss</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Acquisition and divestiture related costs (primarily included in SG&amp;A) </w:t>
            </w:r>
            <w:r>
              <w:rPr>
                <w:rFonts w:ascii="Arial" w:cs="Arial" w:eastAsia="Arial" w:hAnsi="Arial"/>
                <w:sz w:val="21"/>
                <w:szCs w:val="21"/>
                <w:color w:val="auto"/>
                <w:vertAlign w:val="superscript"/>
              </w:rPr>
              <w:t>(b)</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0" w:type="dxa"/>
            <w:vAlign w:val="bottom"/>
          </w:tcPr>
          <w:p>
            <w:pPr>
              <w:spacing w:after="0"/>
              <w:rPr>
                <w:sz w:val="1"/>
                <w:szCs w:val="1"/>
                <w:color w:val="auto"/>
              </w:rPr>
            </w:pP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Biocon Biologics gain on divestiture (included in other (income) expense,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Restructuring related costs </w:t>
            </w:r>
            <w:r>
              <w:rPr>
                <w:rFonts w:ascii="Arial" w:cs="Arial" w:eastAsia="Arial" w:hAnsi="Arial"/>
                <w:sz w:val="21"/>
                <w:szCs w:val="21"/>
                <w:color w:val="auto"/>
                <w:vertAlign w:val="superscript"/>
              </w:rPr>
              <w:t>(c)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899.4</w:t>
            </w:r>
          </w:p>
        </w:tc>
        <w:tc>
          <w:tcPr>
            <w:tcW w:w="0" w:type="dxa"/>
            <w:vAlign w:val="bottom"/>
          </w:tcPr>
          <w:p>
            <w:pPr>
              <w:spacing w:after="0"/>
              <w:rPr>
                <w:sz w:val="1"/>
                <w:szCs w:val="1"/>
                <w:color w:val="auto"/>
              </w:rPr>
            </w:pP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special items included in: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Research and development expense </w:t>
            </w:r>
            <w:r>
              <w:rPr>
                <w:rFonts w:ascii="Arial" w:cs="Arial" w:eastAsia="Arial" w:hAnsi="Arial"/>
                <w:sz w:val="21"/>
                <w:szCs w:val="21"/>
                <w:color w:val="auto"/>
                <w:vertAlign w:val="superscript"/>
              </w:rPr>
              <w:t>(e)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Selling, general and administrative expense </w:t>
            </w:r>
            <w:r>
              <w:rPr>
                <w:rFonts w:ascii="Arial" w:cs="Arial" w:eastAsia="Arial" w:hAnsi="Arial"/>
                <w:sz w:val="21"/>
                <w:szCs w:val="21"/>
                <w:color w:val="auto"/>
                <w:vertAlign w:val="superscript"/>
              </w:rPr>
              <w:t>(f)</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(income),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(g)</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w:t>
            </w: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for the three months and year ended December 31, 2022, include the following:</w:t>
      </w:r>
    </w:p>
    <w:p>
      <w:pPr>
        <w:spacing w:after="0" w:line="73" w:lineRule="exact"/>
        <w:rPr>
          <w:sz w:val="20"/>
          <w:szCs w:val="20"/>
          <w:color w:val="auto"/>
        </w:rPr>
      </w:pPr>
    </w:p>
    <w:p>
      <w:pPr>
        <w:jc w:val="both"/>
        <w:ind w:left="660" w:hanging="328"/>
        <w:spacing w:after="0" w:line="238" w:lineRule="auto"/>
        <w:tabs>
          <w:tab w:leader="none" w:pos="647"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2022, charges include an intangible asset charge of approximately $172.9 million to write down the disposal group to fair value, less cost to sell, and a related goodwill impairment charge of $117.0 million for the potential divestiture of the Upjohn Distributor Markets.</w:t>
      </w:r>
    </w:p>
    <w:p>
      <w:pPr>
        <w:spacing w:after="0" w:line="3"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 related costs consist primarily of transaction costs including legal and consulting fees and integration activities.</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16"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December 31, 2022, charges include approximately $28.4 million in cost of sales, approximately $1.4 million in R&amp;D, and approximately $15.1 million in SG&amp;A. For the year ended December 31, 2022, charges include approximately $56.8 million in cost of sales, approximately $1.4 million in R&amp;D, and approximately $28.7 million in SG&amp;A.</w:t>
      </w:r>
    </w:p>
    <w:p>
      <w:pPr>
        <w:spacing w:after="0" w:line="42" w:lineRule="exact"/>
        <w:rPr>
          <w:rFonts w:ascii="Arial" w:cs="Arial" w:eastAsia="Arial" w:hAnsi="Arial"/>
          <w:sz w:val="21"/>
          <w:szCs w:val="21"/>
          <w:color w:val="auto"/>
          <w:vertAlign w:val="superscript"/>
        </w:rPr>
      </w:pPr>
    </w:p>
    <w:p>
      <w:pPr>
        <w:ind w:left="660" w:hanging="328"/>
        <w:spacing w:after="0" w:line="233" w:lineRule="auto"/>
        <w:tabs>
          <w:tab w:leader="none" w:pos="595"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2022, charges include incremental manufacturing variances at plants in the 2020 restructuring program of approximately $28.3 million and $118.4 million, respectively. Charges also include inventory reserves related to the potential divestiture of the Upjohn Distributor Markets of approximately $44.8 million for the three months and year ended December 31, 2022.</w:t>
      </w:r>
    </w:p>
    <w:p>
      <w:pPr>
        <w:spacing w:after="0" w:line="42" w:lineRule="exact"/>
        <w:rPr>
          <w:rFonts w:ascii="Arial" w:cs="Arial" w:eastAsia="Arial" w:hAnsi="Arial"/>
          <w:sz w:val="21"/>
          <w:szCs w:val="21"/>
          <w:color w:val="auto"/>
          <w:vertAlign w:val="superscript"/>
        </w:rPr>
      </w:pPr>
    </w:p>
    <w:p>
      <w:pPr>
        <w:ind w:left="660" w:right="140" w:hanging="328"/>
        <w:spacing w:after="0" w:line="227" w:lineRule="auto"/>
        <w:tabs>
          <w:tab w:leader="none" w:pos="582"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Refer to "Prior period presentation for acquired IPR&amp;D impact" under "Certain Key Terms and Presentation Matters" section in this release for more information on updates to the non-GAAP financial measures.</w:t>
      </w:r>
    </w:p>
    <w:p>
      <w:pPr>
        <w:spacing w:after="0" w:line="43" w:lineRule="exact"/>
        <w:rPr>
          <w:rFonts w:ascii="Arial" w:cs="Arial" w:eastAsia="Arial" w:hAnsi="Arial"/>
          <w:sz w:val="21"/>
          <w:szCs w:val="21"/>
          <w:color w:val="auto"/>
          <w:vertAlign w:val="superscript"/>
        </w:rPr>
      </w:pPr>
    </w:p>
    <w:p>
      <w:pPr>
        <w:ind w:left="660" w:hanging="328"/>
        <w:spacing w:after="0" w:line="227" w:lineRule="auto"/>
        <w:tabs>
          <w:tab w:leader="none" w:pos="552"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2022, charges include costs related to the potential divestiture of the Upjohn Distributor Markets of $16.2 million and $39.5 million, respectively.</w:t>
      </w:r>
    </w:p>
    <w:p>
      <w:pPr>
        <w:spacing w:after="0" w:line="2" w:lineRule="exact"/>
        <w:rPr>
          <w:rFonts w:ascii="Arial" w:cs="Arial" w:eastAsia="Arial" w:hAnsi="Arial"/>
          <w:sz w:val="21"/>
          <w:szCs w:val="21"/>
          <w:color w:val="auto"/>
          <w:vertAlign w:val="superscript"/>
        </w:rPr>
      </w:pPr>
    </w:p>
    <w:p>
      <w:pPr>
        <w:ind w:left="580" w:hanging="248"/>
        <w:spacing w:after="0"/>
        <w:tabs>
          <w:tab w:leader="none" w:pos="5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earnings (loss) to EBITDA and adjusted EBITDA for the three months and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compared to the prior year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(1,269.1)</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contribution attributable to equity method investments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457.7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734.6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604.7</w:t>
            </w:r>
          </w:p>
        </w:tc>
      </w:tr>
      <w:tr>
        <w:trPr>
          <w:trHeight w:val="217"/>
        </w:trPr>
        <w:tc>
          <w:tcPr>
            <w:tcW w:w="60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w:t>
            </w:r>
          </w:p>
        </w:tc>
      </w:tr>
      <w:tr>
        <w:trPr>
          <w:trHeight w:val="216"/>
        </w:trPr>
        <w:tc>
          <w:tcPr>
            <w:tcW w:w="60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869.8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3,027.6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4,506.5</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6,433.2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4,540.2</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329.2</w:t>
            </w:r>
          </w:p>
        </w:tc>
      </w:tr>
      <w:tr>
        <w:trPr>
          <w:trHeight w:val="21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Biocon Biologics gain on divestiture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Impairment of goodwill related to assets held for sale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 xml:space="preserve">Restructuring, acquisition and divestiture 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859.9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1,375.4</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1,210.6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5,776.8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6,356.0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2"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Earnings (Loss) to Adjusted Net Earnings. Refer to "Prior period presentation for acquired IPR&amp;D impact" under "Certain Key Terms and Presentation Matters" section in this release for more information on updates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2022 Currency</w:t>
            </w:r>
          </w:p>
        </w:tc>
        <w:tc>
          <w:tcPr>
            <w:tcW w:w="11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2022 Constant</w:t>
            </w:r>
          </w:p>
        </w:tc>
        <w:tc>
          <w:tcPr>
            <w:tcW w:w="10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80" w:type="dxa"/>
            <w:vAlign w:val="bottom"/>
          </w:tcPr>
          <w:p>
            <w:pPr>
              <w:spacing w:after="0"/>
              <w:rPr>
                <w:sz w:val="17"/>
                <w:szCs w:val="17"/>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2,382.2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2,560.8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680" w:type="dxa"/>
            <w:vAlign w:val="bottom"/>
          </w:tcPr>
          <w:p>
            <w:pPr>
              <w:jc w:val="right"/>
              <w:ind w:right="50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169.9</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2,552.1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464.8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Emerging Markets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3420" w:type="dxa"/>
            <w:vAlign w:val="bottom"/>
          </w:tcPr>
          <w:p>
            <w:pPr>
              <w:ind w:left="360"/>
              <w:spacing w:after="0"/>
              <w:rPr>
                <w:sz w:val="20"/>
                <w:szCs w:val="20"/>
                <w:color w:val="auto"/>
              </w:rPr>
            </w:pPr>
            <w:r>
              <w:rPr>
                <w:rFonts w:ascii="Arial" w:cs="Arial" w:eastAsia="Arial" w:hAnsi="Arial"/>
                <w:sz w:val="16"/>
                <w:szCs w:val="16"/>
                <w:color w:val="auto"/>
              </w:rPr>
              <w:t>Total net sales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4,331.3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4,230.7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Other revenues </w:t>
            </w:r>
            <w:r>
              <w:rPr>
                <w:rFonts w:ascii="Arial" w:cs="Arial" w:eastAsia="Arial" w:hAnsi="Arial"/>
                <w:sz w:val="21"/>
                <w:szCs w:val="21"/>
                <w:b w:val="1"/>
                <w:bCs w:val="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CCEEFF"/>
            </w:tcBorders>
            <w:shd w:val="clear" w:color="auto" w:fill="CCEEFF"/>
          </w:tcPr>
          <w:p>
            <w:pPr>
              <w:ind w:left="220"/>
              <w:spacing w:after="0" w:line="210" w:lineRule="exact"/>
              <w:rPr>
                <w:sz w:val="20"/>
                <w:szCs w:val="20"/>
                <w:color w:val="auto"/>
              </w:rPr>
            </w:pPr>
            <w:r>
              <w:rPr>
                <w:rFonts w:ascii="Arial" w:cs="Arial" w:eastAsia="Arial" w:hAnsi="Arial"/>
                <w:sz w:val="16"/>
                <w:szCs w:val="16"/>
                <w:color w:val="auto"/>
              </w:rPr>
              <w:t xml:space="preserve">Consolidated total revenues </w:t>
            </w:r>
            <w:r>
              <w:rPr>
                <w:rFonts w:ascii="Arial" w:cs="Arial" w:eastAsia="Arial" w:hAnsi="Arial"/>
                <w:sz w:val="21"/>
                <w:szCs w:val="21"/>
                <w:b w:val="1"/>
                <w:bCs w:val="1"/>
                <w:color w:val="auto"/>
                <w:vertAlign w:val="superscript"/>
              </w:rPr>
              <w:t>(4)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4,341.6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364.3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4,240.3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right"/>
              <w:ind w:right="64"/>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2022 Currency</w:t>
            </w:r>
          </w:p>
        </w:tc>
        <w:tc>
          <w:tcPr>
            <w:tcW w:w="12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2022 Constant</w:t>
            </w:r>
          </w:p>
        </w:tc>
        <w:tc>
          <w:tcPr>
            <w:tcW w:w="10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203"/>
        </w:trPr>
        <w:tc>
          <w:tcPr>
            <w:tcW w:w="3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80" w:type="dxa"/>
            <w:vAlign w:val="bottom"/>
          </w:tcPr>
          <w:p>
            <w:pPr>
              <w:spacing w:after="0"/>
              <w:rPr>
                <w:sz w:val="17"/>
                <w:szCs w:val="17"/>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9,768.9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10,428.7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500" w:type="dxa"/>
            <w:vAlign w:val="bottom"/>
          </w:tcPr>
          <w:p>
            <w:pPr>
              <w:jc w:val="right"/>
              <w:ind w:right="30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666.6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10,435.5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2,275.1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2,027.4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1,863.2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2,880.2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3400" w:type="dxa"/>
            <w:vAlign w:val="bottom"/>
          </w:tcPr>
          <w:p>
            <w:pPr>
              <w:ind w:left="360"/>
              <w:spacing w:after="0"/>
              <w:rPr>
                <w:sz w:val="20"/>
                <w:szCs w:val="20"/>
                <w:color w:val="auto"/>
              </w:rPr>
            </w:pPr>
            <w:r>
              <w:rPr>
                <w:rFonts w:ascii="Arial" w:cs="Arial" w:eastAsia="Arial" w:hAnsi="Arial"/>
                <w:sz w:val="16"/>
                <w:szCs w:val="16"/>
                <w:color w:val="auto"/>
              </w:rPr>
              <w:t>Total net sales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16,218.1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17,813.6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17,454.0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Other revenues </w:t>
            </w:r>
            <w:r>
              <w:rPr>
                <w:rFonts w:ascii="Arial" w:cs="Arial" w:eastAsia="Arial" w:hAnsi="Arial"/>
                <w:sz w:val="21"/>
                <w:szCs w:val="21"/>
                <w:b w:val="1"/>
                <w:bCs w:val="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47.5</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4"/>
        </w:trPr>
        <w:tc>
          <w:tcPr>
            <w:tcW w:w="3400" w:type="dxa"/>
            <w:vAlign w:val="bottom"/>
            <w:tcBorders>
              <w:bottom w:val="single" w:sz="8" w:color="CCEEFF"/>
            </w:tcBorders>
            <w:shd w:val="clear" w:color="auto" w:fill="CCEEFF"/>
          </w:tcPr>
          <w:p>
            <w:pPr>
              <w:ind w:left="220"/>
              <w:spacing w:after="0" w:line="210" w:lineRule="exact"/>
              <w:rPr>
                <w:sz w:val="20"/>
                <w:szCs w:val="20"/>
                <w:color w:val="auto"/>
              </w:rPr>
            </w:pPr>
            <w:r>
              <w:rPr>
                <w:rFonts w:ascii="Arial" w:cs="Arial" w:eastAsia="Arial" w:hAnsi="Arial"/>
                <w:sz w:val="16"/>
                <w:szCs w:val="16"/>
                <w:color w:val="auto"/>
              </w:rPr>
              <w:t xml:space="preserve">Consolidated total revenues </w:t>
            </w:r>
            <w:r>
              <w:rPr>
                <w:rFonts w:ascii="Arial" w:cs="Arial" w:eastAsia="Arial" w:hAnsi="Arial"/>
                <w:sz w:val="21"/>
                <w:szCs w:val="21"/>
                <w:b w:val="1"/>
                <w:bCs w:val="1"/>
                <w:color w:val="auto"/>
                <w:vertAlign w:val="superscript"/>
              </w:rPr>
              <w:t>(4)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16,262.7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17,886.3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17,501.5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6"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9"/>
          <w:szCs w:val="9"/>
          <w:color w:val="auto"/>
        </w:rPr>
      </w:pPr>
      <w:r>
        <w:rPr>
          <w:rFonts w:ascii="Arial" w:cs="Arial" w:eastAsia="Arial" w:hAnsi="Arial"/>
          <w:sz w:val="14"/>
          <w:szCs w:val="14"/>
          <w:color w:val="auto"/>
        </w:rPr>
        <w:t>Currency impact is shown as unfavorable (favorable).</w:t>
      </w:r>
    </w:p>
    <w:p>
      <w:pPr>
        <w:spacing w:after="0" w:line="68" w:lineRule="exact"/>
        <w:rPr>
          <w:rFonts w:ascii="Arial" w:cs="Arial" w:eastAsia="Arial" w:hAnsi="Arial"/>
          <w:sz w:val="9"/>
          <w:szCs w:val="9"/>
          <w:color w:val="auto"/>
        </w:rPr>
      </w:pPr>
    </w:p>
    <w:p>
      <w:pPr>
        <w:ind w:left="340" w:hanging="332"/>
        <w:spacing w:after="0" w:line="231" w:lineRule="auto"/>
        <w:tabs>
          <w:tab w:leader="none" w:pos="234"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39" w:lineRule="exact"/>
        <w:rPr>
          <w:rFonts w:ascii="Arial" w:cs="Arial" w:eastAsia="Arial" w:hAnsi="Arial"/>
          <w:sz w:val="19"/>
          <w:szCs w:val="19"/>
          <w:color w:val="auto"/>
          <w:vertAlign w:val="superscript"/>
        </w:rPr>
      </w:pPr>
    </w:p>
    <w:p>
      <w:pPr>
        <w:jc w:val="both"/>
        <w:ind w:left="340" w:hanging="332"/>
        <w:spacing w:after="0" w:line="234" w:lineRule="auto"/>
        <w:tabs>
          <w:tab w:leader="none" w:pos="33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December 31, 2022, other revenues in Developed Markets, JANZ, and Emerging Markets were approximately $5.9 million, $0.2 million, and $2.8 million, respectively. For the year ended December 31, 2022, other revenues in Developed Markets, JANZ, and Emerging Markets were approximately $21.8 million, $1.4 million, and $21.4 million, respectively.</w:t>
      </w:r>
    </w:p>
    <w:p>
      <w:pPr>
        <w:spacing w:after="0" w:line="11"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Amounts exclude intersegment revenue that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2,601.9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2,795.2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9,765.7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12,310.8</w:t>
            </w: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(790.8)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(2,721.2)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(4,039.7)</w:t>
            </w:r>
          </w:p>
        </w:tc>
      </w:tr>
      <w:tr>
        <w:trPr>
          <w:trHeight w:val="198"/>
        </w:trPr>
        <w:tc>
          <w:tcPr>
            <w:tcW w:w="5640" w:type="dxa"/>
            <w:vAlign w:val="bottom"/>
          </w:tcPr>
          <w:p>
            <w:pPr>
              <w:ind w:left="220"/>
              <w:spacing w:after="0"/>
              <w:rPr>
                <w:sz w:val="20"/>
                <w:szCs w:val="20"/>
                <w:color w:val="auto"/>
              </w:rPr>
            </w:pPr>
            <w:r>
              <w:rPr>
                <w:rFonts w:ascii="Arial" w:cs="Arial" w:eastAsia="Arial" w:hAnsi="Arial"/>
                <w:sz w:val="14"/>
                <w:szCs w:val="14"/>
                <w:color w:val="auto"/>
              </w:rPr>
              <w:t>Acquisition and divestiture related costs</w:t>
            </w:r>
          </w:p>
        </w:tc>
        <w:tc>
          <w:tcPr>
            <w:tcW w:w="28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(13.9)</w:t>
            </w:r>
          </w:p>
        </w:tc>
      </w:tr>
      <w:tr>
        <w:trPr>
          <w:trHeight w:val="207"/>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(534.7)</w:t>
            </w:r>
          </w:p>
        </w:tc>
      </w:tr>
      <w:tr>
        <w:trPr>
          <w:trHeight w:val="198"/>
        </w:trPr>
        <w:tc>
          <w:tcPr>
            <w:tcW w:w="564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(2.3)</w:t>
            </w:r>
          </w:p>
        </w:tc>
      </w:tr>
      <w:tr>
        <w:trPr>
          <w:trHeight w:val="203"/>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(333.0)</w:t>
            </w:r>
          </w:p>
        </w:tc>
      </w:tr>
      <w:tr>
        <w:trPr>
          <w:trHeight w:val="200"/>
        </w:trPr>
        <w:tc>
          <w:tcPr>
            <w:tcW w:w="564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1,668.7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1,882.9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6,681.0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7,387.2</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2,207.3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2,458.7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9,581.7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10,499.1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568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 xml:space="preserve">U.S. GAAP R&amp;D </w:t>
            </w:r>
            <w:r>
              <w:rPr>
                <w:rFonts w:ascii="Arial" w:cs="Arial" w:eastAsia="Arial" w:hAnsi="Arial"/>
                <w:sz w:val="18"/>
                <w:szCs w:val="18"/>
                <w:b w:val="1"/>
                <w:bCs w:val="1"/>
                <w:color w:val="auto"/>
                <w:vertAlign w:val="superscript"/>
              </w:rPr>
              <w:t>(b)</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182.4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662.2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681.0</w:t>
            </w:r>
          </w:p>
        </w:tc>
      </w:tr>
      <w:tr>
        <w:trPr>
          <w:trHeight w:val="198"/>
        </w:trPr>
        <w:tc>
          <w:tcPr>
            <w:tcW w:w="5680" w:type="dxa"/>
            <w:vAlign w:val="bottom"/>
          </w:tcPr>
          <w:p>
            <w:pPr>
              <w:ind w:left="20"/>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 related costs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w:t>
            </w:r>
          </w:p>
        </w:tc>
      </w:tr>
      <w:tr>
        <w:trPr>
          <w:trHeight w:val="198"/>
        </w:trPr>
        <w:tc>
          <w:tcPr>
            <w:tcW w:w="56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(13.3)</w:t>
            </w: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w:t>
            </w:r>
          </w:p>
        </w:tc>
      </w:tr>
      <w:tr>
        <w:trPr>
          <w:trHeight w:val="203"/>
        </w:trPr>
        <w:tc>
          <w:tcPr>
            <w:tcW w:w="56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(e)</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3"/>
        </w:trPr>
        <w:tc>
          <w:tcPr>
            <w:tcW w:w="5680" w:type="dxa"/>
            <w:vAlign w:val="bottom"/>
            <w:shd w:val="clear" w:color="auto" w:fill="CCEEFF"/>
          </w:tcPr>
          <w:p>
            <w:pPr>
              <w:ind w:left="220"/>
              <w:spacing w:after="0" w:line="202" w:lineRule="exact"/>
              <w:rPr>
                <w:sz w:val="20"/>
                <w:szCs w:val="20"/>
                <w:color w:val="auto"/>
              </w:rPr>
            </w:pPr>
            <w:r>
              <w:rPr>
                <w:rFonts w:ascii="Arial" w:cs="Arial" w:eastAsia="Arial" w:hAnsi="Arial"/>
                <w:sz w:val="14"/>
                <w:szCs w:val="14"/>
                <w:color w:val="auto"/>
              </w:rPr>
              <w:t xml:space="preserve">Other special items </w:t>
            </w:r>
            <w:r>
              <w:rPr>
                <w:rFonts w:ascii="Arial" w:cs="Arial" w:eastAsia="Arial" w:hAnsi="Arial"/>
                <w:sz w:val="18"/>
                <w:szCs w:val="18"/>
                <w:color w:val="auto"/>
                <w:vertAlign w:val="superscript"/>
              </w:rPr>
              <w:t>(b)</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(13.1)</w:t>
            </w:r>
          </w:p>
        </w:tc>
      </w:tr>
      <w:tr>
        <w:trPr>
          <w:trHeight w:val="196"/>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169.5</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638.0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637.6</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 as % of total revenues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1,265.4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4,179.1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4,529.2</w:t>
            </w:r>
          </w:p>
        </w:tc>
      </w:tr>
      <w:tr>
        <w:trPr>
          <w:trHeight w:val="198"/>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 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(413.4)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(208.1)</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(351.5)</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(104.4)</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goodwill related to held for sale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198"/>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(49.5)</w:t>
            </w:r>
          </w:p>
        </w:tc>
      </w:tr>
      <w:tr>
        <w:trPr>
          <w:trHeight w:val="200"/>
        </w:trPr>
        <w:tc>
          <w:tcPr>
            <w:tcW w:w="5660" w:type="dxa"/>
            <w:vAlign w:val="bottom"/>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916.7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962.7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3,432.0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3,815.7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320" w:top="890" w:right="419" w:bottom="1440" w:gutter="0" w:footer="0" w:header="0"/>
        </w:sectPr>
      </w:pPr>
    </w:p>
    <w:bookmarkStart w:id="21" w:name="page22"/>
    <w:bookmarkEnd w:id="21"/>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1,475.4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4,882.1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5,609.5</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r>
      <w:tr>
        <w:trPr>
          <w:trHeight w:val="203"/>
        </w:trPr>
        <w:tc>
          <w:tcPr>
            <w:tcW w:w="59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R&amp;D adjustments </w:t>
            </w:r>
            <w:r>
              <w:rPr>
                <w:rFonts w:ascii="Arial" w:cs="Arial" w:eastAsia="Arial" w:hAnsi="Arial"/>
                <w:sz w:val="18"/>
                <w:szCs w:val="18"/>
                <w:color w:val="auto"/>
                <w:vertAlign w:val="superscript"/>
              </w:rPr>
              <w:t>(b)</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198"/>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(713.5)</w:t>
            </w:r>
          </w:p>
        </w:tc>
      </w:tr>
      <w:tr>
        <w:trPr>
          <w:trHeight w:val="200"/>
        </w:trPr>
        <w:tc>
          <w:tcPr>
            <w:tcW w:w="5980" w:type="dxa"/>
            <w:vAlign w:val="bottom"/>
          </w:tcPr>
          <w:p>
            <w:pPr>
              <w:ind w:left="20"/>
              <w:spacing w:after="0" w:line="200" w:lineRule="exact"/>
              <w:rPr>
                <w:sz w:val="20"/>
                <w:szCs w:val="20"/>
                <w:color w:val="auto"/>
              </w:rPr>
            </w:pPr>
            <w:r>
              <w:rPr>
                <w:rFonts w:ascii="Arial" w:cs="Arial" w:eastAsia="Arial" w:hAnsi="Arial"/>
                <w:sz w:val="14"/>
                <w:szCs w:val="14"/>
                <w:color w:val="auto"/>
              </w:rPr>
              <w:t xml:space="preserve">Adjusted total operating expenses </w:t>
            </w:r>
            <w:r>
              <w:rPr>
                <w:rFonts w:ascii="Arial" w:cs="Arial" w:eastAsia="Arial" w:hAnsi="Arial"/>
                <w:sz w:val="18"/>
                <w:szCs w:val="18"/>
                <w:color w:val="auto"/>
                <w:vertAlign w:val="superscript"/>
              </w:rPr>
              <w:t>(b)</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1,122.6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4,106.4</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4,523.4</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 (c)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1,084.7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5,475.3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5,975.7</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636.2</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related to clean energy investments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68.5</w:t>
            </w:r>
          </w:p>
        </w:tc>
      </w:tr>
      <w:tr>
        <w:trPr>
          <w:trHeight w:val="198"/>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2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interest expense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641.1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690.0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income, net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Biocon Biologics gain on divestiture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1,754.1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1,754.1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59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18"/>
                <w:szCs w:val="18"/>
                <w:color w:val="auto"/>
                <w:vertAlign w:val="superscript"/>
              </w:rPr>
              <w:t>(d)</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03"/>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 related costs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59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(e)</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items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color w:val="auto"/>
              </w:rPr>
              <w:t>Adjusted other income,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5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(loss) before income taxes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1,468.9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2,813.2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(664.4)</w:t>
            </w:r>
          </w:p>
        </w:tc>
      </w:tr>
      <w:tr>
        <w:trPr>
          <w:trHeight w:val="203"/>
        </w:trPr>
        <w:tc>
          <w:tcPr>
            <w:tcW w:w="5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Total pre-tax non-GAAP adjustments </w:t>
            </w:r>
            <w:r>
              <w:rPr>
                <w:rFonts w:ascii="Arial" w:cs="Arial" w:eastAsia="Arial" w:hAnsi="Arial"/>
                <w:sz w:val="18"/>
                <w:szCs w:val="18"/>
                <w:color w:val="auto"/>
                <w:vertAlign w:val="superscript"/>
              </w:rPr>
              <w:t>(b)</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(489.1)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1,309.7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2,040.2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6,009.8</w:t>
            </w:r>
          </w:p>
        </w:tc>
      </w:tr>
      <w:tr>
        <w:trPr>
          <w:trHeight w:val="221"/>
        </w:trPr>
        <w:tc>
          <w:tcPr>
            <w:tcW w:w="5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 xml:space="preserve">Adjusted earnings before income taxes </w:t>
            </w:r>
            <w:r>
              <w:rPr>
                <w:rFonts w:ascii="Arial" w:cs="Arial" w:eastAsia="Arial" w:hAnsi="Arial"/>
                <w:sz w:val="18"/>
                <w:szCs w:val="18"/>
                <w:color w:val="auto"/>
                <w:vertAlign w:val="superscript"/>
              </w:rPr>
              <w:t>(b)</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979.8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1,105.8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4,853.4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5,345.4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457.7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734.6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604.7</w:t>
            </w:r>
          </w:p>
        </w:tc>
      </w:tr>
      <w:tr>
        <w:trPr>
          <w:trHeight w:val="203"/>
        </w:trPr>
        <w:tc>
          <w:tcPr>
            <w:tcW w:w="5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Adjusted tax (benefit) expense </w:t>
            </w:r>
            <w:r>
              <w:rPr>
                <w:rFonts w:ascii="Arial" w:cs="Arial" w:eastAsia="Arial" w:hAnsi="Arial"/>
                <w:sz w:val="18"/>
                <w:szCs w:val="18"/>
                <w:color w:val="auto"/>
                <w:vertAlign w:val="superscript"/>
              </w:rPr>
              <w:t>(b)</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(301.0)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330.7</w:t>
            </w:r>
          </w:p>
        </w:tc>
      </w:tr>
      <w:tr>
        <w:trPr>
          <w:trHeight w:val="221"/>
        </w:trPr>
        <w:tc>
          <w:tcPr>
            <w:tcW w:w="5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 xml:space="preserve">Adjusted income tax provision </w:t>
            </w:r>
            <w:r>
              <w:rPr>
                <w:rFonts w:ascii="Arial" w:cs="Arial" w:eastAsia="Arial" w:hAnsi="Arial"/>
                <w:sz w:val="18"/>
                <w:szCs w:val="18"/>
                <w:color w:val="auto"/>
                <w:vertAlign w:val="superscript"/>
              </w:rPr>
              <w:t>(b)</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156.7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193.5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776.3</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935.4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2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40" w:lineRule="exact"/>
        <w:rPr>
          <w:sz w:val="20"/>
          <w:szCs w:val="20"/>
          <w:color w:val="auto"/>
        </w:rPr>
      </w:pPr>
    </w:p>
    <w:p>
      <w:pPr>
        <w:jc w:val="both"/>
        <w:ind w:left="660" w:hanging="328"/>
        <w:spacing w:after="0" w:line="283" w:lineRule="auto"/>
        <w:tabs>
          <w:tab w:leader="none" w:pos="653" w:val="left"/>
        </w:tabs>
        <w:numPr>
          <w:ilvl w:val="0"/>
          <w:numId w:val="14"/>
        </w:numPr>
        <w:rPr>
          <w:rFonts w:ascii="Arial" w:cs="Arial" w:eastAsia="Arial" w:hAnsi="Arial"/>
          <w:sz w:val="9"/>
          <w:szCs w:val="9"/>
          <w:color w:val="auto"/>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64" w:lineRule="exact"/>
        <w:rPr>
          <w:rFonts w:ascii="Arial" w:cs="Arial" w:eastAsia="Arial" w:hAnsi="Arial"/>
          <w:sz w:val="9"/>
          <w:szCs w:val="9"/>
          <w:color w:val="auto"/>
        </w:rPr>
      </w:pPr>
    </w:p>
    <w:p>
      <w:pPr>
        <w:ind w:left="660" w:hanging="328"/>
        <w:spacing w:after="0" w:line="231" w:lineRule="auto"/>
        <w:tabs>
          <w:tab w:leader="none" w:pos="65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Refer to "Prior period presentation for acquired IPR&amp;D impact" under "Certain Key Terms and Presentation Matters" section in this release for more information on reclassifications from R&amp;D to acquired IPR&amp;D expenses and updates to the non-GAAP financial measures.</w:t>
      </w:r>
    </w:p>
    <w:p>
      <w:pPr>
        <w:spacing w:after="0" w:line="80" w:lineRule="exact"/>
        <w:rPr>
          <w:rFonts w:ascii="Arial" w:cs="Arial" w:eastAsia="Arial" w:hAnsi="Arial"/>
          <w:sz w:val="19"/>
          <w:szCs w:val="19"/>
          <w:color w:val="auto"/>
          <w:vertAlign w:val="superscript"/>
        </w:rPr>
      </w:pPr>
    </w:p>
    <w:p>
      <w:pPr>
        <w:ind w:left="660" w:right="20" w:hanging="328"/>
        <w:spacing w:after="0" w:line="305" w:lineRule="auto"/>
        <w:tabs>
          <w:tab w:leader="none" w:pos="647" w:val="left"/>
        </w:tabs>
        <w:numPr>
          <w:ilvl w:val="0"/>
          <w:numId w:val="14"/>
        </w:numPr>
        <w:rPr>
          <w:rFonts w:ascii="Arial" w:cs="Arial" w:eastAsia="Arial" w:hAnsi="Arial"/>
          <w:sz w:val="9"/>
          <w:szCs w:val="9"/>
          <w:color w:val="auto"/>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49" w:lineRule="exact"/>
        <w:rPr>
          <w:rFonts w:ascii="Arial" w:cs="Arial" w:eastAsia="Arial" w:hAnsi="Arial"/>
          <w:sz w:val="9"/>
          <w:szCs w:val="9"/>
          <w:color w:val="auto"/>
        </w:rPr>
      </w:pPr>
    </w:p>
    <w:p>
      <w:pPr>
        <w:ind w:left="660" w:hanging="328"/>
        <w:spacing w:after="0" w:line="231" w:lineRule="auto"/>
        <w:tabs>
          <w:tab w:leader="none" w:pos="65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exclusion of activity related to Viatris' clean energy investments, the activities of which qualify for income tax credits under section 45 of the U.S. Internal Revenue Code of 1986, as amended.</w:t>
      </w:r>
    </w:p>
    <w:p>
      <w:pPr>
        <w:ind w:left="640" w:hanging="308"/>
        <w:spacing w:after="0" w:line="228" w:lineRule="auto"/>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200" w:lineRule="exact"/>
        <w:rPr>
          <w:sz w:val="20"/>
          <w:szCs w:val="20"/>
          <w:color w:val="auto"/>
        </w:rPr>
      </w:pPr>
    </w:p>
    <w:p>
      <w:pPr>
        <w:spacing w:after="0" w:line="221" w:lineRule="exact"/>
        <w:rPr>
          <w:sz w:val="20"/>
          <w:szCs w:val="20"/>
          <w:color w:val="auto"/>
        </w:rPr>
      </w:pPr>
    </w:p>
    <w:p>
      <w:pPr>
        <w:ind w:left="5160" w:right="2600" w:hanging="5145"/>
        <w:spacing w:after="0" w:line="287" w:lineRule="auto"/>
        <w:rPr>
          <w:sz w:val="20"/>
          <w:szCs w:val="20"/>
          <w:color w:val="auto"/>
        </w:rPr>
      </w:pPr>
      <w:r>
        <w:rPr>
          <w:rFonts w:ascii="Arial" w:cs="Arial" w:eastAsia="Arial" w:hAnsi="Arial"/>
          <w:sz w:val="18"/>
          <w:szCs w:val="18"/>
          <w:b w:val="1"/>
          <w:bCs w:val="1"/>
          <w:color w:val="auto"/>
        </w:rPr>
        <w:t xml:space="preserve">Reconciliation of Estimated 2023 GAAP Net Cash Provided by Operating Activities to Free Cash Flow </w:t>
      </w:r>
      <w:r>
        <w:rPr>
          <w:rFonts w:ascii="Arial" w:cs="Arial" w:eastAsia="Arial" w:hAnsi="Arial"/>
          <w:sz w:val="18"/>
          <w:szCs w:val="18"/>
          <w:color w:val="auto"/>
        </w:rPr>
        <w:t>(Unaudited)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2023 GAAP Net Cash provided by Operating Activities to Free Cash Flow is presented below:</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40" w:type="dxa"/>
            <w:vAlign w:val="bottom"/>
          </w:tcPr>
          <w:p>
            <w:pPr>
              <w:spacing w:after="0"/>
              <w:rPr>
                <w:sz w:val="18"/>
                <w:szCs w:val="18"/>
                <w:color w:val="auto"/>
              </w:rPr>
            </w:pPr>
          </w:p>
        </w:tc>
        <w:tc>
          <w:tcPr>
            <w:tcW w:w="868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Estimated GAAP Net Cash provided by Operating Activities</w:t>
            </w:r>
            <w:r>
              <w:rPr>
                <w:rFonts w:ascii="Arial" w:cs="Arial" w:eastAsia="Arial" w:hAnsi="Arial"/>
                <w:sz w:val="21"/>
                <w:szCs w:val="21"/>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$3,100</w:t>
            </w:r>
          </w:p>
        </w:tc>
      </w:tr>
      <w:tr>
        <w:trPr>
          <w:trHeight w:val="216"/>
        </w:trPr>
        <w:tc>
          <w:tcPr>
            <w:tcW w:w="4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($500)</w:t>
            </w:r>
          </w:p>
        </w:tc>
      </w:tr>
      <w:tr>
        <w:trPr>
          <w:trHeight w:val="197"/>
        </w:trPr>
        <w:tc>
          <w:tcPr>
            <w:tcW w:w="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Free Cash Flow</w:t>
            </w:r>
            <w:r>
              <w:rPr>
                <w:rFonts w:ascii="Arial" w:cs="Arial" w:eastAsia="Arial" w:hAnsi="Arial"/>
                <w:sz w:val="21"/>
                <w:szCs w:val="21"/>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$2,700</w:t>
            </w:r>
          </w:p>
        </w:tc>
      </w:tr>
      <w:tr>
        <w:trPr>
          <w:trHeight w:val="311"/>
        </w:trPr>
        <w:tc>
          <w:tcPr>
            <w:tcW w:w="8720" w:type="dxa"/>
            <w:vAlign w:val="bottom"/>
            <w:gridSpan w:val="2"/>
          </w:tcPr>
          <w:p>
            <w:pPr>
              <w:jc w:val="right"/>
              <w:ind w:right="7641"/>
              <w:spacing w:after="0"/>
              <w:rPr>
                <w:sz w:val="20"/>
                <w:szCs w:val="20"/>
                <w:color w:val="auto"/>
              </w:rPr>
            </w:pPr>
            <w:r>
              <w:rPr>
                <w:rFonts w:ascii="Times New Roman" w:cs="Times New Roman" w:eastAsia="Times New Roman" w:hAnsi="Times New Roman"/>
                <w:sz w:val="18"/>
                <w:szCs w:val="18"/>
                <w:color w:val="auto"/>
                <w:w w:val="98"/>
              </w:rPr>
              <w:t>___________</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5" w:lineRule="exact"/>
        <w:rPr>
          <w:sz w:val="20"/>
          <w:szCs w:val="20"/>
          <w:color w:val="auto"/>
        </w:rPr>
      </w:pPr>
    </w:p>
    <w:p>
      <w:pPr>
        <w:ind w:left="660" w:right="100" w:hanging="328"/>
        <w:spacing w:after="0" w:line="222" w:lineRule="auto"/>
        <w:tabs>
          <w:tab w:leader="none" w:pos="65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full year expected performance for the planned divestitures and excludes any potential related costs, such as taxes and transaction costs. Also excludes any acquired IPR&amp;D for unsigned deals.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2023-02-27T06:42:10Z</dcterms:created>
  <dcterms:modified xsi:type="dcterms:W3CDTF">2023-02-27T06:42:10Z</dcterms:modified>
</cp:coreProperties>
</file>