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984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VIATRIS INC.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33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following communication was sent to certain shareholders of Viatris Inc. on November 14, 2022: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Hello,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advance of your discussion with our Executive Chairman and other Board of Directors, I thought it would be helpful that you and your other team members had a chance to read and share the road map and outlook laid out by Robert on November 7</w:t>
      </w:r>
      <w:r>
        <w:rPr>
          <w:rFonts w:ascii="Arial" w:cs="Arial" w:eastAsia="Arial" w:hAnsi="Arial"/>
          <w:sz w:val="26"/>
          <w:szCs w:val="26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>, 2022.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look forward to our upcoming discussion either in-person or virtually.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update has been extremely well received by the investment community, looking forward to hearing about your comments as well.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Thanks,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Bill Szablewski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Head of Capital Markets</w:t>
      </w:r>
    </w:p>
    <w:sectPr>
      <w:pgSz w:w="11900" w:h="16838" w:orient="portrait"/>
      <w:cols w:equalWidth="0" w:num="1">
        <w:col w:w="10700"/>
      </w:cols>
      <w:pgMar w:left="440" w:top="274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2022-11-14T20:32:07Z</dcterms:created>
  <dcterms:modified xsi:type="dcterms:W3CDTF">2022-11-14T20:32:07Z</dcterms:modified>
</cp:coreProperties>
</file>