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HIGGINS MELINA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11/16/2020</w:t>
      </w:r>
    </w:p>
    <w:p>
      <w:pPr>
        <w:spacing w:after="0" w:line="20" w:lineRule="exact"/>
        <w:rPr>
          <w:sz w:val="24"/>
          <w:szCs w:val="24"/>
          <w:color w:val="auto"/>
        </w:rPr>
      </w:pPr>
      <w:r>
        <w:rPr>
          <w:sz w:val="24"/>
          <w:szCs w:val="24"/>
          <w:color w:val="auto"/>
        </w:rPr>
        <w:br w:type="column"/>
      </w:r>
    </w:p>
    <w:p>
      <w:pPr>
        <w:ind w:left="-3" w:right="600" w:firstLine="3"/>
        <w:spacing w:after="0" w:line="263"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15317</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1442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442720"/>
                    </a:xfrm>
                    <a:prstGeom prst="rect">
                      <a:avLst/>
                    </a:prstGeom>
                    <a:noFill/>
                  </pic:spPr>
                </pic:pic>
              </a:graphicData>
            </a:graphic>
          </wp:anchor>
        </w:drawing>
      </w:r>
    </w:p>
    <w:p>
      <w:pPr>
        <w:spacing w:after="0" w:line="375"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11/16/2020</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99"/>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39,131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1"/>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39,131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80" w:type="dxa"/>
            <w:vAlign w:val="bottom"/>
          </w:tcPr>
          <w:p>
            <w:pPr>
              <w:spacing w:after="0"/>
              <w:rPr>
                <w:sz w:val="21"/>
                <w:szCs w:val="21"/>
                <w:color w:val="auto"/>
              </w:rPr>
            </w:pPr>
          </w:p>
        </w:tc>
        <w:tc>
          <w:tcPr>
            <w:tcW w:w="18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11/16/2020</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right"/>
              <w:ind w:right="299"/>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21"/>
                <w:szCs w:val="21"/>
                <w:color w:val="auto"/>
              </w:rPr>
            </w:pP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74,000</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1"/>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21"/>
                <w:szCs w:val="21"/>
                <w:color w:val="auto"/>
              </w:rPr>
            </w:pPr>
          </w:p>
        </w:tc>
        <w:tc>
          <w:tcPr>
            <w:tcW w:w="132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7"/>
                <w:szCs w:val="17"/>
                <w:color w:val="0000FF"/>
              </w:rPr>
              <w:t>74,000</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jc w:val="center"/>
              <w:ind w:right="2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6,623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31.63</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6,623</w:t>
            </w:r>
          </w:p>
        </w:tc>
        <w:tc>
          <w:tcPr>
            <w:tcW w:w="340" w:type="dxa"/>
            <w:vAlign w:val="bottom"/>
          </w:tcPr>
          <w:p>
            <w:pPr>
              <w:spacing w:after="0"/>
              <w:rPr>
                <w:sz w:val="6"/>
                <w:szCs w:val="6"/>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05/28/2023</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6,623</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2,974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45.72</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2,974</w:t>
            </w:r>
          </w:p>
        </w:tc>
        <w:tc>
          <w:tcPr>
            <w:tcW w:w="340" w:type="dxa"/>
            <w:vAlign w:val="bottom"/>
          </w:tcPr>
          <w:p>
            <w:pPr>
              <w:spacing w:after="0"/>
              <w:rPr>
                <w:sz w:val="6"/>
                <w:szCs w:val="6"/>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04/11/2024</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2,974</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1"/>
                <w:szCs w:val="11"/>
                <w:color w:val="008000"/>
              </w:rPr>
              <w:t>(3)</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2,603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50.66</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2,603</w:t>
            </w:r>
          </w:p>
        </w:tc>
        <w:tc>
          <w:tcPr>
            <w:tcW w:w="340" w:type="dxa"/>
            <w:vAlign w:val="bottom"/>
          </w:tcPr>
          <w:p>
            <w:pPr>
              <w:spacing w:after="0"/>
              <w:rPr>
                <w:sz w:val="6"/>
                <w:szCs w:val="6"/>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11/17/2025</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2,603</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2,788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46.27</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2,788</w:t>
            </w:r>
          </w:p>
        </w:tc>
        <w:tc>
          <w:tcPr>
            <w:tcW w:w="340" w:type="dxa"/>
            <w:vAlign w:val="bottom"/>
          </w:tcPr>
          <w:p>
            <w:pPr>
              <w:spacing w:after="0"/>
              <w:rPr>
                <w:sz w:val="6"/>
                <w:szCs w:val="6"/>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02/17/2026</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2,788</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2,928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45.18</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2,928</w:t>
            </w:r>
          </w:p>
        </w:tc>
        <w:tc>
          <w:tcPr>
            <w:tcW w:w="340" w:type="dxa"/>
            <w:vAlign w:val="bottom"/>
          </w:tcPr>
          <w:p>
            <w:pPr>
              <w:spacing w:after="0"/>
              <w:rPr>
                <w:sz w:val="6"/>
                <w:szCs w:val="6"/>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03/03/2027</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2,928</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2,984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40.97</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2,984</w:t>
            </w:r>
          </w:p>
        </w:tc>
        <w:tc>
          <w:tcPr>
            <w:tcW w:w="340" w:type="dxa"/>
            <w:vAlign w:val="bottom"/>
          </w:tcPr>
          <w:p>
            <w:pPr>
              <w:spacing w:after="0"/>
              <w:rPr>
                <w:sz w:val="6"/>
                <w:szCs w:val="6"/>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03/02/2028</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2,984</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-5903595</wp:posOffset>
            </wp:positionV>
            <wp:extent cx="7033260" cy="6307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6307455"/>
                    </a:xfrm>
                    <a:prstGeom prst="rect">
                      <a:avLst/>
                    </a:prstGeom>
                    <a:noFill/>
                  </pic:spPr>
                </pic:pic>
              </a:graphicData>
            </a:graphic>
          </wp:anchor>
        </w:drawing>
      </w:r>
    </w:p>
    <w:p>
      <w:pPr>
        <w:ind w:left="80"/>
        <w:spacing w:after="0" w:line="218"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294640</wp:posOffset>
            </wp:positionH>
            <wp:positionV relativeFrom="page">
              <wp:posOffset>88900</wp:posOffset>
            </wp:positionV>
            <wp:extent cx="7033260" cy="3578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3260" cy="3578225"/>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4,352</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27.45</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4,352</w:t>
            </w:r>
          </w:p>
        </w:tc>
        <w:tc>
          <w:tcPr>
            <w:tcW w:w="28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03/01/2029</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4,352</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1"/>
                <w:szCs w:val="11"/>
                <w:color w:val="008000"/>
              </w:rPr>
              <w:t>(3)</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6,151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17.48</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6,151</w:t>
            </w:r>
          </w:p>
        </w:tc>
        <w:tc>
          <w:tcPr>
            <w:tcW w:w="28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(11)</w:t>
            </w: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03/02/2030</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6,151</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9,440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9,440</w:t>
            </w:r>
          </w:p>
        </w:tc>
        <w:tc>
          <w:tcPr>
            <w:tcW w:w="28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9,440</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(12)</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jc w:val="both"/>
        <w:ind w:left="20" w:right="180" w:firstLine="3"/>
        <w:spacing w:after="0" w:line="265" w:lineRule="auto"/>
        <w:tabs>
          <w:tab w:leader="none" w:pos="15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16, 2020, Mylan N.V. ("Mylan") completed the transaction pursuant to which Mylan combined with Pfizer Inc.'s ("Pfizer") Upjohn business (the "Upjohn Business") in a Reverse Morris Trust transaction (the "Combination") and Upjohn Inc. ("Upjohn") became the parent entity of the combined Upjohn Business and Mylan business and was renamed "Viatris Inc." ("Viatris"). Pursuant to the terms of the Business Combination Agreement (as amended), dated July 29, 2019, by and among Mylan, Pfizer, Upjohn and certain other affiliated entities, Upjohn and Mylan effected the Combination through a series of transactions, including that each holder of Mylan ordinary shares received one share of Viatris common stock for each Mylan ordinary share held by such holder (subject to any required withholding tax).</w:t>
      </w:r>
    </w:p>
    <w:p>
      <w:pPr>
        <w:spacing w:after="0" w:line="13" w:lineRule="exact"/>
        <w:rPr>
          <w:rFonts w:ascii="Times New Roman" w:cs="Times New Roman" w:eastAsia="Times New Roman" w:hAnsi="Times New Roman"/>
          <w:sz w:val="12"/>
          <w:szCs w:val="12"/>
          <w:color w:val="008000"/>
        </w:rPr>
      </w:pPr>
    </w:p>
    <w:p>
      <w:pPr>
        <w:ind w:left="20" w:right="480" w:firstLine="3"/>
        <w:spacing w:after="0" w:line="258" w:lineRule="auto"/>
        <w:tabs>
          <w:tab w:leader="none" w:pos="15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Viatris common stock acquired in connection with the Combination on a one-for-one basis in exchange for ordinary shares of Mylan. On the effective date of the Combination, the closing price of a Mylan ordinary share was $15.85 per share.</w:t>
      </w:r>
    </w:p>
    <w:p>
      <w:pPr>
        <w:spacing w:after="0" w:line="16"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stock options to acquire Mylan ordinary shares in connection with the Combination.</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May 28, 2014.</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April 11, 2015.</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May 1, 2016.</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February 17, 2017.</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3, 2018.</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2, 2019.</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2, 2020.</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will vest on March 2, 2021.</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restricted stock units ("RSUs") of Mylan in connection with the Combination.</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The RSUs will vest on March 2, 2021.</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11/18/2020</w:t>
            </w:r>
          </w:p>
        </w:tc>
        <w:tc>
          <w:tcPr>
            <w:tcW w:w="0" w:type="dxa"/>
            <w:vAlign w:val="bottom"/>
          </w:tcPr>
          <w:p>
            <w:pPr>
              <w:spacing w:after="0"/>
              <w:rPr>
                <w:sz w:val="1"/>
                <w:szCs w:val="1"/>
                <w:color w:val="auto"/>
              </w:rPr>
            </w:pPr>
          </w:p>
        </w:tc>
      </w:tr>
      <w:tr>
        <w:trPr>
          <w:trHeight w:val="84"/>
        </w:trPr>
        <w:tc>
          <w:tcPr>
            <w:tcW w:w="1740" w:type="dxa"/>
            <w:vAlign w:val="bottom"/>
            <w:tcBorders>
              <w:top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power of attorney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74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520" w:firstLine="3"/>
        <w:spacing w:after="0" w:line="337" w:lineRule="auto"/>
        <w:tabs>
          <w:tab w:leader="none" w:pos="15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62304"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2020-11-18T18:53:02Z</dcterms:created>
  <dcterms:modified xsi:type="dcterms:W3CDTF">2020-11-18T18:53:02Z</dcterms:modified>
</cp:coreProperties>
</file>