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VIATRIS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sectPr>
      </w:pPr>
    </w:p>
    <w:p>
      <w:pPr>
        <w:spacing w:after="0" w:line="394"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001-39695</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31" w:lineRule="exact"/>
        <w:rPr>
          <w:sz w:val="24"/>
          <w:szCs w:val="24"/>
          <w:color w:val="auto"/>
        </w:rPr>
      </w:pPr>
    </w:p>
    <w:p>
      <w:pPr>
        <w:sectPr>
          <w:pgSz w:w="11900" w:h="16838" w:orient="portrait"/>
          <w:cols w:equalWidth="0" w:num="3">
            <w:col w:w="4500" w:space="720"/>
            <w:col w:w="2880" w:space="720"/>
            <w:col w:w="2200"/>
          </w:cols>
          <w:pgMar w:left="440" w:top="382"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0" w:space="720"/>
            <w:col w:w="2760" w:space="720"/>
            <w:col w:w="2340"/>
          </w:cols>
          <w:pgMar w:left="440" w:top="382"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1000 Mylan Boulevard, Canonsburg, Pennsylvania, 15317</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254635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 (b))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 (c))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VTRS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Stock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left="4" w:right="200" w:hanging="4"/>
        <w:spacing w:after="0" w:line="255"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December 9, 2022, Viatris Inc. (“Viatris” or the “Company”) held its annual meeting of shareholders (the “2022 Annual Meeting”) to (i) elect four Class II directors, each to hold office until the 2023 annual meeting of shareholders; (ii) approve, on a non-binding advisory basis, the 2021 compensation of the named executive officers of the Company; (iii) ratify the selection of Deloitte &amp; Touche LLP as the Company’s independent registered public accounting firm for the fiscal year ending December 31, 2022; and (iv) vote on a shareholder proposal. With respect to each proposal below, any abstentions and broker non-votes were considered for purposes of establishing a quorum but were not considered to be votes cast and therefore had no effect on the vote on any such proposal.</w:t>
      </w:r>
    </w:p>
    <w:p>
      <w:pPr>
        <w:spacing w:after="0" w:line="219" w:lineRule="exact"/>
        <w:rPr>
          <w:sz w:val="20"/>
          <w:szCs w:val="20"/>
          <w:color w:val="auto"/>
        </w:rPr>
      </w:pPr>
    </w:p>
    <w:p>
      <w:pPr>
        <w:ind w:left="4"/>
        <w:spacing w:after="0"/>
        <w:rPr>
          <w:sz w:val="20"/>
          <w:szCs w:val="20"/>
          <w:color w:val="auto"/>
        </w:rPr>
      </w:pPr>
      <w:r>
        <w:rPr>
          <w:rFonts w:ascii="Arial" w:cs="Arial" w:eastAsia="Arial" w:hAnsi="Arial"/>
          <w:sz w:val="18"/>
          <w:szCs w:val="18"/>
          <w:color w:val="auto"/>
        </w:rPr>
        <w:t>(b)The certified results of the matters voted on at the 2022 Annual Meeting are set forth below.</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Proposal No. 1 - Election of the following four Class II directors, each to hold office until the 2023 annual meeting of shareholders:</w:t>
      </w:r>
    </w:p>
    <w:p>
      <w:pPr>
        <w:spacing w:after="0" w:line="244" w:lineRule="exact"/>
        <w:rPr>
          <w:sz w:val="20"/>
          <w:szCs w:val="20"/>
          <w:color w:val="auto"/>
        </w:rPr>
      </w:pPr>
    </w:p>
    <w:tbl>
      <w:tblPr>
        <w:tblLayout w:type="fixed"/>
        <w:tblInd w:w="444" w:type="dxa"/>
        <w:tblCellMar>
          <w:top w:w="0" w:type="dxa"/>
          <w:left w:w="0" w:type="dxa"/>
          <w:bottom w:w="0" w:type="dxa"/>
          <w:right w:w="0" w:type="dxa"/>
        </w:tblCellMar>
      </w:tblPr>
      <w:tr>
        <w:trPr>
          <w:trHeight w:val="191"/>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Nominee</w:t>
            </w:r>
          </w:p>
        </w:tc>
        <w:tc>
          <w:tcPr>
            <w:tcW w:w="5040" w:type="dxa"/>
            <w:vAlign w:val="bottom"/>
          </w:tcPr>
          <w:p>
            <w:pPr>
              <w:spacing w:after="0"/>
              <w:rPr>
                <w:sz w:val="16"/>
                <w:szCs w:val="16"/>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For</w:t>
            </w: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Against</w:t>
            </w: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Abstain</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2"/>
              </w:rPr>
              <w:t>Broker Non-Votes</w:t>
            </w:r>
          </w:p>
        </w:tc>
      </w:tr>
      <w:tr>
        <w:trPr>
          <w:trHeight w:val="203"/>
        </w:trPr>
        <w:tc>
          <w:tcPr>
            <w:tcW w:w="5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 Don Cornwell</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830,712,236</w:t>
            </w:r>
          </w:p>
        </w:tc>
        <w:tc>
          <w:tcPr>
            <w:tcW w:w="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12,537,152</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1,360,557</w:t>
            </w:r>
          </w:p>
        </w:tc>
        <w:tc>
          <w:tcPr>
            <w:tcW w:w="1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154,375,396</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Harry A. Korman</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739,053,362</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101,674,978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3,881,604</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154,375,397</w:t>
            </w: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Rajiv Malik</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795,235,812</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48,085,750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1,288,389</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154,375,391</w:t>
            </w: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Richard A. Mark, C.P.A.</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802,917,647</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40,404,867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1,287,429</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154,375,399</w:t>
            </w:r>
          </w:p>
        </w:tc>
      </w:tr>
    </w:tbl>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Each Class II director was elected to hold office until the 2023 annual meeting of shareholders.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Proposal No. 2 – Approval, on a non-binding advisory basis, of the 2021 compensation of the named executive officers of the Company:</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2780" w:type="dxa"/>
            <w:vAlign w:val="bottom"/>
            <w:gridSpan w:val="2"/>
          </w:tcPr>
          <w:p>
            <w:pPr>
              <w:ind w:left="1200"/>
              <w:spacing w:after="0"/>
              <w:rPr>
                <w:sz w:val="20"/>
                <w:szCs w:val="20"/>
                <w:color w:val="auto"/>
              </w:rPr>
            </w:pPr>
            <w:r>
              <w:rPr>
                <w:rFonts w:ascii="Arial" w:cs="Arial" w:eastAsia="Arial" w:hAnsi="Arial"/>
                <w:sz w:val="14"/>
                <w:szCs w:val="14"/>
                <w:b w:val="1"/>
                <w:bCs w:val="1"/>
                <w:color w:val="auto"/>
              </w:rPr>
              <w:t>For</w:t>
            </w:r>
          </w:p>
        </w:tc>
        <w:tc>
          <w:tcPr>
            <w:tcW w:w="2740" w:type="dxa"/>
            <w:vAlign w:val="bottom"/>
            <w:gridSpan w:val="2"/>
          </w:tcPr>
          <w:p>
            <w:pPr>
              <w:ind w:left="1080"/>
              <w:spacing w:after="0"/>
              <w:rPr>
                <w:sz w:val="20"/>
                <w:szCs w:val="20"/>
                <w:color w:val="auto"/>
              </w:rPr>
            </w:pPr>
            <w:r>
              <w:rPr>
                <w:rFonts w:ascii="Arial" w:cs="Arial" w:eastAsia="Arial" w:hAnsi="Arial"/>
                <w:sz w:val="14"/>
                <w:szCs w:val="14"/>
                <w:b w:val="1"/>
                <w:bCs w:val="1"/>
                <w:color w:val="auto"/>
              </w:rPr>
              <w:t>Against</w:t>
            </w:r>
          </w:p>
        </w:tc>
        <w:tc>
          <w:tcPr>
            <w:tcW w:w="2860" w:type="dxa"/>
            <w:vAlign w:val="bottom"/>
            <w:gridSpan w:val="2"/>
          </w:tcPr>
          <w:p>
            <w:pPr>
              <w:ind w:left="1140"/>
              <w:spacing w:after="0"/>
              <w:rPr>
                <w:sz w:val="20"/>
                <w:szCs w:val="20"/>
                <w:color w:val="auto"/>
              </w:rPr>
            </w:pPr>
            <w:r>
              <w:rPr>
                <w:rFonts w:ascii="Arial" w:cs="Arial" w:eastAsia="Arial" w:hAnsi="Arial"/>
                <w:sz w:val="14"/>
                <w:szCs w:val="14"/>
                <w:b w:val="1"/>
                <w:bCs w:val="1"/>
                <w:color w:val="auto"/>
              </w:rPr>
              <w:t>Abstain</w:t>
            </w:r>
          </w:p>
        </w:tc>
        <w:tc>
          <w:tcPr>
            <w:tcW w:w="2640" w:type="dxa"/>
            <w:vAlign w:val="bottom"/>
          </w:tcPr>
          <w:p>
            <w:pPr>
              <w:jc w:val="right"/>
              <w:ind w:right="699"/>
              <w:spacing w:after="0"/>
              <w:rPr>
                <w:sz w:val="20"/>
                <w:szCs w:val="20"/>
                <w:color w:val="auto"/>
              </w:rPr>
            </w:pPr>
            <w:r>
              <w:rPr>
                <w:rFonts w:ascii="Arial" w:cs="Arial" w:eastAsia="Arial" w:hAnsi="Arial"/>
                <w:sz w:val="14"/>
                <w:szCs w:val="14"/>
                <w:b w:val="1"/>
                <w:bCs w:val="1"/>
                <w:color w:val="auto"/>
              </w:rPr>
              <w:t>Broker Non-Votes</w:t>
            </w:r>
          </w:p>
        </w:tc>
      </w:tr>
      <w:tr>
        <w:trPr>
          <w:trHeight w:val="209"/>
        </w:trPr>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763,132,088</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78,356,451</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3,121,393</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154,375,410</w:t>
            </w:r>
          </w:p>
        </w:tc>
      </w:tr>
      <w:tr>
        <w:trPr>
          <w:trHeight w:val="432"/>
        </w:trPr>
        <w:tc>
          <w:tcPr>
            <w:tcW w:w="2780" w:type="dxa"/>
            <w:vAlign w:val="bottom"/>
            <w:gridSpan w:val="2"/>
          </w:tcPr>
          <w:p>
            <w:pPr>
              <w:spacing w:after="0"/>
              <w:rPr>
                <w:sz w:val="20"/>
                <w:szCs w:val="20"/>
                <w:color w:val="auto"/>
              </w:rPr>
            </w:pPr>
            <w:r>
              <w:rPr>
                <w:rFonts w:ascii="Arial" w:cs="Arial" w:eastAsia="Arial" w:hAnsi="Arial"/>
                <w:sz w:val="18"/>
                <w:szCs w:val="18"/>
                <w:color w:val="auto"/>
              </w:rPr>
              <w:t>This proposal was approved.</w:t>
            </w: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pacing w:after="0" w:line="202"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Proposal No. 3 – Ratification of the selection of Deloitte &amp; Touche LLP as the Company’s independent registered public accounting firm for the fiscal year ending December 31, 2022:</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2780" w:type="dxa"/>
            <w:vAlign w:val="bottom"/>
            <w:gridSpan w:val="2"/>
          </w:tcPr>
          <w:p>
            <w:pPr>
              <w:ind w:left="1200"/>
              <w:spacing w:after="0"/>
              <w:rPr>
                <w:sz w:val="20"/>
                <w:szCs w:val="20"/>
                <w:color w:val="auto"/>
              </w:rPr>
            </w:pPr>
            <w:r>
              <w:rPr>
                <w:rFonts w:ascii="Arial" w:cs="Arial" w:eastAsia="Arial" w:hAnsi="Arial"/>
                <w:sz w:val="14"/>
                <w:szCs w:val="14"/>
                <w:b w:val="1"/>
                <w:bCs w:val="1"/>
                <w:color w:val="auto"/>
              </w:rPr>
              <w:t>For</w:t>
            </w:r>
          </w:p>
        </w:tc>
        <w:tc>
          <w:tcPr>
            <w:tcW w:w="2740" w:type="dxa"/>
            <w:vAlign w:val="bottom"/>
            <w:gridSpan w:val="2"/>
          </w:tcPr>
          <w:p>
            <w:pPr>
              <w:ind w:left="1080"/>
              <w:spacing w:after="0"/>
              <w:rPr>
                <w:sz w:val="20"/>
                <w:szCs w:val="20"/>
                <w:color w:val="auto"/>
              </w:rPr>
            </w:pPr>
            <w:r>
              <w:rPr>
                <w:rFonts w:ascii="Arial" w:cs="Arial" w:eastAsia="Arial" w:hAnsi="Arial"/>
                <w:sz w:val="14"/>
                <w:szCs w:val="14"/>
                <w:b w:val="1"/>
                <w:bCs w:val="1"/>
                <w:color w:val="auto"/>
              </w:rPr>
              <w:t>Against</w:t>
            </w:r>
          </w:p>
        </w:tc>
        <w:tc>
          <w:tcPr>
            <w:tcW w:w="2860" w:type="dxa"/>
            <w:vAlign w:val="bottom"/>
            <w:gridSpan w:val="2"/>
          </w:tcPr>
          <w:p>
            <w:pPr>
              <w:ind w:left="1140"/>
              <w:spacing w:after="0"/>
              <w:rPr>
                <w:sz w:val="20"/>
                <w:szCs w:val="20"/>
                <w:color w:val="auto"/>
              </w:rPr>
            </w:pPr>
            <w:r>
              <w:rPr>
                <w:rFonts w:ascii="Arial" w:cs="Arial" w:eastAsia="Arial" w:hAnsi="Arial"/>
                <w:sz w:val="14"/>
                <w:szCs w:val="14"/>
                <w:b w:val="1"/>
                <w:bCs w:val="1"/>
                <w:color w:val="auto"/>
              </w:rPr>
              <w:t>Abstain</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942,960,216</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54,046,575</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1,978,551</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432"/>
        </w:trPr>
        <w:tc>
          <w:tcPr>
            <w:tcW w:w="2780" w:type="dxa"/>
            <w:vAlign w:val="bottom"/>
            <w:gridSpan w:val="2"/>
          </w:tcPr>
          <w:p>
            <w:pPr>
              <w:spacing w:after="0"/>
              <w:rPr>
                <w:sz w:val="20"/>
                <w:szCs w:val="20"/>
                <w:color w:val="auto"/>
              </w:rPr>
            </w:pPr>
            <w:r>
              <w:rPr>
                <w:rFonts w:ascii="Arial" w:cs="Arial" w:eastAsia="Arial" w:hAnsi="Arial"/>
                <w:sz w:val="18"/>
                <w:szCs w:val="18"/>
                <w:color w:val="auto"/>
              </w:rPr>
              <w:t>This proposal was approved.</w:t>
            </w: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Proposal No. 4 – A shareholder proposal regarding independent board chairman:</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3540" w:type="dxa"/>
            <w:vAlign w:val="bottom"/>
            <w:gridSpan w:val="3"/>
          </w:tcPr>
          <w:p>
            <w:pPr>
              <w:ind w:left="1200"/>
              <w:spacing w:after="0"/>
              <w:rPr>
                <w:sz w:val="20"/>
                <w:szCs w:val="20"/>
                <w:color w:val="auto"/>
              </w:rPr>
            </w:pPr>
            <w:r>
              <w:rPr>
                <w:rFonts w:ascii="Arial" w:cs="Arial" w:eastAsia="Arial" w:hAnsi="Arial"/>
                <w:sz w:val="14"/>
                <w:szCs w:val="14"/>
                <w:b w:val="1"/>
                <w:bCs w:val="1"/>
                <w:color w:val="auto"/>
              </w:rPr>
              <w:t>For</w:t>
            </w:r>
          </w:p>
        </w:tc>
        <w:tc>
          <w:tcPr>
            <w:tcW w:w="1980" w:type="dxa"/>
            <w:vAlign w:val="bottom"/>
            <w:gridSpan w:val="2"/>
          </w:tcPr>
          <w:p>
            <w:pPr>
              <w:ind w:left="320"/>
              <w:spacing w:after="0"/>
              <w:rPr>
                <w:sz w:val="20"/>
                <w:szCs w:val="20"/>
                <w:color w:val="auto"/>
              </w:rPr>
            </w:pPr>
            <w:r>
              <w:rPr>
                <w:rFonts w:ascii="Arial" w:cs="Arial" w:eastAsia="Arial" w:hAnsi="Arial"/>
                <w:sz w:val="14"/>
                <w:szCs w:val="14"/>
                <w:b w:val="1"/>
                <w:bCs w:val="1"/>
                <w:color w:val="auto"/>
              </w:rPr>
              <w:t>Against</w:t>
            </w:r>
          </w:p>
        </w:tc>
        <w:tc>
          <w:tcPr>
            <w:tcW w:w="2860" w:type="dxa"/>
            <w:vAlign w:val="bottom"/>
            <w:gridSpan w:val="2"/>
          </w:tcPr>
          <w:p>
            <w:pPr>
              <w:ind w:left="1140"/>
              <w:spacing w:after="0"/>
              <w:rPr>
                <w:sz w:val="20"/>
                <w:szCs w:val="20"/>
                <w:color w:val="auto"/>
              </w:rPr>
            </w:pPr>
            <w:r>
              <w:rPr>
                <w:rFonts w:ascii="Arial" w:cs="Arial" w:eastAsia="Arial" w:hAnsi="Arial"/>
                <w:sz w:val="14"/>
                <w:szCs w:val="14"/>
                <w:b w:val="1"/>
                <w:bCs w:val="1"/>
                <w:color w:val="auto"/>
              </w:rPr>
              <w:t>Abstain</w:t>
            </w:r>
          </w:p>
        </w:tc>
        <w:tc>
          <w:tcPr>
            <w:tcW w:w="2640" w:type="dxa"/>
            <w:vAlign w:val="bottom"/>
          </w:tcPr>
          <w:p>
            <w:pPr>
              <w:jc w:val="right"/>
              <w:ind w:right="699"/>
              <w:spacing w:after="0"/>
              <w:rPr>
                <w:sz w:val="20"/>
                <w:szCs w:val="20"/>
                <w:color w:val="auto"/>
              </w:rPr>
            </w:pPr>
            <w:r>
              <w:rPr>
                <w:rFonts w:ascii="Arial" w:cs="Arial" w:eastAsia="Arial" w:hAnsi="Arial"/>
                <w:sz w:val="14"/>
                <w:szCs w:val="14"/>
                <w:b w:val="1"/>
                <w:bCs w:val="1"/>
                <w:color w:val="auto"/>
              </w:rPr>
              <w:t>Broker Non-Votes</w:t>
            </w:r>
          </w:p>
        </w:tc>
      </w:tr>
      <w:tr>
        <w:trPr>
          <w:trHeight w:val="209"/>
        </w:trPr>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386,308,608</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454,640,169</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3,660,905</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154,375,659</w:t>
            </w:r>
          </w:p>
        </w:tc>
      </w:tr>
      <w:tr>
        <w:trPr>
          <w:trHeight w:val="432"/>
        </w:trPr>
        <w:tc>
          <w:tcPr>
            <w:tcW w:w="3540" w:type="dxa"/>
            <w:vAlign w:val="bottom"/>
            <w:gridSpan w:val="3"/>
          </w:tcPr>
          <w:p>
            <w:pPr>
              <w:spacing w:after="0"/>
              <w:rPr>
                <w:sz w:val="20"/>
                <w:szCs w:val="20"/>
                <w:color w:val="auto"/>
              </w:rPr>
            </w:pPr>
            <w:r>
              <w:rPr>
                <w:rFonts w:ascii="Arial" w:cs="Arial" w:eastAsia="Arial" w:hAnsi="Arial"/>
                <w:sz w:val="18"/>
                <w:szCs w:val="18"/>
                <w:color w:val="auto"/>
                <w:w w:val="97"/>
              </w:rPr>
              <w:t>This shareholder proposal was not approved.</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ectPr>
          <w:pgSz w:w="11900" w:h="16838" w:orient="portrait"/>
          <w:cols w:equalWidth="0" w:num="1">
            <w:col w:w="11024"/>
          </w:cols>
          <w:pgMar w:left="436" w:top="297" w:right="43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VIATRIS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December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Sanjeev Narula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2022-12-09T15:53:54Z</dcterms:created>
  <dcterms:modified xsi:type="dcterms:W3CDTF">2022-12-09T15:53:54Z</dcterms:modified>
</cp:coreProperties>
</file>