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68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Lyons Dillon JoEllen</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60" w:right="340" w:hanging="244"/>
        <w:spacing w:after="0" w:line="182" w:lineRule="auto"/>
        <w:tabs>
          <w:tab w:leader="none" w:pos="36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6"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jc w:val="center"/>
              <w:ind w:left="839"/>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0000FF"/>
                <w:w w:val="99"/>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center"/>
              <w:ind w:left="5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77,829</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21"/>
              <w:spacing w:after="0" w:line="296" w:lineRule="exact"/>
              <w:rPr>
                <w:sz w:val="20"/>
                <w:szCs w:val="20"/>
                <w:color w:val="auto"/>
              </w:rPr>
            </w:pPr>
            <w:r>
              <w:rPr>
                <w:rFonts w:ascii="Times New Roman" w:cs="Times New Roman" w:eastAsia="Times New Roman" w:hAnsi="Times New Roman"/>
                <w:sz w:val="32"/>
                <w:szCs w:val="32"/>
                <w:color w:val="0000FF"/>
                <w:w w:val="82"/>
                <w:vertAlign w:val="subscript"/>
              </w:rPr>
              <w:t>885</w:t>
            </w:r>
            <w:r>
              <w:rPr>
                <w:rFonts w:ascii="Times New Roman" w:cs="Times New Roman" w:eastAsia="Times New Roman" w:hAnsi="Times New Roman"/>
                <w:sz w:val="10"/>
                <w:szCs w:val="10"/>
                <w:color w:val="008000"/>
                <w:w w:val="82"/>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78,714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(2)</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03/05/2024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S</w:t>
            </w:r>
          </w:p>
        </w:tc>
        <w:tc>
          <w:tcPr>
            <w:tcW w:w="70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6"/>
                <w:szCs w:val="16"/>
                <w:color w:val="0000FF"/>
                <w:w w:val="99"/>
              </w:rPr>
              <w:t>20,000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5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12.36</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58,714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18</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vMerge w:val="restart"/>
          </w:tcPr>
          <w:p>
            <w:pPr>
              <w:jc w:val="center"/>
              <w:ind w:left="24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jc w:val="center"/>
              <w:ind w:left="24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40" w:right="18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common stock were sold pursuant to a written plan intended to satisfy the affirmative defense conditions of Rule 10b5-1(c) of the Securities Exchange Act of 1934, as amended, that was adopted by the reporting person on November 28, 2023.</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016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2024-03-05T19:21:42Z</dcterms:created>
  <dcterms:modified xsi:type="dcterms:W3CDTF">2024-03-05T19:21:42Z</dcterms:modified>
</cp:coreProperties>
</file>