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1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Date of Report (Date of earliest event reported): May 9, 2022</w:t>
      </w:r>
    </w:p>
    <w:p>
      <w:pPr>
        <w:spacing w:after="0" w:line="1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220"/>
          </w:cols>
          <w:pgMar w:left="320" w:top="983" w:right="359" w:bottom="1440" w:gutter="0" w:footer="0" w:header="0"/>
        </w:sectPr>
      </w:pPr>
    </w:p>
    <w:p>
      <w:pPr>
        <w:spacing w:after="0" w:line="228"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16"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001-39695</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21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6" w:lineRule="exact"/>
        <w:rPr>
          <w:sz w:val="24"/>
          <w:szCs w:val="24"/>
          <w:color w:val="auto"/>
        </w:rPr>
      </w:pPr>
    </w:p>
    <w:p>
      <w:pPr>
        <w:sectPr>
          <w:pgSz w:w="11900" w:h="16838" w:orient="portrait"/>
          <w:cols w:equalWidth="0" w:num="3">
            <w:col w:w="4380" w:space="720"/>
            <w:col w:w="1800" w:space="720"/>
            <w:col w:w="3600"/>
          </w:cols>
          <w:pgMar w:left="320" w:top="983" w:right="359" w:bottom="1440" w:gutter="0" w:footer="0" w:header="0"/>
          <w:type w:val="continuous"/>
        </w:sectPr>
      </w:pP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(724) 514-1800</w:t>
      </w:r>
    </w:p>
    <w:p>
      <w:pPr>
        <w:spacing w:after="0" w:line="327" w:lineRule="exact"/>
        <w:rPr>
          <w:sz w:val="24"/>
          <w:szCs w:val="24"/>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103" w:lineRule="exact"/>
        <w:rPr>
          <w:rFonts w:ascii="MS PGothic" w:cs="MS PGothic" w:eastAsia="MS PGothic" w:hAnsi="MS PGothic"/>
          <w:sz w:val="18"/>
          <w:szCs w:val="18"/>
          <w:color w:val="auto"/>
        </w:rPr>
      </w:pPr>
    </w:p>
    <w:p>
      <w:pPr>
        <w:ind w:right="2460" w:firstLine="332"/>
        <w:spacing w:after="0" w:line="386"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6"/>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Title of each class</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Trading 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Name of each exchange on which registered</w:t>
            </w:r>
          </w:p>
        </w:tc>
      </w:tr>
      <w:tr>
        <w:trPr>
          <w:trHeight w:val="236"/>
        </w:trPr>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120" w:type="dxa"/>
            <w:vAlign w:val="bottom"/>
          </w:tcPr>
          <w:p>
            <w:pPr>
              <w:spacing w:after="0"/>
              <w:rPr>
                <w:sz w:val="20"/>
                <w:szCs w:val="20"/>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391" w:lineRule="exact"/>
        <w:rPr>
          <w:sz w:val="24"/>
          <w:szCs w:val="24"/>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9" w:lineRule="exact"/>
        <w:rPr>
          <w:sz w:val="24"/>
          <w:szCs w:val="24"/>
          <w:color w:val="auto"/>
        </w:rPr>
      </w:pPr>
    </w:p>
    <w:p>
      <w:pPr>
        <w:ind w:left="340"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May 9, 2022, Viatris Inc. (“Viatris” or the “Company”) issued a press release reporting the Company's financial results for the period ended March 31, 2022. A copy of the press release is attached hereto as Exhibit 99.1 and is incorporated herein by reference.</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previously announced, Viatris will host a conference call and live webcast today at 8:30 a.m. ET to review the Company's financial results for the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Exhibits.</w:t>
            </w:r>
          </w:p>
        </w:tc>
      </w:tr>
      <w:tr>
        <w:trPr>
          <w:trHeight w:val="441"/>
        </w:trPr>
        <w:tc>
          <w:tcPr>
            <w:tcW w:w="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0" w:type="dxa"/>
            <w:vAlign w:val="bottom"/>
          </w:tcPr>
          <w:p>
            <w:pPr>
              <w:spacing w:after="0"/>
              <w:rPr>
                <w:sz w:val="16"/>
                <w:szCs w:val="16"/>
                <w:color w:val="auto"/>
              </w:rPr>
            </w:pPr>
          </w:p>
        </w:tc>
        <w:tc>
          <w:tcPr>
            <w:tcW w:w="11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4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rPr>
              <w:t>Press release announcing the Company's financial results for the first quarter of 2022, dated May 9, 2022.</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1"/>
                <w:szCs w:val="21"/>
                <w:color w:val="auto"/>
              </w:rPr>
            </w:pP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7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39" w:lineRule="exact"/>
        <w:rPr>
          <w:sz w:val="20"/>
          <w:szCs w:val="20"/>
          <w:color w:val="auto"/>
        </w:rPr>
      </w:pPr>
    </w:p>
    <w:p>
      <w:pPr>
        <w:ind w:left="60"/>
        <w:spacing w:after="0"/>
        <w:tabs>
          <w:tab w:leader="none" w:pos="620" w:val="left"/>
          <w:tab w:leader="none" w:pos="6600" w:val="left"/>
          <w:tab w:leader="none" w:pos="7260" w:val="left"/>
        </w:tabs>
        <w:rPr>
          <w:sz w:val="20"/>
          <w:szCs w:val="20"/>
          <w:color w:val="auto"/>
        </w:rPr>
      </w:pPr>
      <w:r>
        <w:rPr>
          <w:rFonts w:ascii="Times New Roman" w:cs="Times New Roman" w:eastAsia="Times New Roman" w:hAnsi="Times New Roman"/>
          <w:sz w:val="18"/>
          <w:szCs w:val="18"/>
          <w:color w:val="auto"/>
        </w:rPr>
        <w:t>Date:</w:t>
        <w:tab/>
        <w:t>May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511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Sanjeev Narula</w:t>
      </w:r>
    </w:p>
    <w:p>
      <w:pPr>
        <w:ind w:left="72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20"/>
          </w:cols>
          <w:pgMar w:left="320" w:top="1211"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637030"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37030" cy="643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Reports Strong First-Quarter 2022 Results</w:t>
      </w:r>
    </w:p>
    <w:p>
      <w:pPr>
        <w:spacing w:after="0" w:line="214"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First-Quarter 2022 Results Reflect Strong Operational Start to the Year</w:t>
      </w:r>
    </w:p>
    <w:p>
      <w:pPr>
        <w:spacing w:after="0" w:line="63" w:lineRule="exact"/>
        <w:rPr>
          <w:rFonts w:ascii="Arial" w:cs="Arial" w:eastAsia="Arial" w:hAnsi="Arial"/>
          <w:sz w:val="18"/>
          <w:szCs w:val="18"/>
          <w:b w:val="1"/>
          <w:bCs w:val="1"/>
          <w:color w:val="auto"/>
        </w:rPr>
      </w:pPr>
    </w:p>
    <w:p>
      <w:pPr>
        <w:ind w:left="980" w:hanging="324"/>
        <w:spacing w:after="0"/>
        <w:tabs>
          <w:tab w:leader="none" w:pos="98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Total Revenues Were $4.19 billion</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U.S. GAAP Net Earnings Were $399.2 million</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was $1.59 billion</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U.S. GAAP Net Cash Provided by Operating Activities was $1.14 billion</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Free Cash Flow was $1.07 billion</w:t>
      </w:r>
    </w:p>
    <w:p>
      <w:pPr>
        <w:spacing w:after="0" w:line="252" w:lineRule="exact"/>
        <w:rPr>
          <w:rFonts w:ascii="Arial" w:cs="Arial" w:eastAsia="Arial" w:hAnsi="Arial"/>
          <w:sz w:val="18"/>
          <w:szCs w:val="18"/>
          <w:i w:val="1"/>
          <w:iCs w:val="1"/>
          <w:color w:val="auto"/>
        </w:rPr>
      </w:pPr>
    </w:p>
    <w:p>
      <w:pPr>
        <w:ind w:left="320" w:hanging="312"/>
        <w:spacing w:after="0"/>
        <w:tabs>
          <w:tab w:leader="none" w:pos="3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Achieves Approximately $120 million in New Product Revenue, on Track for 2022 Target of $600 million</w:t>
      </w:r>
    </w:p>
    <w:p>
      <w:pPr>
        <w:spacing w:after="0" w:line="225" w:lineRule="exact"/>
        <w:rPr>
          <w:rFonts w:ascii="Arial" w:cs="Arial" w:eastAsia="Arial" w:hAnsi="Arial"/>
          <w:sz w:val="18"/>
          <w:szCs w:val="18"/>
          <w:i w:val="1"/>
          <w:iCs w:val="1"/>
          <w:color w:val="auto"/>
        </w:rPr>
      </w:pPr>
    </w:p>
    <w:p>
      <w:pPr>
        <w:ind w:left="320" w:hanging="312"/>
        <w:spacing w:after="0"/>
        <w:tabs>
          <w:tab w:leader="none" w:pos="3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Confirms Biocon Biologics Transaction on Track for Second Half 2022 Close</w:t>
      </w:r>
    </w:p>
    <w:p>
      <w:pPr>
        <w:spacing w:after="0" w:line="225" w:lineRule="exact"/>
        <w:rPr>
          <w:rFonts w:ascii="Arial" w:cs="Arial" w:eastAsia="Arial" w:hAnsi="Arial"/>
          <w:sz w:val="18"/>
          <w:szCs w:val="18"/>
          <w:i w:val="1"/>
          <w:iCs w:val="1"/>
          <w:color w:val="auto"/>
        </w:rPr>
      </w:pPr>
    </w:p>
    <w:p>
      <w:pPr>
        <w:ind w:left="320" w:hanging="312"/>
        <w:spacing w:after="0"/>
        <w:tabs>
          <w:tab w:leader="none" w:pos="3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Announces Board of Directors Declares Quarterly Dividend of Twelve Cents ($0.12) per Share</w:t>
      </w:r>
    </w:p>
    <w:p>
      <w:pPr>
        <w:spacing w:after="0" w:line="225" w:lineRule="exact"/>
        <w:rPr>
          <w:rFonts w:ascii="Arial" w:cs="Arial" w:eastAsia="Arial" w:hAnsi="Arial"/>
          <w:sz w:val="18"/>
          <w:szCs w:val="18"/>
          <w:i w:val="1"/>
          <w:iCs w:val="1"/>
          <w:color w:val="auto"/>
        </w:rPr>
      </w:pPr>
    </w:p>
    <w:p>
      <w:pPr>
        <w:ind w:left="340" w:right="460" w:hanging="332"/>
        <w:spacing w:after="0" w:line="285" w:lineRule="auto"/>
        <w:tabs>
          <w:tab w:leader="none" w:pos="33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Pays Down Approximately $840 million of Debt, on Track for 2022 Target of Approximately $2 billion, and Maintains Commitment to Investment Grade Rating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PITTSBURGH</w:t>
      </w:r>
      <w:r>
        <w:rPr>
          <w:rFonts w:ascii="Arial" w:cs="Arial" w:eastAsia="Arial" w:hAnsi="Arial"/>
          <w:sz w:val="19"/>
          <w:szCs w:val="19"/>
          <w:color w:val="auto"/>
        </w:rPr>
        <w:t>–</w:t>
      </w:r>
      <w:r>
        <w:rPr>
          <w:rFonts w:ascii="Arial" w:cs="Arial" w:eastAsia="Arial" w:hAnsi="Arial"/>
          <w:sz w:val="18"/>
          <w:szCs w:val="18"/>
          <w:color w:val="auto"/>
        </w:rPr>
        <w:t xml:space="preserve"> May 9, 2022:Viatris Inc. (NASDAQ: VTRS), today reported strong results for the first quarter of 2022.</w:t>
      </w:r>
    </w:p>
    <w:p>
      <w:pPr>
        <w:spacing w:after="0" w:line="25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Viatris also announced that its Board of Directors declared a quarterly dividend of twelve cents ($0.12) for each issued and outstanding share of the company’s common stock. The dividend is payable on June 16, 2022, to shareholders of record at the close of business on May 24, 2022.</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Viatris CEO Michael Goettler said: “We are off to a good start for 2022 with strong first quarter results in line with our expectations across all key financial metrics. We are making good progress on our reshaping initiatives to unlock value, free up capital, and generate substantial cash flows to position the company as a high-value global business for the long term.”</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Viatris President Rajiv Malik said: “Our strong results this quarter reflect our focused business execution on all fronts. We delivered on key launches across our segments, positioning the company to be on track to achieve approximately $600 million in new product revenue for the year. Our transaction with Biocon Biologics is progressing, and we are well positioned to close in the second half of 2022.”</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Viatris CFO Sanjeev Narula said: “We demonstrated excellent progress this quarter and reported solid operational results, which included generating more than $ 1 billion in free cash flow, a record for Viatris. We also retired approximately $840 million of short-term debt and increased our quarterly dividend by 9 percent. This puts us firmly on track with our 2022 debt paydown target of approximately $2 billion which supports the investment grade rating we are committed to maintaining. We believe the momentum we see in the business positions us well for the remainder of 2022.”</w:t>
      </w:r>
    </w:p>
    <w:p>
      <w:pPr>
        <w:sectPr>
          <w:pgSz w:w="11900" w:h="16838" w:orient="portrait"/>
          <w:cols w:equalWidth="0" w:num="1">
            <w:col w:w="11220"/>
          </w:cols>
          <w:pgMar w:left="320" w:top="1440"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4C16AE"/>
        </w:rPr>
        <w:t>Financial Summary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5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per share amounts and %s)</w:t>
            </w:r>
          </w:p>
        </w:tc>
        <w:tc>
          <w:tcPr>
            <w:tcW w:w="260" w:type="dxa"/>
            <w:vAlign w:val="bottom"/>
          </w:tcPr>
          <w:p>
            <w:pPr>
              <w:spacing w:after="0"/>
              <w:rPr>
                <w:sz w:val="13"/>
                <w:szCs w:val="13"/>
                <w:color w:val="auto"/>
              </w:rPr>
            </w:pPr>
          </w:p>
        </w:tc>
        <w:tc>
          <w:tcPr>
            <w:tcW w:w="8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40"/>
              <w:spacing w:after="0" w:line="157" w:lineRule="exact"/>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89"/>
        </w:trPr>
        <w:tc>
          <w:tcPr>
            <w:tcW w:w="65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Sales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4,178.2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4,400.1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658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2,476.1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2,571.6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754.7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5"/>
        </w:trPr>
        <w:tc>
          <w:tcPr>
            <w:tcW w:w="6580" w:type="dxa"/>
            <w:vAlign w:val="bottom"/>
          </w:tcPr>
          <w:p>
            <w:pPr>
              <w:ind w:left="220"/>
              <w:spacing w:after="0"/>
              <w:rPr>
                <w:sz w:val="20"/>
                <w:szCs w:val="20"/>
                <w:color w:val="auto"/>
              </w:rPr>
            </w:pPr>
            <w:r>
              <w:rPr>
                <w:rFonts w:ascii="Arial" w:cs="Arial" w:eastAsia="Arial" w:hAnsi="Arial"/>
                <w:sz w:val="16"/>
                <w:szCs w:val="16"/>
                <w:color w:val="auto"/>
              </w:rPr>
              <w:t>JANZ</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423.8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481.9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40"/>
              <w:spacing w:after="0"/>
              <w:rPr>
                <w:sz w:val="20"/>
                <w:szCs w:val="20"/>
                <w:color w:val="auto"/>
              </w:rPr>
            </w:pPr>
            <w:r>
              <w:rPr>
                <w:rFonts w:ascii="Arial" w:cs="Arial" w:eastAsia="Arial" w:hAnsi="Arial"/>
                <w:sz w:val="16"/>
                <w:szCs w:val="16"/>
                <w:color w:val="auto"/>
                <w:w w:val="98"/>
              </w:rPr>
              <w:t>(12)%</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591.9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rPr>
              <w:t>(3)%</w:t>
            </w:r>
          </w:p>
        </w:tc>
        <w:tc>
          <w:tcPr>
            <w:tcW w:w="12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by Product Category</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220"/>
              <w:spacing w:after="0"/>
              <w:rPr>
                <w:sz w:val="20"/>
                <w:szCs w:val="20"/>
                <w:color w:val="auto"/>
              </w:rPr>
            </w:pPr>
            <w:r>
              <w:rPr>
                <w:rFonts w:ascii="Arial" w:cs="Arial" w:eastAsia="Arial" w:hAnsi="Arial"/>
                <w:sz w:val="16"/>
                <w:szCs w:val="16"/>
                <w:color w:val="auto"/>
              </w:rPr>
              <w:t>Brands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2,554.1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2,724.6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40"/>
              <w:spacing w:after="0"/>
              <w:rPr>
                <w:sz w:val="20"/>
                <w:szCs w:val="20"/>
                <w:color w:val="auto"/>
              </w:rPr>
            </w:pPr>
            <w:r>
              <w:rPr>
                <w:rFonts w:ascii="Arial" w:cs="Arial" w:eastAsia="Arial" w:hAnsi="Arial"/>
                <w:sz w:val="16"/>
                <w:szCs w:val="16"/>
                <w:color w:val="auto"/>
              </w:rPr>
              <w:t>(6)%</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Complex Gx and Biosimilars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328.9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60"/>
              <w:spacing w:after="0"/>
              <w:rPr>
                <w:sz w:val="20"/>
                <w:szCs w:val="20"/>
                <w:color w:val="auto"/>
              </w:rPr>
            </w:pPr>
            <w:r>
              <w:rPr>
                <w:rFonts w:ascii="Arial" w:cs="Arial" w:eastAsia="Arial" w:hAnsi="Arial"/>
                <w:sz w:val="16"/>
                <w:szCs w:val="16"/>
                <w:color w:val="auto"/>
                <w:w w:val="99"/>
              </w:rPr>
              <w:t>19%</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21%</w:t>
            </w:r>
          </w:p>
        </w:tc>
        <w:tc>
          <w:tcPr>
            <w:tcW w:w="0" w:type="dxa"/>
            <w:vAlign w:val="bottom"/>
          </w:tcPr>
          <w:p>
            <w:pPr>
              <w:spacing w:after="0"/>
              <w:rPr>
                <w:sz w:val="1"/>
                <w:szCs w:val="1"/>
                <w:color w:val="auto"/>
              </w:rPr>
            </w:pPr>
          </w:p>
        </w:tc>
      </w:tr>
      <w:tr>
        <w:trPr>
          <w:trHeight w:val="215"/>
        </w:trPr>
        <w:tc>
          <w:tcPr>
            <w:tcW w:w="6580" w:type="dxa"/>
            <w:vAlign w:val="bottom"/>
          </w:tcPr>
          <w:p>
            <w:pPr>
              <w:ind w:left="220"/>
              <w:spacing w:after="0"/>
              <w:rPr>
                <w:sz w:val="20"/>
                <w:szCs w:val="20"/>
                <w:color w:val="auto"/>
              </w:rPr>
            </w:pPr>
            <w:r>
              <w:rPr>
                <w:rFonts w:ascii="Arial" w:cs="Arial" w:eastAsia="Arial" w:hAnsi="Arial"/>
                <w:sz w:val="16"/>
                <w:szCs w:val="16"/>
                <w:color w:val="auto"/>
              </w:rPr>
              <w:t>Generics</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1,233.3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1,346.6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40"/>
              <w:spacing w:after="0"/>
              <w:rPr>
                <w:sz w:val="20"/>
                <w:szCs w:val="20"/>
                <w:color w:val="auto"/>
              </w:rPr>
            </w:pPr>
            <w:r>
              <w:rPr>
                <w:rFonts w:ascii="Arial" w:cs="Arial" w:eastAsia="Arial" w:hAnsi="Arial"/>
                <w:sz w:val="16"/>
                <w:szCs w:val="16"/>
                <w:color w:val="auto"/>
              </w:rPr>
              <w:t>(8)%</w:t>
            </w:r>
          </w:p>
        </w:tc>
        <w:tc>
          <w:tcPr>
            <w:tcW w:w="1220" w:type="dxa"/>
            <w:vAlign w:val="bottom"/>
            <w:gridSpan w:val="2"/>
          </w:tcPr>
          <w:p>
            <w:pPr>
              <w:jc w:val="center"/>
              <w:ind w:left="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U.S. GAAP Gross Profit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1,771.2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1,127.3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60"/>
              <w:spacing w:after="0"/>
              <w:rPr>
                <w:sz w:val="20"/>
                <w:szCs w:val="20"/>
                <w:color w:val="auto"/>
              </w:rPr>
            </w:pPr>
            <w:r>
              <w:rPr>
                <w:rFonts w:ascii="Arial" w:cs="Arial" w:eastAsia="Arial" w:hAnsi="Arial"/>
                <w:sz w:val="16"/>
                <w:szCs w:val="16"/>
                <w:color w:val="auto"/>
                <w:w w:val="99"/>
              </w:rPr>
              <w:t>57%</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Margin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2,493.4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2,639.9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40"/>
              <w:spacing w:after="0"/>
              <w:rPr>
                <w:sz w:val="20"/>
                <w:szCs w:val="20"/>
                <w:color w:val="auto"/>
              </w:rPr>
            </w:pPr>
            <w:r>
              <w:rPr>
                <w:rFonts w:ascii="Arial" w:cs="Arial" w:eastAsia="Arial" w:hAnsi="Arial"/>
                <w:sz w:val="16"/>
                <w:szCs w:val="16"/>
                <w:color w:val="auto"/>
              </w:rPr>
              <w:t>(6)%</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 (Loss)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(1,037.6)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w w:val="98"/>
              </w:rPr>
              <w:t>nm</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1,125.3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1,116.4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60"/>
              <w:spacing w:after="0"/>
              <w:rPr>
                <w:sz w:val="20"/>
                <w:szCs w:val="20"/>
                <w:color w:val="auto"/>
              </w:rPr>
            </w:pPr>
            <w:r>
              <w:rPr>
                <w:rFonts w:ascii="Arial" w:cs="Arial" w:eastAsia="Arial" w:hAnsi="Arial"/>
                <w:sz w:val="16"/>
                <w:szCs w:val="16"/>
                <w:color w:val="auto"/>
              </w:rPr>
              <w:t>1%</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1,409.6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1,168.1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60"/>
              <w:spacing w:after="0"/>
              <w:rPr>
                <w:sz w:val="20"/>
                <w:szCs w:val="20"/>
                <w:color w:val="auto"/>
              </w:rPr>
            </w:pPr>
            <w:r>
              <w:rPr>
                <w:rFonts w:ascii="Arial" w:cs="Arial" w:eastAsia="Arial" w:hAnsi="Arial"/>
                <w:sz w:val="16"/>
                <w:szCs w:val="16"/>
                <w:color w:val="auto"/>
                <w:w w:val="99"/>
              </w:rPr>
              <w:t>21%</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1,586.3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1,636.6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cash provided by operating activities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848.8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60"/>
              <w:spacing w:after="0"/>
              <w:rPr>
                <w:sz w:val="20"/>
                <w:szCs w:val="20"/>
                <w:color w:val="auto"/>
              </w:rPr>
            </w:pPr>
            <w:r>
              <w:rPr>
                <w:rFonts w:ascii="Arial" w:cs="Arial" w:eastAsia="Arial" w:hAnsi="Arial"/>
                <w:sz w:val="16"/>
                <w:szCs w:val="16"/>
                <w:color w:val="auto"/>
                <w:w w:val="99"/>
              </w:rPr>
              <w:t>34%</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expenditures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64.5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center"/>
              <w:ind w:right="60"/>
              <w:spacing w:after="0"/>
              <w:rPr>
                <w:sz w:val="20"/>
                <w:szCs w:val="20"/>
                <w:color w:val="auto"/>
              </w:rPr>
            </w:pPr>
            <w:r>
              <w:rPr>
                <w:rFonts w:ascii="Arial" w:cs="Arial" w:eastAsia="Arial" w:hAnsi="Arial"/>
                <w:sz w:val="16"/>
                <w:szCs w:val="16"/>
                <w:color w:val="auto"/>
                <w:w w:val="99"/>
              </w:rPr>
              <w:t>30%</w:t>
            </w:r>
          </w:p>
        </w:tc>
        <w:tc>
          <w:tcPr>
            <w:tcW w:w="1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1,074.0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799.3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60"/>
              <w:spacing w:after="0"/>
              <w:rPr>
                <w:sz w:val="20"/>
                <w:szCs w:val="20"/>
                <w:color w:val="auto"/>
              </w:rPr>
            </w:pPr>
            <w:r>
              <w:rPr>
                <w:rFonts w:ascii="Arial" w:cs="Arial" w:eastAsia="Arial" w:hAnsi="Arial"/>
                <w:sz w:val="16"/>
                <w:szCs w:val="16"/>
                <w:color w:val="auto"/>
                <w:w w:val="99"/>
              </w:rPr>
              <w:t>34%</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26" w:lineRule="exact"/>
        <w:rPr>
          <w:sz w:val="20"/>
          <w:szCs w:val="20"/>
          <w:color w:val="auto"/>
        </w:rPr>
      </w:pPr>
    </w:p>
    <w:p>
      <w:pPr>
        <w:ind w:left="660" w:hanging="328"/>
        <w:spacing w:after="0" w:line="272" w:lineRule="auto"/>
        <w:tabs>
          <w:tab w:leader="none" w:pos="593" w:val="left"/>
        </w:tabs>
        <w:numPr>
          <w:ilvl w:val="0"/>
          <w:numId w:val="3"/>
        </w:numPr>
        <w:rPr>
          <w:rFonts w:ascii="Arial" w:cs="Arial" w:eastAsia="Arial" w:hAnsi="Arial"/>
          <w:sz w:val="9"/>
          <w:szCs w:val="9"/>
          <w:color w:val="auto"/>
        </w:rPr>
      </w:pPr>
      <w:r>
        <w:rPr>
          <w:rFonts w:ascii="Arial" w:cs="Arial" w:eastAsia="Arial" w:hAnsi="Arial"/>
          <w:sz w:val="14"/>
          <w:szCs w:val="14"/>
          <w:color w:val="auto"/>
        </w:rPr>
        <w:t>Represents operational change for net sales and adjusted EBITDA which excludes the impacts of foreign currency translation. See “Certain Key Terms” in this release for more information.</w:t>
      </w:r>
    </w:p>
    <w:p>
      <w:pPr>
        <w:ind w:left="540" w:hanging="208"/>
        <w:spacing w:after="0" w:line="193" w:lineRule="auto"/>
        <w:tabs>
          <w:tab w:leader="none" w:pos="54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0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4C16AE"/>
        </w:rPr>
        <w:t>First Quarter Highlights</w:t>
      </w:r>
    </w:p>
    <w:p>
      <w:pPr>
        <w:spacing w:after="0" w:line="225" w:lineRule="exact"/>
        <w:rPr>
          <w:sz w:val="20"/>
          <w:szCs w:val="20"/>
          <w:color w:val="auto"/>
        </w:rPr>
      </w:pPr>
    </w:p>
    <w:p>
      <w:pPr>
        <w:jc w:val="both"/>
        <w:ind w:left="340" w:right="440" w:hanging="332"/>
        <w:spacing w:after="0" w:line="268"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First quarter 2022 total net sales totaled $4.2 billion, down 1% on an operational basis compared to Q1 2021 results, and performed better than expectations, driven by solid performance across our segments—Developed Markets, Emerging Markets, JANZ (Japan, Australia and New Zealand), and Greater China.</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Brands performed better than expectations, driven by products such as Lipitor®, Effexor® and Perforomist®.</w:t>
      </w:r>
    </w:p>
    <w:p>
      <w:pPr>
        <w:spacing w:after="0" w:line="225" w:lineRule="exact"/>
        <w:rPr>
          <w:rFonts w:ascii="Arial" w:cs="Arial" w:eastAsia="Arial" w:hAnsi="Arial"/>
          <w:sz w:val="18"/>
          <w:szCs w:val="18"/>
          <w:color w:val="auto"/>
        </w:rPr>
      </w:pPr>
    </w:p>
    <w:p>
      <w:pPr>
        <w:ind w:left="340" w:right="400" w:hanging="332"/>
        <w:spacing w:after="0" w:line="268"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Complex generics and biosimilars grew by 21% on an operational basis compared to Q1 2021 results, largely driven by our generic Restasis launch in February 2022, partially offset by competition in select complex generics products. Revenues from the biosimilars portfolio to be contributed to Biocon Biologics totaled approximately $169 million in the quarter.</w:t>
      </w:r>
    </w:p>
    <w:p>
      <w:pPr>
        <w:spacing w:after="0" w:line="170" w:lineRule="exact"/>
        <w:rPr>
          <w:rFonts w:ascii="Arial" w:cs="Arial" w:eastAsia="Arial" w:hAnsi="Arial"/>
          <w:sz w:val="18"/>
          <w:szCs w:val="18"/>
          <w:color w:val="auto"/>
        </w:rPr>
      </w:pPr>
    </w:p>
    <w:p>
      <w:pPr>
        <w:ind w:left="340" w:right="2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Generics, which include diversified product forms such as extended-release oral solids, injectables, transdermals and topicals, performed in line with expectations.</w:t>
      </w:r>
    </w:p>
    <w:p>
      <w:pPr>
        <w:spacing w:after="0" w:line="152" w:lineRule="exact"/>
        <w:rPr>
          <w:rFonts w:ascii="Arial" w:cs="Arial" w:eastAsia="Arial" w:hAnsi="Arial"/>
          <w:sz w:val="18"/>
          <w:szCs w:val="18"/>
          <w:color w:val="auto"/>
        </w:rPr>
      </w:pPr>
    </w:p>
    <w:p>
      <w:pPr>
        <w:ind w:left="340" w:right="100" w:hanging="332"/>
        <w:spacing w:after="0" w:line="268"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generated approximately $120 million in new product revenues (as defined in "Certain Key Terms" below) primarily driven by the launch of generic Restasis and interchangeable Semglee® in the U.S., and is on track to achieve approximately $600 million in new product revenues in 2022.</w:t>
      </w:r>
    </w:p>
    <w:p>
      <w:pPr>
        <w:spacing w:after="0" w:line="170" w:lineRule="exact"/>
        <w:rPr>
          <w:rFonts w:ascii="Arial" w:cs="Arial" w:eastAsia="Arial" w:hAnsi="Arial"/>
          <w:sz w:val="18"/>
          <w:szCs w:val="18"/>
          <w:color w:val="auto"/>
        </w:rPr>
      </w:pPr>
    </w:p>
    <w:p>
      <w:pPr>
        <w:ind w:left="340" w:right="18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generated $1.07 billion of free cash flow, primarily driven by solid U.S. GAAP net cash provided by operating activities of $1.14 billion and the timing of planned capital expenditures.</w:t>
      </w:r>
    </w:p>
    <w:p>
      <w:pPr>
        <w:spacing w:after="0" w:line="152" w:lineRule="exact"/>
        <w:rPr>
          <w:rFonts w:ascii="Arial" w:cs="Arial" w:eastAsia="Arial" w:hAnsi="Arial"/>
          <w:sz w:val="18"/>
          <w:szCs w:val="18"/>
          <w:color w:val="auto"/>
        </w:rPr>
      </w:pPr>
    </w:p>
    <w:p>
      <w:pPr>
        <w:ind w:left="340" w:right="100" w:hanging="332"/>
        <w:spacing w:after="0" w:line="262"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Viatris paid a quarterly cash dividend of twelve cents ($0.12) per share on the Company's issued and outstanding common stock on March 16, 2022. On May 5, 2022, the Company's Board of Directors declared a quarterly dividend of twelve cents ($0.12) per share on the Company’s issued and outstanding common stock, which will be payable on June 16, 2022 to shareholders of record as of the close of business on May 24, 2022.</w:t>
      </w:r>
    </w:p>
    <w:p>
      <w:pPr>
        <w:spacing w:after="0" w:line="176" w:lineRule="exact"/>
        <w:rPr>
          <w:rFonts w:ascii="Arial" w:cs="Arial" w:eastAsia="Arial" w:hAnsi="Arial"/>
          <w:sz w:val="18"/>
          <w:szCs w:val="18"/>
          <w:color w:val="auto"/>
        </w:rPr>
      </w:pPr>
    </w:p>
    <w:p>
      <w:pPr>
        <w:ind w:left="340" w:right="38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paid down approximately $840 million in short-term debt and is targeting approximately $2 billion in debt repayment in 2022. The Company remains fully committed to maintaining its investment grade credit rating.</w:t>
      </w:r>
    </w:p>
    <w:p>
      <w:pPr>
        <w:spacing w:after="0" w:line="152" w:lineRule="exact"/>
        <w:rPr>
          <w:rFonts w:ascii="Arial" w:cs="Arial" w:eastAsia="Arial" w:hAnsi="Arial"/>
          <w:sz w:val="18"/>
          <w:szCs w:val="18"/>
          <w:color w:val="auto"/>
        </w:rPr>
      </w:pPr>
    </w:p>
    <w:p>
      <w:pPr>
        <w:ind w:left="340" w:right="60" w:hanging="332"/>
        <w:spacing w:after="0" w:line="25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ongoing conflict between Russia and Ukraine did not have a material impact on our business during the first quarter of 2022 and combined total revenues for both countries were less than 1% of consolidated total revenues during the three months ended March 31, 2022. However, trade controls, sanctions, supply chain and staffing challenges and other economic considerations related to the conflict have impacted our operations in these markets and may negatively impact our financial results in future periods. In addition, a significant escalation or expansion of the conflict’s current scope may have a negative impact on our operations and financial results in future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2022 Financial Guidance</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is not providing forward-looking guidance for U.S. GAAP net earnings or a quantitative reconciliation of its 2022 adjusted EBITDA guidance to the most directly comparable U.S. GAAP measure, U.S. GAAP net earnings, because it is unable to predict with reasonable certainty the ultimate outcome of certain significant items, including integration and acquisition-related expenses, restructuring expenses, asset impairments, litigation settlements and other contingencies, such as changes to contingent consideration and certain other gains or losses,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guidance period. U.S. GAAP net cash provided by operating activities for 2022 is estimated to be between $3.2 billion and $3.4 billion.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billions)</w:t>
            </w:r>
          </w:p>
        </w:tc>
        <w:tc>
          <w:tcPr>
            <w:tcW w:w="198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Range</w:t>
            </w:r>
          </w:p>
        </w:tc>
      </w:tr>
      <w:tr>
        <w:trPr>
          <w:trHeight w:val="211"/>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$17.5</w:t>
            </w:r>
          </w:p>
        </w:tc>
      </w:tr>
      <w:tr>
        <w:trPr>
          <w:trHeight w:val="216"/>
        </w:trPr>
        <w:tc>
          <w:tcPr>
            <w:tcW w:w="92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6"/>
                <w:szCs w:val="16"/>
                <w:color w:val="auto"/>
              </w:rPr>
              <w:t>$5.8</w:t>
            </w:r>
          </w:p>
        </w:tc>
        <w:tc>
          <w:tcPr>
            <w:tcW w:w="1040" w:type="dxa"/>
            <w:vAlign w:val="bottom"/>
          </w:tcPr>
          <w:p>
            <w:pPr>
              <w:ind w:left="20"/>
              <w:spacing w:after="0"/>
              <w:rPr>
                <w:sz w:val="20"/>
                <w:szCs w:val="20"/>
                <w:color w:val="auto"/>
              </w:rPr>
            </w:pPr>
            <w:r>
              <w:rPr>
                <w:rFonts w:ascii="Arial" w:cs="Arial" w:eastAsia="Arial" w:hAnsi="Arial"/>
                <w:sz w:val="16"/>
                <w:szCs w:val="16"/>
                <w:color w:val="auto"/>
              </w:rPr>
              <w:t>- $6.2</w:t>
            </w:r>
          </w:p>
        </w:tc>
      </w:tr>
      <w:tr>
        <w:trPr>
          <w:trHeight w:val="216"/>
        </w:trPr>
        <w:tc>
          <w:tcPr>
            <w:tcW w:w="92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$2.9</w:t>
            </w:r>
          </w:p>
        </w:tc>
      </w:tr>
    </w:tbl>
    <w:p>
      <w:pPr>
        <w:spacing w:after="0" w:line="71" w:lineRule="exact"/>
        <w:rPr>
          <w:sz w:val="20"/>
          <w:szCs w:val="20"/>
          <w:color w:val="auto"/>
        </w:rPr>
      </w:pPr>
    </w:p>
    <w:p>
      <w:pPr>
        <w:ind w:left="540" w:hanging="208"/>
        <w:spacing w:after="0"/>
        <w:tabs>
          <w:tab w:leader="none" w:pos="54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ectPr>
          <w:pgSz w:w="11900" w:h="16838" w:orient="portrait"/>
          <w:cols w:equalWidth="0" w:num="1">
            <w:col w:w="11240"/>
          </w:cols>
          <w:pgMar w:left="320" w:top="11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106"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4C16AE"/>
        </w:rPr>
        <w:t>Conference Call and Earnings Materials</w:t>
      </w:r>
    </w:p>
    <w:p>
      <w:pPr>
        <w:spacing w:after="0" w:line="225"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Viatris Inc. will host a conference call and live webcast, today at 8:30 a.m. ET, to review the Company's financial results for the first quarter ended March 31, 2022. Investors and the general public are invited to listen to a live webcast of the call at investor.viatris.com or by calling 866.342.8591 or 203.518.9713 for international callers (ID#: VTRSQ122). The "Viatris Q1 Earnings Presentation", which will be referenced during the call, can be found at investor.viatris.com. A replay of the webcast also will be available on the website.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Certain Key Terms</w:t>
      </w:r>
    </w:p>
    <w:p>
      <w:pPr>
        <w:spacing w:after="0" w:line="22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u w:val="single" w:color="auto"/>
          <w:color w:val="auto"/>
        </w:rPr>
        <w:t>New product sales, new product launches or new product revenues</w:t>
      </w:r>
      <w:r>
        <w:rPr>
          <w:rFonts w:ascii="Arial" w:cs="Arial" w:eastAsia="Arial" w:hAnsi="Arial"/>
          <w:sz w:val="18"/>
          <w:szCs w:val="18"/>
          <w:color w:val="auto"/>
        </w:rPr>
        <w:t xml:space="preserve"> refer to revenue from new products launched in 2022 and the carryover impact of new products, including business development, launched within the last twelve months.</w:t>
      </w:r>
    </w:p>
    <w:p>
      <w:pPr>
        <w:spacing w:after="0" w:line="15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u w:val="single" w:color="auto"/>
          <w:color w:val="auto"/>
        </w:rPr>
        <w:t>Operational change</w:t>
      </w:r>
      <w:r>
        <w:rPr>
          <w:rFonts w:ascii="Arial" w:cs="Arial" w:eastAsia="Arial" w:hAnsi="Arial"/>
          <w:sz w:val="18"/>
          <w:szCs w:val="18"/>
          <w:color w:val="auto"/>
        </w:rPr>
        <w:t xml:space="preserve"> refers to constant currency percentage change and is derived by translating amounts for the current period at prior year comparative period exchange rates, and in doing so shows the percentage change from 2022 constant currency net sales, revenues and adjusted EBITDA to the corresponding amount in the prior year.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EBITDA, adjusted EBITDA, adjusted EBITDA margin, free cash flow, adjusted R&amp;D and as a % of total revenues, adjusted SG&amp;A and as a % of total revenues, adjusted earnings from operations, adjusted interest expense, adjusted other expense (income), net, adjusted effective tax rate, constant currency total revenues, constant currency net sales and constant currency adjusted EBITDA are presented in order to supplement investors' and other readers' understanding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assessment of the financial performance of Viatris Inc. ("Viatris" or the "Company"). Free cash flow refers to U.S. GAAP net cash provided by operating activities, less capital expenditures. Adjusted EBITDA margin refers to adjusted EBITDA divided by total revenues. Management</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uses these measures internally for forecasting, budgeting, measuring its operating performance, and incentive-based awards. Primarily due to acquisitions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w:t>
      </w:r>
    </w:p>
    <w:p>
      <w:pPr>
        <w:spacing w:after="0" w:line="8"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business performance and, is used, in part, for management's incentive compensation. We also report sales performance using the non-GAAP financial measures of "constant currency", also referred to herein as "operational change", total revenues, net sales and adjusted</w:t>
      </w:r>
    </w:p>
    <w:p>
      <w:pPr>
        <w:spacing w:after="0" w:line="2"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EBITDA. These measures provide information on the change in total revenues, net sales and adjusted EBITDA assuming that foreign currency exchange rates had not changed between the prior and current period. The comparisons presented at constant currency rates reflect comparative local currency sales at the prior year's foreign exchange rates. We routinely evaluate our net sales, total revenues and adjusted EBITDA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The "Summary of Total Revenues by Segment" table below compares net sales on an actual and constant currency basis for each reportable segment for the quarters ended March 31, 2022 and 2021 as well as for total revenues. Also, set forth below,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below, and investors and other readers should</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349" w:right="359" w:bottom="1440" w:gutter="0" w:footer="0" w:header="0"/>
        </w:sectPr>
      </w:pPr>
    </w:p>
    <w:bookmarkStart w:id="8" w:name="page9"/>
    <w:bookmarkEnd w:id="8"/>
    <w:p>
      <w:pPr>
        <w:ind w:right="80"/>
        <w:spacing w:after="0" w:line="247" w:lineRule="auto"/>
        <w:rPr>
          <w:sz w:val="20"/>
          <w:szCs w:val="20"/>
          <w:color w:val="auto"/>
        </w:rPr>
      </w:pPr>
      <w:r>
        <w:rPr>
          <w:rFonts w:ascii="Arial" w:cs="Arial" w:eastAsia="Arial" w:hAnsi="Arial"/>
          <w:sz w:val="18"/>
          <w:szCs w:val="18"/>
          <w:color w:val="auto"/>
        </w:rPr>
        <w:t>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 and Analysis of Financial Condition and Results of Operations--Use of Non-GAAP Financial Measures section of Viatris’ Quarterly Report on Form 10-Q for the three months ended March 31, 2022.</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About Viatris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Viatris Inc. (NASDAQ: VTRS) is a new kind of healthcare company, empowering people worldwide to live healthier at every stage of life. We provide access to medicines, advance sustainable operations, develop innovative solutions and leverage our collective expertise to connect more people to more products and services through our one-of-a-kind Global Healthcare Gateway®. Formed in November 2020, Viatris brings together scientific, manufacturing and distribution expertise with proven regulatory, medical, and commercial capabilities to deliver high-quality medicines to patients in more than 165 countries and territories. Viatris' portfolio comprises more than 1,400 approved molecules across a wide range of therapeutic areas, spanning both non-communicable and infectious diseases, including globally recognized brands, complex generic and branded medicines, a portfolio of biosimilars and a variety of over-the-counter consumer products. With a global workforce of approximately 37,000, Viatris is headquartered in the U.S., with global centers in Pittsburgh, Shanghai and Hyderabad, India. Learn more at viatris.com and investor.viatris.com, and connect with us on Twitter at @ViatrisInc, LinkedIn and YouTube.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+1.724.514.1968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Communications@viatris.com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Jennifer Mauer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Head of Global Communications and Corporate Brand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Jennifer.Mauer@viatris.com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+1.724.514.1813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InvestorRelations@viatris.com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Bill Szablewski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Head of Capital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William.Szablewski@viatris.com</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2"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color w:val="auto"/>
        </w:rPr>
        <w:t>This release contains “forward-looking statements”. These statements are made pursuant to the safe harbor provisions of the Private Securities Litigation Reform Act of 1995. Such forward-looking statements may include, without limitation, 2022 financial guidance; Viatris</w:t>
      </w:r>
    </w:p>
    <w:p>
      <w:pPr>
        <w:ind w:right="40"/>
        <w:spacing w:after="0" w:line="226" w:lineRule="auto"/>
        <w:rPr>
          <w:sz w:val="20"/>
          <w:szCs w:val="20"/>
          <w:color w:val="auto"/>
        </w:rPr>
      </w:pPr>
      <w:r>
        <w:rPr>
          <w:rFonts w:ascii="Arial" w:cs="Arial" w:eastAsia="Arial" w:hAnsi="Arial"/>
          <w:sz w:val="18"/>
          <w:szCs w:val="18"/>
          <w:color w:val="auto"/>
        </w:rPr>
        <w:t>remains on track for 2022 target of $600 million in new product revenue; confirms Biocon Biologics Transaction on track for second half 2022 close; on track for 2022 target of approximately $2 billion debt paydown and maintains commitment to investment grade rating; Viatris also</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announced that its Board of Directors declared a quarterly dividend of twelve cents ($ 0.12) for each issued and outstanding share of the company’s common stock; the dividend is payable on June 16, 2022, to shareholders of record at the close of business on May 24, 2022; that we are off to a good start for 2022 with strong first quarter results in line with our expectations across all key financial metrics; we are making good progress on our reshaping initiatives to unlock value, free up capital, and generate substantial cash flows to position the company as a high-value global business for the long term; our strong results this quarter reflect our focused business execution on all fronts; we delivered on key launches across our segments, positioning the company to be on track to achieve approximately $600 million in new product revenue for the year; our transaction with Biocon Biologics is progressing, and we are well positioned to close in the second half of 2022; this puts us firmly on track with our 2022 debt paydown target of approximately $2 billion which supports the investment grade rating we are committed to maintaining; we believe the momentum we see in the business positions us well for the remainder of 2022; trade controls, sanctions, supply chain and staffing challenges and other economic considerations related to the conflict between Russia and Ukraine have impacted our operations in these markets and may negatively impact our financial results in future periods; in addition, a significant escalation or expansion of the conflict’s current scope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77" w:right="339" w:bottom="1440" w:gutter="0" w:footer="0" w:header="0"/>
        </w:sectPr>
      </w:pPr>
    </w:p>
    <w:bookmarkStart w:id="9" w:name="page10"/>
    <w:bookmarkEnd w:id="9"/>
    <w:p>
      <w:pPr>
        <w:ind w:right="20"/>
        <w:spacing w:after="0" w:line="238" w:lineRule="auto"/>
        <w:rPr>
          <w:sz w:val="20"/>
          <w:szCs w:val="20"/>
          <w:color w:val="auto"/>
        </w:rPr>
      </w:pPr>
      <w:r>
        <w:rPr>
          <w:rFonts w:ascii="Arial" w:cs="Arial" w:eastAsia="Arial" w:hAnsi="Arial"/>
          <w:sz w:val="18"/>
          <w:szCs w:val="18"/>
          <w:color w:val="auto"/>
        </w:rPr>
        <w:t>may have a negative impact on our operations and financial results in future periods; statements about the pending transaction between Viatris and Biocon Biologics Limited (“Biocon Biologics”) pursuant to which Viatris will contribute its biosimilars portfolio to Biocon Biologics (the “Biocon Biologics Transaction”), statements about the transaction pursuant to which Mylan N.V. (“Mylan”) combined with Pfizer Inc.’s Upjohn business (the “Upjohn Business”) in a Reverse Morris Trust transaction (the “Combination”) and Upjohn Inc. became the parent entity of the combined Upjohn Business and Mylan business and was renamed “Viatris Inc.”, the benefits and synergies of the Combination or our global restructuring program, future opportunities for the Company and its products and any other statements regarding the Company’s</w:t>
      </w:r>
    </w:p>
    <w:p>
      <w:pPr>
        <w:spacing w:after="0" w:line="1" w:lineRule="exact"/>
        <w:rPr>
          <w:sz w:val="20"/>
          <w:szCs w:val="20"/>
          <w:color w:val="auto"/>
        </w:rPr>
      </w:pPr>
    </w:p>
    <w:p>
      <w:pPr>
        <w:ind w:right="600"/>
        <w:spacing w:after="0" w:line="226" w:lineRule="auto"/>
        <w:rPr>
          <w:sz w:val="20"/>
          <w:szCs w:val="20"/>
          <w:color w:val="auto"/>
        </w:rPr>
      </w:pPr>
      <w:r>
        <w:rPr>
          <w:rFonts w:ascii="Arial" w:cs="Arial" w:eastAsia="Arial" w:hAnsi="Arial"/>
          <w:sz w:val="18"/>
          <w:szCs w:val="18"/>
          <w:color w:val="auto"/>
        </w:rPr>
        <w:t>future operations, financial or operating results, capital allocation, dividend policy and payments, debt ratio and covenants, anticipated business levels, future earnings, planned activities, anticipated growth, market opportunities, strategies, competitions, commitments,</w:t>
      </w:r>
    </w:p>
    <w:p>
      <w:pPr>
        <w:spacing w:after="0" w:line="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integration of Mylan and the Upjohn Business or the implementation of the Company’s global restructuring program being more difficult, time consuming or costly than expected; the pending Biocon Biologics Transaction may not achieve its intended benefits; the possibility that the Company may be unable to achieve expected benefits, synergies and operating efficiencies in connection with the Combination or its global restructuring program within the expected timeframe or at all; the possibility that the Company may be unable to successfully integrate Mylan and the Upjohn Business or implement its global restructuring program; operational or financial difficulties or losses associated with the Company’s reliance on agreements with Pfizer in connection with the</w:t>
      </w:r>
    </w:p>
    <w:p>
      <w:pPr>
        <w:spacing w:after="0" w:line="6"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Combination, including with respect to transition services; the possibility that the Company may be unable to achieve all intended benefits of its strategic initiatives; the potential impact of public health outbreaks, epidemics and pandemics, including the ongoing challenges and</w:t>
      </w:r>
    </w:p>
    <w:p>
      <w:pPr>
        <w:spacing w:after="0" w:line="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uncertainties posed by the COVID-19 pandemic; the Company’s failure to achieve expected or targeted future financial and operating performance and results; actions and decisions of healthcare and pharmaceutical regulators; changes in relevant laws and regulations, including but not limited to changes in tax, healthcare and pharmaceutical laws and regulations globally (including the impact of potential tax reform in the U.S.); the ability to attract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information technology systems; risks associated with having significant operations globally; the ability to protect intellectual property and preserve intellectual property rights; changes in third-</w:t>
      </w:r>
    </w:p>
    <w:p>
      <w:pPr>
        <w:spacing w:after="0" w:line="6"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party relationships; the effect of any changes in the Company’s or its partners’ customer and supplier relationships and customer purchasing patterns, including customer loss and business disruption being greater than expected following the Combination; the impacts of competition,</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 For more detailed information on the risks and uncertainties associated with Viatris, see the risks described in Part I, Item 1A in the Company’s Annual Report on Form 10-K for the year ended December 31, 2021, as amended,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w:t>
      </w:r>
    </w:p>
    <w:p>
      <w:pPr>
        <w:spacing w:after="0" w:line="7" w:lineRule="exact"/>
        <w:rPr>
          <w:sz w:val="20"/>
          <w:szCs w:val="20"/>
          <w:color w:val="auto"/>
        </w:rPr>
      </w:pPr>
    </w:p>
    <w:p>
      <w:pPr>
        <w:ind w:right="60"/>
        <w:spacing w:after="0"/>
        <w:rPr>
          <w:sz w:val="20"/>
          <w:szCs w:val="20"/>
          <w:color w:val="auto"/>
        </w:rPr>
      </w:pPr>
      <w:r>
        <w:rPr>
          <w:rFonts w:ascii="Arial" w:cs="Arial" w:eastAsia="Arial" w:hAnsi="Arial"/>
          <w:sz w:val="17"/>
          <w:szCs w:val="17"/>
          <w:color w:val="auto"/>
        </w:rPr>
        <w:t>Regulation Fair Disclosure (Reg FD). The contents of our website are not incorporated into this release or our other filings with the SEC. Viatris undertakes no obligation to update any statements herein for revisions or changes after the date of this release other than as required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7"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 in millions,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640" w:type="dxa"/>
            <w:vAlign w:val="bottom"/>
          </w:tcPr>
          <w:p>
            <w:pPr>
              <w:ind w:left="20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4,178.2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4,400.1</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09"/>
        </w:trPr>
        <w:tc>
          <w:tcPr>
            <w:tcW w:w="8640" w:type="dxa"/>
            <w:vAlign w:val="bottom"/>
          </w:tcPr>
          <w:p>
            <w:pPr>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4,191.7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4,430.3</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3,303.0</w:t>
            </w:r>
          </w:p>
        </w:tc>
        <w:tc>
          <w:tcPr>
            <w:tcW w:w="0" w:type="dxa"/>
            <w:vAlign w:val="bottom"/>
          </w:tcPr>
          <w:p>
            <w:pPr>
              <w:spacing w:after="0"/>
              <w:rPr>
                <w:sz w:val="1"/>
                <w:szCs w:val="1"/>
                <w:color w:val="auto"/>
              </w:rPr>
            </w:pPr>
          </w:p>
        </w:tc>
      </w:tr>
      <w:tr>
        <w:trPr>
          <w:trHeight w:val="209"/>
        </w:trPr>
        <w:tc>
          <w:tcPr>
            <w:tcW w:w="8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1,771.2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1,127.3</w:t>
            </w: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64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184.1</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1,186.5</w:t>
            </w:r>
          </w:p>
        </w:tc>
        <w:tc>
          <w:tcPr>
            <w:tcW w:w="0" w:type="dxa"/>
            <w:vAlign w:val="bottom"/>
          </w:tcPr>
          <w:p>
            <w:pPr>
              <w:spacing w:after="0"/>
              <w:rPr>
                <w:sz w:val="1"/>
                <w:szCs w:val="1"/>
                <w:color w:val="auto"/>
              </w:rPr>
            </w:pPr>
          </w:p>
        </w:tc>
      </w:tr>
      <w:tr>
        <w:trPr>
          <w:trHeight w:val="215"/>
        </w:trPr>
        <w:tc>
          <w:tcPr>
            <w:tcW w:w="86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1,393.5</w:t>
            </w:r>
          </w:p>
        </w:tc>
        <w:tc>
          <w:tcPr>
            <w:tcW w:w="0" w:type="dxa"/>
            <w:vAlign w:val="bottom"/>
          </w:tcPr>
          <w:p>
            <w:pPr>
              <w:spacing w:after="0"/>
              <w:rPr>
                <w:sz w:val="1"/>
                <w:szCs w:val="1"/>
                <w:color w:val="auto"/>
              </w:rPr>
            </w:pPr>
          </w:p>
        </w:tc>
      </w:tr>
      <w:tr>
        <w:trPr>
          <w:trHeight w:val="209"/>
        </w:trPr>
        <w:tc>
          <w:tcPr>
            <w:tcW w:w="8640" w:type="dxa"/>
            <w:vAlign w:val="bottom"/>
          </w:tcPr>
          <w:p>
            <w:pPr>
              <w:spacing w:after="0"/>
              <w:rPr>
                <w:sz w:val="20"/>
                <w:szCs w:val="20"/>
                <w:color w:val="auto"/>
              </w:rPr>
            </w:pPr>
            <w:r>
              <w:rPr>
                <w:rFonts w:ascii="Arial" w:cs="Arial" w:eastAsia="Arial" w:hAnsi="Arial"/>
                <w:sz w:val="16"/>
                <w:szCs w:val="16"/>
                <w:color w:val="auto"/>
              </w:rPr>
              <w:t>Earnings (loss) from operations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(266.2)</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w:t>
            </w:r>
          </w:p>
        </w:tc>
        <w:tc>
          <w:tcPr>
            <w:tcW w:w="0" w:type="dxa"/>
            <w:vAlign w:val="bottom"/>
          </w:tcPr>
          <w:p>
            <w:pPr>
              <w:spacing w:after="0"/>
              <w:rPr>
                <w:sz w:val="1"/>
                <w:szCs w:val="1"/>
                <w:color w:val="auto"/>
              </w:rPr>
            </w:pPr>
          </w:p>
        </w:tc>
      </w:tr>
      <w:tr>
        <w:trPr>
          <w:trHeight w:val="215"/>
        </w:trPr>
        <w:tc>
          <w:tcPr>
            <w:tcW w:w="8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expense,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Earnings (loss) before income taxes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(441.3)</w:t>
            </w:r>
          </w:p>
        </w:tc>
        <w:tc>
          <w:tcPr>
            <w:tcW w:w="0" w:type="dxa"/>
            <w:vAlign w:val="bottom"/>
          </w:tcPr>
          <w:p>
            <w:pPr>
              <w:spacing w:after="0"/>
              <w:rPr>
                <w:sz w:val="1"/>
                <w:szCs w:val="1"/>
                <w:color w:val="auto"/>
              </w:rPr>
            </w:pPr>
          </w:p>
        </w:tc>
      </w:tr>
      <w:tr>
        <w:trPr>
          <w:trHeight w:val="215"/>
        </w:trPr>
        <w:tc>
          <w:tcPr>
            <w:tcW w:w="8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provision</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596.3</w:t>
            </w:r>
          </w:p>
        </w:tc>
        <w:tc>
          <w:tcPr>
            <w:tcW w:w="0" w:type="dxa"/>
            <w:vAlign w:val="bottom"/>
          </w:tcPr>
          <w:p>
            <w:pPr>
              <w:spacing w:after="0"/>
              <w:rPr>
                <w:sz w:val="1"/>
                <w:szCs w:val="1"/>
                <w:color w:val="auto"/>
              </w:rPr>
            </w:pPr>
          </w:p>
        </w:tc>
      </w:tr>
      <w:tr>
        <w:trPr>
          <w:trHeight w:val="235"/>
        </w:trPr>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earnings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(1,037.6)</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Earnings (loss) per share attributable to Viatris Inc. shareholders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8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40" w:type="dxa"/>
            <w:vAlign w:val="bottom"/>
          </w:tcPr>
          <w:p>
            <w:pPr>
              <w:ind w:left="20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0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1,207.5</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1,207.5</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60" w:top="890"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w:t>
      </w:r>
    </w:p>
    <w:p>
      <w:pPr>
        <w:sectPr>
          <w:pgSz w:w="11900" w:h="16838" w:orient="portrait"/>
          <w:cols w:equalWidth="0" w:num="1">
            <w:col w:w="11200"/>
          </w:cols>
          <w:pgMar w:left="340" w:top="8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receivable, net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w:t>
      </w:r>
    </w:p>
    <w:p>
      <w:pPr>
        <w:spacing w:after="0" w:line="32" w:lineRule="exact"/>
        <w:rPr>
          <w:sz w:val="20"/>
          <w:szCs w:val="20"/>
          <w:color w:val="auto"/>
        </w:rPr>
      </w:pPr>
    </w:p>
    <w:p>
      <w:pPr>
        <w:ind w:left="460" w:right="340" w:firstLine="14"/>
        <w:spacing w:after="0" w:line="290" w:lineRule="auto"/>
        <w:rPr>
          <w:sz w:val="20"/>
          <w:szCs w:val="20"/>
          <w:color w:val="auto"/>
        </w:rPr>
      </w:pPr>
      <w:r>
        <w:rPr>
          <w:rFonts w:ascii="Arial" w:cs="Arial" w:eastAsia="Arial" w:hAnsi="Arial"/>
          <w:sz w:val="16"/>
          <w:szCs w:val="16"/>
          <w:color w:val="auto"/>
        </w:rPr>
        <w:t>Prepaid expenses and other current assets Assets held for sale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current 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Intangible assets, net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Goodwill</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non-current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66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0" w:type="dxa"/>
            <w:vAlign w:val="bottom"/>
          </w:tcPr>
          <w:p>
            <w:pPr>
              <w:jc w:val="right"/>
              <w:ind w:right="14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306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2"/>
        </w:trPr>
        <w:tc>
          <w:tcPr>
            <w:tcW w:w="30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0"/>
        </w:trPr>
        <w:tc>
          <w:tcPr>
            <w:tcW w:w="33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752.4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701.2</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4,093.9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4,266.4</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3,797.3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3,977.7</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1,763.6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1,957.6</w:t>
            </w:r>
          </w:p>
        </w:tc>
        <w:tc>
          <w:tcPr>
            <w:tcW w:w="0" w:type="dxa"/>
            <w:vAlign w:val="bottom"/>
          </w:tcPr>
          <w:p>
            <w:pPr>
              <w:spacing w:after="0"/>
              <w:rPr>
                <w:sz w:val="1"/>
                <w:szCs w:val="1"/>
                <w:color w:val="auto"/>
              </w:rPr>
            </w:pPr>
          </w:p>
        </w:tc>
      </w:tr>
      <w:tr>
        <w:trPr>
          <w:trHeight w:val="217"/>
        </w:trPr>
        <w:tc>
          <w:tcPr>
            <w:tcW w:w="3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1,337.1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11,744.3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10,902.9</w:t>
            </w:r>
          </w:p>
        </w:tc>
        <w:tc>
          <w:tcPr>
            <w:tcW w:w="0" w:type="dxa"/>
            <w:vAlign w:val="bottom"/>
          </w:tcPr>
          <w:p>
            <w:pPr>
              <w:spacing w:after="0"/>
              <w:rPr>
                <w:sz w:val="1"/>
                <w:szCs w:val="1"/>
                <w:color w:val="auto"/>
              </w:rPr>
            </w:pPr>
          </w:p>
        </w:tc>
      </w:tr>
      <w:tr>
        <w:trPr>
          <w:trHeight w:val="215"/>
        </w:trPr>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25,251.8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26,134.2</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10,978.8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12,113.7</w:t>
            </w:r>
          </w:p>
        </w:tc>
        <w:tc>
          <w:tcPr>
            <w:tcW w:w="0" w:type="dxa"/>
            <w:vAlign w:val="bottom"/>
          </w:tcPr>
          <w:p>
            <w:pPr>
              <w:spacing w:after="0"/>
              <w:rPr>
                <w:sz w:val="1"/>
                <w:szCs w:val="1"/>
                <w:color w:val="auto"/>
              </w:rPr>
            </w:pPr>
          </w:p>
        </w:tc>
      </w:tr>
      <w:tr>
        <w:trPr>
          <w:trHeight w:val="217"/>
        </w:trPr>
        <w:tc>
          <w:tcPr>
            <w:tcW w:w="3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5,492.0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5,692.0</w:t>
            </w: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53,466.9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54,842.8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-1798955</wp:posOffset>
            </wp:positionV>
            <wp:extent cx="711517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-1524635</wp:posOffset>
            </wp:positionV>
            <wp:extent cx="71151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-1250315</wp:posOffset>
            </wp:positionV>
            <wp:extent cx="71151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-975995</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-701675</wp:posOffset>
            </wp:positionV>
            <wp:extent cx="711517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-418465</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-144145</wp:posOffset>
            </wp:positionV>
            <wp:extent cx="711517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-107315</wp:posOffset>
            </wp:positionV>
            <wp:extent cx="1817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3900" w:space="720"/>
            <w:col w:w="6580"/>
          </w:cols>
          <w:pgMar w:left="340" w:top="890" w:right="35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Current portion of long-term debt and other long-term obligations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2,606.1</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1,877.5</w:t>
            </w: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Liabilities held for sale</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6,759.1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8,006.9</w:t>
            </w: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19,717.1</w:t>
            </w:r>
          </w:p>
        </w:tc>
      </w:tr>
      <w:tr>
        <w:trPr>
          <w:trHeight w:val="215"/>
        </w:trPr>
        <w:tc>
          <w:tcPr>
            <w:tcW w:w="8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4,613.8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4,748.6</w:t>
            </w:r>
          </w:p>
        </w:tc>
      </w:tr>
      <w:tr>
        <w:trPr>
          <w:trHeight w:val="21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33,019.2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34,350.1</w:t>
            </w:r>
          </w:p>
        </w:tc>
      </w:tr>
      <w:tr>
        <w:trPr>
          <w:trHeight w:val="215"/>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Shareholders' equity</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20,447.7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20,492.7</w:t>
            </w:r>
          </w:p>
        </w:tc>
      </w:tr>
      <w:tr>
        <w:trPr>
          <w:trHeight w:val="23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53,466.9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54,842.8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40" w:top="890" w:right="35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Product Net Sales, on a Consolidated Basis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00" w:type="dxa"/>
            <w:vAlign w:val="bottom"/>
          </w:tcPr>
          <w:p>
            <w:pPr>
              <w:spacing w:after="0"/>
              <w:rPr>
                <w:sz w:val="17"/>
                <w:szCs w:val="17"/>
                <w:color w:val="auto"/>
              </w:rPr>
            </w:pPr>
          </w:p>
        </w:tc>
        <w:tc>
          <w:tcPr>
            <w:tcW w:w="22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90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2021</w:t>
            </w:r>
          </w:p>
        </w:tc>
      </w:tr>
      <w:tr>
        <w:trPr>
          <w:trHeight w:val="198"/>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Select Key Global Products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9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Lipitor ®</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464.6</w:t>
            </w:r>
          </w:p>
        </w:tc>
      </w:tr>
      <w:tr>
        <w:trPr>
          <w:trHeight w:val="215"/>
        </w:trPr>
        <w:tc>
          <w:tcPr>
            <w:tcW w:w="9000" w:type="dxa"/>
            <w:vAlign w:val="bottom"/>
          </w:tcPr>
          <w:p>
            <w:pPr>
              <w:ind w:left="140"/>
              <w:spacing w:after="0"/>
              <w:rPr>
                <w:sz w:val="20"/>
                <w:szCs w:val="20"/>
                <w:color w:val="auto"/>
              </w:rPr>
            </w:pPr>
            <w:r>
              <w:rPr>
                <w:rFonts w:ascii="Arial" w:cs="Arial" w:eastAsia="Arial" w:hAnsi="Arial"/>
                <w:sz w:val="16"/>
                <w:szCs w:val="16"/>
                <w:color w:val="auto"/>
              </w:rPr>
              <w:t>Norvasc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207.8</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227.7</w:t>
            </w:r>
          </w:p>
        </w:tc>
      </w:tr>
      <w:tr>
        <w:trPr>
          <w:trHeight w:val="217"/>
        </w:trPr>
        <w:tc>
          <w:tcPr>
            <w:tcW w:w="9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Lyrica ®</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w:t>
            </w:r>
          </w:p>
        </w:tc>
      </w:tr>
      <w:tr>
        <w:trPr>
          <w:trHeight w:val="215"/>
        </w:trPr>
        <w:tc>
          <w:tcPr>
            <w:tcW w:w="9000" w:type="dxa"/>
            <w:vAlign w:val="bottom"/>
          </w:tcPr>
          <w:p>
            <w:pPr>
              <w:ind w:left="140"/>
              <w:spacing w:after="0"/>
              <w:rPr>
                <w:sz w:val="20"/>
                <w:szCs w:val="20"/>
                <w:color w:val="auto"/>
              </w:rPr>
            </w:pPr>
            <w:r>
              <w:rPr>
                <w:rFonts w:ascii="Arial" w:cs="Arial" w:eastAsia="Arial" w:hAnsi="Arial"/>
                <w:sz w:val="16"/>
                <w:szCs w:val="16"/>
                <w:color w:val="auto"/>
              </w:rPr>
              <w:t>Viagra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129.8</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139.6</w:t>
            </w:r>
          </w:p>
        </w:tc>
      </w:tr>
      <w:tr>
        <w:trPr>
          <w:trHeight w:val="217"/>
        </w:trPr>
        <w:tc>
          <w:tcPr>
            <w:tcW w:w="9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EpiPen® Auto-Injectors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r>
      <w:tr>
        <w:trPr>
          <w:trHeight w:val="215"/>
        </w:trPr>
        <w:tc>
          <w:tcPr>
            <w:tcW w:w="9000" w:type="dxa"/>
            <w:vAlign w:val="bottom"/>
          </w:tcPr>
          <w:p>
            <w:pPr>
              <w:ind w:left="140"/>
              <w:spacing w:after="0"/>
              <w:rPr>
                <w:sz w:val="20"/>
                <w:szCs w:val="20"/>
                <w:color w:val="auto"/>
              </w:rPr>
            </w:pPr>
            <w:r>
              <w:rPr>
                <w:rFonts w:ascii="Arial" w:cs="Arial" w:eastAsia="Arial" w:hAnsi="Arial"/>
                <w:sz w:val="16"/>
                <w:szCs w:val="16"/>
                <w:color w:val="auto"/>
              </w:rPr>
              <w:t>Celebrex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85.2</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w:t>
            </w:r>
          </w:p>
        </w:tc>
      </w:tr>
      <w:tr>
        <w:trPr>
          <w:trHeight w:val="217"/>
        </w:trPr>
        <w:tc>
          <w:tcPr>
            <w:tcW w:w="9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Effexor ®</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r>
      <w:tr>
        <w:trPr>
          <w:trHeight w:val="215"/>
        </w:trPr>
        <w:tc>
          <w:tcPr>
            <w:tcW w:w="9000" w:type="dxa"/>
            <w:vAlign w:val="bottom"/>
          </w:tcPr>
          <w:p>
            <w:pPr>
              <w:ind w:left="140"/>
              <w:spacing w:after="0"/>
              <w:rPr>
                <w:sz w:val="20"/>
                <w:szCs w:val="20"/>
                <w:color w:val="auto"/>
              </w:rPr>
            </w:pPr>
            <w:r>
              <w:rPr>
                <w:rFonts w:ascii="Arial" w:cs="Arial" w:eastAsia="Arial" w:hAnsi="Arial"/>
                <w:sz w:val="16"/>
                <w:szCs w:val="16"/>
                <w:color w:val="auto"/>
              </w:rPr>
              <w:t>Creon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74.7</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69.9</w:t>
            </w:r>
          </w:p>
        </w:tc>
      </w:tr>
      <w:tr>
        <w:trPr>
          <w:trHeight w:val="217"/>
        </w:trPr>
        <w:tc>
          <w:tcPr>
            <w:tcW w:w="9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Zoloft ®</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r>
      <w:tr>
        <w:trPr>
          <w:trHeight w:val="215"/>
        </w:trPr>
        <w:tc>
          <w:tcPr>
            <w:tcW w:w="9000" w:type="dxa"/>
            <w:vAlign w:val="bottom"/>
          </w:tcPr>
          <w:p>
            <w:pPr>
              <w:ind w:left="140"/>
              <w:spacing w:after="0"/>
              <w:rPr>
                <w:sz w:val="20"/>
                <w:szCs w:val="20"/>
                <w:color w:val="auto"/>
              </w:rPr>
            </w:pPr>
            <w:r>
              <w:rPr>
                <w:rFonts w:ascii="Arial" w:cs="Arial" w:eastAsia="Arial" w:hAnsi="Arial"/>
                <w:sz w:val="16"/>
                <w:szCs w:val="16"/>
                <w:color w:val="auto"/>
              </w:rPr>
              <w:t>Xalabrands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57.9</w:t>
            </w:r>
          </w:p>
        </w:tc>
      </w:tr>
      <w:tr>
        <w:trPr>
          <w:trHeight w:val="217"/>
        </w:trPr>
        <w:tc>
          <w:tcPr>
            <w:tcW w:w="9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Select Key Segment Products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9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Dymista ®</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r>
      <w:tr>
        <w:trPr>
          <w:trHeight w:val="215"/>
        </w:trPr>
        <w:tc>
          <w:tcPr>
            <w:tcW w:w="9000" w:type="dxa"/>
            <w:vAlign w:val="bottom"/>
          </w:tcPr>
          <w:p>
            <w:pPr>
              <w:ind w:left="140"/>
              <w:spacing w:after="0"/>
              <w:rPr>
                <w:sz w:val="20"/>
                <w:szCs w:val="20"/>
                <w:color w:val="auto"/>
              </w:rPr>
            </w:pPr>
            <w:r>
              <w:rPr>
                <w:rFonts w:ascii="Arial" w:cs="Arial" w:eastAsia="Arial" w:hAnsi="Arial"/>
                <w:sz w:val="16"/>
                <w:szCs w:val="16"/>
                <w:color w:val="auto"/>
              </w:rPr>
              <w:t>Yupelri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43.7</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17"/>
        </w:trPr>
        <w:tc>
          <w:tcPr>
            <w:tcW w:w="9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Amitiza ®</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r>
      <w:tr>
        <w:trPr>
          <w:trHeight w:val="215"/>
        </w:trPr>
        <w:tc>
          <w:tcPr>
            <w:tcW w:w="9000" w:type="dxa"/>
            <w:vAlign w:val="bottom"/>
          </w:tcPr>
          <w:p>
            <w:pPr>
              <w:ind w:left="140"/>
              <w:spacing w:after="0"/>
              <w:rPr>
                <w:sz w:val="20"/>
                <w:szCs w:val="20"/>
                <w:color w:val="auto"/>
              </w:rPr>
            </w:pPr>
            <w:r>
              <w:rPr>
                <w:rFonts w:ascii="Arial" w:cs="Arial" w:eastAsia="Arial" w:hAnsi="Arial"/>
                <w:sz w:val="16"/>
                <w:szCs w:val="16"/>
                <w:color w:val="auto"/>
              </w:rPr>
              <w:t>Xanax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45.1</w:t>
            </w: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 does not disclose net sales for any products considered competitively sensitive.</w:t>
      </w:r>
    </w:p>
    <w:p>
      <w:pPr>
        <w:spacing w:after="0" w:line="45" w:lineRule="exact"/>
        <w:rPr>
          <w:rFonts w:ascii="Arial" w:cs="Arial" w:eastAsia="Arial" w:hAnsi="Arial"/>
          <w:sz w:val="14"/>
          <w:szCs w:val="14"/>
          <w:color w:val="auto"/>
        </w:rPr>
      </w:pPr>
    </w:p>
    <w:p>
      <w:pPr>
        <w:ind w:left="660" w:hanging="328"/>
        <w:spacing w:after="0"/>
        <w:tabs>
          <w:tab w:leader="none" w:pos="66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Products disclosed may change in future periods, including as a result of seasonality, competition or new product launches.</w:t>
      </w:r>
    </w:p>
    <w:p>
      <w:pPr>
        <w:spacing w:after="0" w:line="8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Amounts for the three months ended March 31, 2022 include the unfavorable impact of foreign currency translations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74"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 in millions)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U.S. GAAP Net Earnings (Loss) to Adjusted Net Earnings</w:t>
      </w:r>
    </w:p>
    <w:p>
      <w:pPr>
        <w:spacing w:after="0" w:line="11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Below is a reconciliation of U.S. GAAP net earnings (loss) to adjusted net earnings for the three months ended March 31, 2022 compared to the prior year period: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March 31,</w:t>
            </w:r>
          </w:p>
        </w:tc>
      </w:tr>
      <w:tr>
        <w:trPr>
          <w:trHeight w:val="197"/>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2021</w:t>
            </w:r>
          </w:p>
        </w:tc>
      </w:tr>
      <w:tr>
        <w:trPr>
          <w:trHeight w:val="211"/>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 (loss)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(1,037.6)</w:t>
            </w:r>
          </w:p>
        </w:tc>
      </w:tr>
      <w:tr>
        <w:trPr>
          <w:trHeight w:val="215"/>
        </w:trPr>
        <w:tc>
          <w:tcPr>
            <w:tcW w:w="8820" w:type="dxa"/>
            <w:vAlign w:val="bottom"/>
          </w:tcPr>
          <w:p>
            <w:pPr>
              <w:ind w:left="20"/>
              <w:spacing w:after="0"/>
              <w:rPr>
                <w:sz w:val="20"/>
                <w:szCs w:val="20"/>
                <w:color w:val="auto"/>
              </w:rPr>
            </w:pPr>
            <w:r>
              <w:rPr>
                <w:rFonts w:ascii="Arial" w:cs="Arial" w:eastAsia="Arial" w:hAnsi="Arial"/>
                <w:sz w:val="16"/>
                <w:szCs w:val="16"/>
                <w:color w:val="auto"/>
              </w:rPr>
              <w:t>Purchase accounting related amortization (primarily included in cost of sales)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1,255.0</w:t>
            </w:r>
          </w:p>
        </w:tc>
      </w:tr>
      <w:tr>
        <w:trPr>
          <w:trHeight w:val="217"/>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Litigation settlements and other contingencies, net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215"/>
        </w:trPr>
        <w:tc>
          <w:tcPr>
            <w:tcW w:w="8820" w:type="dxa"/>
            <w:vAlign w:val="bottom"/>
          </w:tcPr>
          <w:p>
            <w:pPr>
              <w:ind w:left="20"/>
              <w:spacing w:after="0"/>
              <w:rPr>
                <w:sz w:val="20"/>
                <w:szCs w:val="20"/>
                <w:color w:val="auto"/>
              </w:rPr>
            </w:pPr>
            <w:r>
              <w:rPr>
                <w:rFonts w:ascii="Arial" w:cs="Arial" w:eastAsia="Arial" w:hAnsi="Arial"/>
                <w:sz w:val="16"/>
                <w:szCs w:val="16"/>
                <w:color w:val="auto"/>
              </w:rPr>
              <w:t>Interest expense (primarily amortization of premiums and discounts on long term debt)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17"/>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Clean energy investments pre-tax (gain) loss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16"/>
        </w:trPr>
        <w:tc>
          <w:tcPr>
            <w:tcW w:w="88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Acquisition related costs (primarily included in SG&amp;A) </w:t>
            </w:r>
            <w:r>
              <w:rPr>
                <w:rFonts w:ascii="Arial" w:cs="Arial" w:eastAsia="Arial" w:hAnsi="Arial"/>
                <w:sz w:val="21"/>
                <w:szCs w:val="21"/>
                <w:color w:val="auto"/>
                <w:vertAlign w:val="superscript"/>
              </w:rPr>
              <w:t>(a)</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59.8</w:t>
            </w:r>
          </w:p>
        </w:tc>
      </w:tr>
      <w:tr>
        <w:trPr>
          <w:trHeight w:val="216"/>
        </w:trPr>
        <w:tc>
          <w:tcPr>
            <w:tcW w:w="88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related costs </w:t>
            </w:r>
            <w:r>
              <w:rPr>
                <w:rFonts w:ascii="Arial" w:cs="Arial" w:eastAsia="Arial" w:hAnsi="Arial"/>
                <w:sz w:val="21"/>
                <w:szCs w:val="21"/>
                <w:color w:val="auto"/>
                <w:vertAlign w:val="superscript"/>
              </w:rPr>
              <w:t>(b)</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315.4</w:t>
            </w:r>
          </w:p>
        </w:tc>
      </w:tr>
      <w:tr>
        <w:trPr>
          <w:trHeight w:val="215"/>
        </w:trPr>
        <w:tc>
          <w:tcPr>
            <w:tcW w:w="882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32.7</w:t>
            </w:r>
          </w:p>
        </w:tc>
      </w:tr>
      <w:tr>
        <w:trPr>
          <w:trHeight w:val="217"/>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special items included in: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Cost of sales </w:t>
            </w:r>
            <w:r>
              <w:rPr>
                <w:rFonts w:ascii="Arial" w:cs="Arial" w:eastAsia="Arial" w:hAnsi="Arial"/>
                <w:sz w:val="21"/>
                <w:szCs w:val="21"/>
                <w:color w:val="auto"/>
                <w:vertAlign w:val="superscript"/>
              </w:rPr>
              <w:t>(c)</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86.7</w:t>
            </w: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 expense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5"/>
        </w:trPr>
        <w:tc>
          <w:tcPr>
            <w:tcW w:w="8820" w:type="dxa"/>
            <w:vAlign w:val="bottom"/>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17"/>
        </w:trPr>
        <w:tc>
          <w:tcPr>
            <w:tcW w:w="8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expense, net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8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Tax effect of the above items and other income tax related items </w:t>
            </w:r>
            <w:r>
              <w:rPr>
                <w:rFonts w:ascii="Arial" w:cs="Arial" w:eastAsia="Arial" w:hAnsi="Arial"/>
                <w:sz w:val="21"/>
                <w:szCs w:val="21"/>
                <w:color w:val="auto"/>
                <w:vertAlign w:val="superscript"/>
              </w:rPr>
              <w:t>(d)</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342.9</w:t>
            </w:r>
          </w:p>
        </w:tc>
      </w:tr>
      <w:tr>
        <w:trPr>
          <w:trHeight w:val="234"/>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1,116.4</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include the following:</w:t>
      </w:r>
    </w:p>
    <w:p>
      <w:pPr>
        <w:spacing w:after="0" w:line="3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Acquisition related costs consist primarily of transaction costs including legal and consulting fees and integration activities.</w:t>
      </w:r>
    </w:p>
    <w:p>
      <w:pPr>
        <w:spacing w:after="0" w:line="49" w:lineRule="exact"/>
        <w:rPr>
          <w:rFonts w:ascii="Arial" w:cs="Arial" w:eastAsia="Arial" w:hAnsi="Arial"/>
          <w:sz w:val="23"/>
          <w:szCs w:val="23"/>
          <w:color w:val="auto"/>
          <w:vertAlign w:val="superscript"/>
        </w:rPr>
      </w:pPr>
    </w:p>
    <w:p>
      <w:pPr>
        <w:ind w:left="660" w:right="260" w:hanging="328"/>
        <w:spacing w:after="0" w:line="222" w:lineRule="auto"/>
        <w:tabs>
          <w:tab w:leader="none" w:pos="679"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2022, charges include approximately $13.1 million in cost of sales and approximately $3.7 million in SG&amp;A.</w:t>
      </w:r>
    </w:p>
    <w:p>
      <w:pPr>
        <w:spacing w:after="0" w:line="31" w:lineRule="exact"/>
        <w:rPr>
          <w:rFonts w:ascii="Arial" w:cs="Arial" w:eastAsia="Arial" w:hAnsi="Arial"/>
          <w:sz w:val="23"/>
          <w:szCs w:val="23"/>
          <w:color w:val="auto"/>
          <w:vertAlign w:val="superscript"/>
        </w:rPr>
      </w:pPr>
    </w:p>
    <w:p>
      <w:pPr>
        <w:ind w:left="660" w:right="980" w:hanging="328"/>
        <w:spacing w:after="0" w:line="231" w:lineRule="auto"/>
        <w:tabs>
          <w:tab w:leader="none" w:pos="672"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2022, charges include incremental manufacturing variances at plants in the 2020 restructuring program of approximately $31.3 million.</w:t>
      </w:r>
    </w:p>
    <w:p>
      <w:pPr>
        <w:spacing w:after="0" w:line="6"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Adjusted for changes for uncertain tax positions and for certain impacts of the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890"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Reconciliation of U.S. GAAP Net Earnings (Loss) to EBITDA and Adjusted EBITDA</w:t>
      </w:r>
    </w:p>
    <w:p>
      <w:pPr>
        <w:spacing w:after="0" w:line="30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Below is a reconciliation of U.S. GAAP net earnings (loss) to EBITDA and adjusted EBITDA for the three months ended March 31, 2022 compared to the prior year period: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r>
      <w:tr>
        <w:trPr>
          <w:trHeight w:val="197"/>
        </w:trPr>
        <w:tc>
          <w:tcPr>
            <w:tcW w:w="866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r>
      <w:tr>
        <w:trPr>
          <w:trHeight w:val="210"/>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(1,037.6)</w:t>
            </w:r>
          </w:p>
        </w:tc>
      </w:tr>
      <w:tr>
        <w:trPr>
          <w:trHeight w:val="215"/>
        </w:trPr>
        <w:tc>
          <w:tcPr>
            <w:tcW w:w="8660" w:type="dxa"/>
            <w:vAlign w:val="bottom"/>
          </w:tcPr>
          <w:p>
            <w:pPr>
              <w:ind w:left="20"/>
              <w:spacing w:after="0"/>
              <w:rPr>
                <w:sz w:val="20"/>
                <w:szCs w:val="20"/>
                <w:color w:val="auto"/>
              </w:rPr>
            </w:pPr>
            <w:r>
              <w:rPr>
                <w:rFonts w:ascii="Arial" w:cs="Arial" w:eastAsia="Arial" w:hAnsi="Arial"/>
                <w:sz w:val="16"/>
                <w:szCs w:val="16"/>
                <w:color w:val="auto"/>
              </w:rPr>
              <w:t>Add / (deduct) adjustments: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8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contribution attributable to equity method investments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15"/>
        </w:trPr>
        <w:tc>
          <w:tcPr>
            <w:tcW w:w="8660" w:type="dxa"/>
            <w:vAlign w:val="bottom"/>
          </w:tcPr>
          <w:p>
            <w:pPr>
              <w:ind w:left="220"/>
              <w:spacing w:after="0"/>
              <w:rPr>
                <w:sz w:val="20"/>
                <w:szCs w:val="20"/>
                <w:color w:val="auto"/>
              </w:rPr>
            </w:pPr>
            <w:r>
              <w:rPr>
                <w:rFonts w:ascii="Arial" w:cs="Arial" w:eastAsia="Arial" w:hAnsi="Arial"/>
                <w:sz w:val="16"/>
                <w:szCs w:val="16"/>
                <w:color w:val="auto"/>
              </w:rPr>
              <w:t>Income tax provision</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596.3</w:t>
            </w:r>
          </w:p>
        </w:tc>
      </w:tr>
      <w:tr>
        <w:trPr>
          <w:trHeight w:val="217"/>
        </w:trPr>
        <w:tc>
          <w:tcPr>
            <w:tcW w:w="866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(a)</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w:t>
            </w:r>
          </w:p>
        </w:tc>
      </w:tr>
      <w:tr>
        <w:trPr>
          <w:trHeight w:val="216"/>
        </w:trPr>
        <w:tc>
          <w:tcPr>
            <w:tcW w:w="8660" w:type="dxa"/>
            <w:vAlign w:val="bottom"/>
            <w:tcBorders>
              <w:bottom w:val="single" w:sz="8" w:color="CCEEFF"/>
            </w:tcBorders>
          </w:tcPr>
          <w:p>
            <w:pPr>
              <w:ind w:left="2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(b)</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736.0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1,422.5</w:t>
            </w:r>
          </w:p>
        </w:tc>
      </w:tr>
      <w:tr>
        <w:trPr>
          <w:trHeight w:val="209"/>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1,168.1</w:t>
            </w:r>
          </w:p>
        </w:tc>
      </w:tr>
      <w:tr>
        <w:trPr>
          <w:trHeight w:val="215"/>
        </w:trPr>
        <w:tc>
          <w:tcPr>
            <w:tcW w:w="8660" w:type="dxa"/>
            <w:vAlign w:val="bottom"/>
          </w:tcPr>
          <w:p>
            <w:pPr>
              <w:ind w:left="140"/>
              <w:spacing w:after="0"/>
              <w:rPr>
                <w:sz w:val="20"/>
                <w:szCs w:val="20"/>
                <w:color w:val="auto"/>
              </w:rPr>
            </w:pPr>
            <w:r>
              <w:rPr>
                <w:rFonts w:ascii="Arial" w:cs="Arial" w:eastAsia="Arial" w:hAnsi="Arial"/>
                <w:sz w:val="16"/>
                <w:szCs w:val="16"/>
                <w:color w:val="auto"/>
              </w:rPr>
              <w:t>Add adjustments: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8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r>
      <w:tr>
        <w:trPr>
          <w:trHeight w:val="215"/>
        </w:trPr>
        <w:tc>
          <w:tcPr>
            <w:tcW w:w="8660" w:type="dxa"/>
            <w:vAlign w:val="bottom"/>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17"/>
        </w:trPr>
        <w:tc>
          <w:tcPr>
            <w:tcW w:w="866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Restructuring, acquisition related and other special items </w:t>
            </w:r>
            <w:r>
              <w:rPr>
                <w:rFonts w:ascii="Arial" w:cs="Arial" w:eastAsia="Arial" w:hAnsi="Arial"/>
                <w:sz w:val="21"/>
                <w:szCs w:val="21"/>
                <w:color w:val="auto"/>
                <w:vertAlign w:val="superscript"/>
              </w:rPr>
              <w:t>(c)</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142.2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412.9</w:t>
            </w:r>
          </w:p>
        </w:tc>
      </w:tr>
      <w:tr>
        <w:trPr>
          <w:trHeight w:val="209"/>
        </w:trPr>
        <w:tc>
          <w:tcPr>
            <w:tcW w:w="86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1,586.3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1,636.6</w:t>
            </w:r>
          </w:p>
        </w:tc>
      </w:tr>
      <w:tr>
        <w:trPr>
          <w:trHeight w:val="21"/>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99" w:lineRule="exact"/>
        <w:rPr>
          <w:sz w:val="20"/>
          <w:szCs w:val="20"/>
          <w:color w:val="auto"/>
        </w:rPr>
      </w:pPr>
    </w:p>
    <w:p>
      <w:pPr>
        <w:ind w:left="680" w:hanging="348"/>
        <w:spacing w:after="0"/>
        <w:tabs>
          <w:tab w:leader="none" w:pos="68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amortization of premiums and discounts on long-term debt.</w:t>
      </w:r>
    </w:p>
    <w:p>
      <w:pPr>
        <w:spacing w:after="0" w:line="49" w:lineRule="exact"/>
        <w:rPr>
          <w:rFonts w:ascii="Arial" w:cs="Arial" w:eastAsia="Arial" w:hAnsi="Arial"/>
          <w:sz w:val="23"/>
          <w:szCs w:val="23"/>
          <w:color w:val="auto"/>
          <w:vertAlign w:val="superscript"/>
        </w:rPr>
      </w:pPr>
    </w:p>
    <w:p>
      <w:pPr>
        <w:ind w:left="600" w:hanging="268"/>
        <w:spacing w:after="0" w:line="200" w:lineRule="auto"/>
        <w:tabs>
          <w:tab w:leader="none" w:pos="60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purchase accounting related amortization.</w:t>
      </w:r>
    </w:p>
    <w:p>
      <w:pPr>
        <w:spacing w:after="0" w:line="49" w:lineRule="exact"/>
        <w:rPr>
          <w:rFonts w:ascii="Arial" w:cs="Arial" w:eastAsia="Arial" w:hAnsi="Arial"/>
          <w:sz w:val="23"/>
          <w:szCs w:val="23"/>
          <w:color w:val="auto"/>
          <w:vertAlign w:val="superscript"/>
        </w:rPr>
      </w:pPr>
    </w:p>
    <w:p>
      <w:pPr>
        <w:ind w:left="600" w:hanging="268"/>
        <w:spacing w:after="0" w:line="200" w:lineRule="auto"/>
        <w:tabs>
          <w:tab w:leader="none" w:pos="60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See items detailed in the Reconciliation of U.S. GAAP Net Earnings (Loss) to Adjusted Net Earnings.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Total Revenues by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323"/>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2022 Currency</w:t>
            </w:r>
          </w:p>
        </w:tc>
        <w:tc>
          <w:tcPr>
            <w:tcW w:w="11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2022 Constant</w:t>
            </w:r>
          </w:p>
        </w:tc>
        <w:tc>
          <w:tcPr>
            <w:tcW w:w="100" w:type="dxa"/>
            <w:vAlign w:val="bottom"/>
          </w:tcPr>
          <w:p>
            <w:pPr>
              <w:spacing w:after="0"/>
              <w:rPr>
                <w:sz w:val="12"/>
                <w:szCs w:val="12"/>
                <w:color w:val="auto"/>
              </w:rPr>
            </w:pPr>
          </w:p>
        </w:tc>
        <w:tc>
          <w:tcPr>
            <w:tcW w:w="13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35"/>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1"/>
                <w:szCs w:val="11"/>
                <w:color w:val="auto"/>
              </w:rPr>
            </w:pPr>
          </w:p>
        </w:tc>
        <w:tc>
          <w:tcPr>
            <w:tcW w:w="90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Currency %</w:t>
            </w:r>
          </w:p>
        </w:tc>
        <w:tc>
          <w:tcPr>
            <w:tcW w:w="0" w:type="dxa"/>
            <w:vAlign w:val="bottom"/>
          </w:tcPr>
          <w:p>
            <w:pPr>
              <w:spacing w:after="0"/>
              <w:rPr>
                <w:sz w:val="1"/>
                <w:szCs w:val="1"/>
                <w:color w:val="auto"/>
              </w:rPr>
            </w:pPr>
          </w:p>
        </w:tc>
      </w:tr>
      <w:tr>
        <w:trPr>
          <w:trHeight w:val="203"/>
        </w:trPr>
        <w:tc>
          <w:tcPr>
            <w:tcW w:w="3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9"/>
                <w:szCs w:val="9"/>
                <w:b w:val="1"/>
                <w:bCs w:val="1"/>
                <w:color w:val="auto"/>
              </w:rPr>
              <w:t>(1)</w:t>
            </w:r>
          </w:p>
        </w:tc>
        <w:tc>
          <w:tcPr>
            <w:tcW w:w="180" w:type="dxa"/>
            <w:vAlign w:val="bottom"/>
          </w:tcPr>
          <w:p>
            <w:pPr>
              <w:spacing w:after="0"/>
              <w:rPr>
                <w:sz w:val="17"/>
                <w:szCs w:val="17"/>
                <w:color w:val="auto"/>
              </w:rPr>
            </w:pPr>
          </w:p>
        </w:tc>
        <w:tc>
          <w:tcPr>
            <w:tcW w:w="1000" w:type="dxa"/>
            <w:vAlign w:val="bottom"/>
          </w:tcPr>
          <w:p>
            <w:pPr>
              <w:jc w:val="center"/>
              <w:ind w:right="121"/>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97"/>
              </w:rPr>
              <w:t xml:space="preserve">Change </w:t>
            </w:r>
            <w:r>
              <w:rPr>
                <w:rFonts w:ascii="Arial" w:cs="Arial" w:eastAsia="Arial" w:hAnsi="Arial"/>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sales</w:t>
            </w: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2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2,476.1</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2,571.6</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680" w:type="dxa"/>
            <w:vAlign w:val="bottom"/>
          </w:tcPr>
          <w:p>
            <w:pPr>
              <w:jc w:val="right"/>
              <w:ind w:right="503"/>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89.1</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2,565.2</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565.0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3420" w:type="dxa"/>
            <w:vAlign w:val="bottom"/>
          </w:tcPr>
          <w:p>
            <w:pPr>
              <w:ind w:left="220"/>
              <w:spacing w:after="0"/>
              <w:rPr>
                <w:sz w:val="20"/>
                <w:szCs w:val="20"/>
                <w:color w:val="auto"/>
              </w:rPr>
            </w:pPr>
            <w:r>
              <w:rPr>
                <w:rFonts w:ascii="Arial" w:cs="Arial" w:eastAsia="Arial" w:hAnsi="Arial"/>
                <w:sz w:val="16"/>
                <w:szCs w:val="16"/>
                <w:color w:val="auto"/>
              </w:rPr>
              <w:t>JANZ</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481.9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461.6</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756.6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3420" w:type="dxa"/>
            <w:vAlign w:val="bottom"/>
          </w:tcPr>
          <w:p>
            <w:pPr>
              <w:ind w:left="480"/>
              <w:spacing w:after="0"/>
              <w:rPr>
                <w:sz w:val="20"/>
                <w:szCs w:val="20"/>
                <w:color w:val="auto"/>
              </w:rPr>
            </w:pPr>
            <w:r>
              <w:rPr>
                <w:rFonts w:ascii="Arial" w:cs="Arial" w:eastAsia="Arial" w:hAnsi="Arial"/>
                <w:sz w:val="16"/>
                <w:szCs w:val="16"/>
                <w:color w:val="auto"/>
              </w:rPr>
              <w:t>Total net sales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4,178.2</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4,400.1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680" w:type="dxa"/>
            <w:vAlign w:val="bottom"/>
          </w:tcPr>
          <w:p>
            <w:pPr>
              <w:jc w:val="right"/>
              <w:ind w:right="503"/>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170.3</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4,348.4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Other revenues </w:t>
            </w:r>
            <w:r>
              <w:rPr>
                <w:rFonts w:ascii="Arial" w:cs="Arial" w:eastAsia="Arial" w:hAnsi="Arial"/>
                <w:sz w:val="21"/>
                <w:szCs w:val="21"/>
                <w:color w:val="auto"/>
                <w:vertAlign w:val="superscript"/>
              </w:rPr>
              <w:t>(3)</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gridSpan w:val="2"/>
          </w:tcPr>
          <w:p>
            <w:pPr>
              <w:ind w:left="1040"/>
              <w:spacing w:after="0"/>
              <w:rPr>
                <w:sz w:val="20"/>
                <w:szCs w:val="20"/>
                <w:color w:val="auto"/>
              </w:rPr>
            </w:pPr>
            <w:r>
              <w:rPr>
                <w:rFonts w:ascii="Arial" w:cs="Arial" w:eastAsia="Arial" w:hAnsi="Arial"/>
                <w:sz w:val="16"/>
                <w:szCs w:val="16"/>
                <w:color w:val="auto"/>
              </w:rPr>
              <w:t>nm</w:t>
            </w: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5"/>
        </w:trPr>
        <w:tc>
          <w:tcPr>
            <w:tcW w:w="3420" w:type="dxa"/>
            <w:vAlign w:val="bottom"/>
            <w:tcBorders>
              <w:bottom w:val="single" w:sz="8" w:color="CCEEFF"/>
            </w:tcBorders>
            <w:shd w:val="clear" w:color="auto" w:fill="CCEEFF"/>
          </w:tcPr>
          <w:p>
            <w:pPr>
              <w:ind w:left="220"/>
              <w:spacing w:after="0" w:line="210" w:lineRule="exact"/>
              <w:rPr>
                <w:sz w:val="20"/>
                <w:szCs w:val="20"/>
                <w:color w:val="auto"/>
              </w:rPr>
            </w:pPr>
            <w:r>
              <w:rPr>
                <w:rFonts w:ascii="Arial" w:cs="Arial" w:eastAsia="Arial" w:hAnsi="Arial"/>
                <w:sz w:val="16"/>
                <w:szCs w:val="16"/>
                <w:color w:val="auto"/>
              </w:rPr>
              <w:t xml:space="preserve">Consolidated total revenues </w:t>
            </w:r>
            <w:r>
              <w:rPr>
                <w:rFonts w:ascii="Arial" w:cs="Arial" w:eastAsia="Arial" w:hAnsi="Arial"/>
                <w:sz w:val="21"/>
                <w:szCs w:val="21"/>
                <w:color w:val="auto"/>
                <w:vertAlign w:val="superscript"/>
              </w:rPr>
              <w:t>(4)</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4,191.7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4,430.3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170.8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4,362.4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4" w:lineRule="exact"/>
        <w:rPr>
          <w:sz w:val="20"/>
          <w:szCs w:val="20"/>
          <w:color w:val="auto"/>
        </w:rPr>
      </w:pPr>
    </w:p>
    <w:p>
      <w:pPr>
        <w:ind w:left="580" w:hanging="248"/>
        <w:spacing w:after="0"/>
        <w:tabs>
          <w:tab w:leader="none" w:pos="5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Currency impact is shown as unfavorable (favorable).</w:t>
      </w:r>
    </w:p>
    <w:p>
      <w:pPr>
        <w:spacing w:after="0" w:line="57" w:lineRule="exact"/>
        <w:rPr>
          <w:rFonts w:ascii="Arial" w:cs="Arial" w:eastAsia="Arial" w:hAnsi="Arial"/>
          <w:sz w:val="21"/>
          <w:szCs w:val="21"/>
          <w:color w:val="auto"/>
          <w:vertAlign w:val="superscript"/>
        </w:rPr>
      </w:pPr>
    </w:p>
    <w:p>
      <w:pPr>
        <w:jc w:val="both"/>
        <w:ind w:left="660" w:hanging="328"/>
        <w:spacing w:after="0" w:line="227" w:lineRule="auto"/>
        <w:tabs>
          <w:tab w:leader="none" w:pos="636"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The constant currency percentage change is derived by translating net sales or revenues for the current period at prior year comparative period exchange rates, and in doing so shows the percentage change from 2022 constant currency net sales or revenues to the corresponding amount in the prior year.</w:t>
      </w:r>
    </w:p>
    <w:p>
      <w:pPr>
        <w:spacing w:after="0" w:line="42" w:lineRule="exact"/>
        <w:rPr>
          <w:rFonts w:ascii="Arial" w:cs="Arial" w:eastAsia="Arial" w:hAnsi="Arial"/>
          <w:sz w:val="21"/>
          <w:szCs w:val="21"/>
          <w:color w:val="auto"/>
          <w:vertAlign w:val="superscript"/>
        </w:rPr>
      </w:pPr>
    </w:p>
    <w:p>
      <w:pPr>
        <w:ind w:left="660" w:right="20" w:hanging="328"/>
        <w:spacing w:after="0" w:line="227" w:lineRule="auto"/>
        <w:tabs>
          <w:tab w:leader="none" w:pos="653"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2022, other revenues in Developed Markets, JANZ, and Emerging Markets were approximately $6.3 million, $0.9 million, and $6.3 million, respectively.</w:t>
      </w:r>
    </w:p>
    <w:p>
      <w:pPr>
        <w:spacing w:after="0" w:line="16"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Amounts exclude intersegment revenue which eliminates on a consolidated basis.</w:t>
      </w:r>
    </w:p>
    <w:p>
      <w:pPr>
        <w:sectPr>
          <w:pgSz w:w="11900" w:h="16838" w:orient="portrait"/>
          <w:cols w:equalWidth="0" w:num="1">
            <w:col w:w="11240"/>
          </w:cols>
          <w:pgMar w:left="320" w:top="8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89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Reconciliation of Income Statement Line Items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 except %s)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7"/>
                <w:szCs w:val="17"/>
                <w:color w:val="auto"/>
              </w:rPr>
            </w:pPr>
          </w:p>
        </w:tc>
      </w:tr>
      <w:tr>
        <w:trPr>
          <w:trHeight w:val="196"/>
        </w:trPr>
        <w:tc>
          <w:tcPr>
            <w:tcW w:w="84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r>
      <w:tr>
        <w:trPr>
          <w:trHeight w:val="197"/>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cost of sales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2,420.5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3,303.0</w:t>
            </w:r>
          </w:p>
        </w:tc>
      </w:tr>
      <w:tr>
        <w:trPr>
          <w:trHeight w:val="198"/>
        </w:trPr>
        <w:tc>
          <w:tcPr>
            <w:tcW w:w="848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7"/>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related amortization</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(658.8)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(1,255.0)</w:t>
            </w:r>
          </w:p>
        </w:tc>
      </w:tr>
      <w:tr>
        <w:trPr>
          <w:trHeight w:val="198"/>
        </w:trPr>
        <w:tc>
          <w:tcPr>
            <w:tcW w:w="8480" w:type="dxa"/>
            <w:vAlign w:val="bottom"/>
          </w:tcPr>
          <w:p>
            <w:pPr>
              <w:ind w:left="220"/>
              <w:spacing w:after="0"/>
              <w:rPr>
                <w:sz w:val="20"/>
                <w:szCs w:val="20"/>
                <w:color w:val="auto"/>
              </w:rPr>
            </w:pPr>
            <w:r>
              <w:rPr>
                <w:rFonts w:ascii="Arial" w:cs="Arial" w:eastAsia="Arial" w:hAnsi="Arial"/>
                <w:sz w:val="14"/>
                <w:szCs w:val="14"/>
                <w:color w:val="auto"/>
              </w:rPr>
              <w:t>Acquisition related items</w:t>
            </w:r>
          </w:p>
        </w:tc>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(2.5)</w:t>
            </w:r>
          </w:p>
        </w:tc>
      </w:tr>
      <w:tr>
        <w:trPr>
          <w:trHeight w:val="207"/>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related costs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(167.8)</w:t>
            </w:r>
          </w:p>
        </w:tc>
      </w:tr>
      <w:tr>
        <w:trPr>
          <w:trHeight w:val="198"/>
        </w:trPr>
        <w:tc>
          <w:tcPr>
            <w:tcW w:w="848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(0.6)</w:t>
            </w:r>
          </w:p>
        </w:tc>
      </w:tr>
      <w:tr>
        <w:trPr>
          <w:trHeight w:val="203"/>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(86.7)</w:t>
            </w:r>
          </w:p>
        </w:tc>
      </w:tr>
      <w:tr>
        <w:trPr>
          <w:trHeight w:val="200"/>
        </w:trPr>
        <w:tc>
          <w:tcPr>
            <w:tcW w:w="8480" w:type="dxa"/>
            <w:vAlign w:val="bottom"/>
          </w:tcPr>
          <w:p>
            <w:pPr>
              <w:ind w:left="20"/>
              <w:spacing w:after="0"/>
              <w:rPr>
                <w:sz w:val="20"/>
                <w:szCs w:val="20"/>
                <w:color w:val="auto"/>
              </w:rPr>
            </w:pPr>
            <w:r>
              <w:rPr>
                <w:rFonts w:ascii="Arial" w:cs="Arial" w:eastAsia="Arial" w:hAnsi="Arial"/>
                <w:sz w:val="14"/>
                <w:szCs w:val="14"/>
                <w:color w:val="auto"/>
              </w:rPr>
              <w:t>Adjusted cost of sales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1,698.3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1,790.4</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8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3"/>
        </w:trPr>
        <w:tc>
          <w:tcPr>
            <w:tcW w:w="84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2,493.4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2,639.9</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8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3"/>
        </w:trPr>
        <w:tc>
          <w:tcPr>
            <w:tcW w:w="84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60 %</w:t>
            </w:r>
          </w:p>
        </w:tc>
      </w:tr>
      <w:tr>
        <w:trPr>
          <w:trHeight w:val="21"/>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r>
      <w:tr>
        <w:trPr>
          <w:trHeight w:val="204"/>
        </w:trPr>
        <w:tc>
          <w:tcPr>
            <w:tcW w:w="8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7"/>
                <w:szCs w:val="17"/>
                <w:color w:val="auto"/>
              </w:rPr>
            </w:pPr>
          </w:p>
        </w:tc>
      </w:tr>
      <w:tr>
        <w:trPr>
          <w:trHeight w:val="196"/>
        </w:trPr>
        <w:tc>
          <w:tcPr>
            <w:tcW w:w="84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r>
      <w:tr>
        <w:trPr>
          <w:trHeight w:val="197"/>
        </w:trPr>
        <w:tc>
          <w:tcPr>
            <w:tcW w:w="8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U.S. GAAP R&amp;D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142.3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184.1</w:t>
            </w:r>
          </w:p>
        </w:tc>
      </w:tr>
      <w:tr>
        <w:trPr>
          <w:trHeight w:val="198"/>
        </w:trPr>
        <w:tc>
          <w:tcPr>
            <w:tcW w:w="8460" w:type="dxa"/>
            <w:vAlign w:val="bottom"/>
          </w:tcPr>
          <w:p>
            <w:pPr>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 related costs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r>
      <w:tr>
        <w:trPr>
          <w:trHeight w:val="198"/>
        </w:trPr>
        <w:tc>
          <w:tcPr>
            <w:tcW w:w="8460" w:type="dxa"/>
            <w:vAlign w:val="bottom"/>
          </w:tcPr>
          <w:p>
            <w:pPr>
              <w:ind w:left="20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(6.4)</w:t>
            </w:r>
          </w:p>
        </w:tc>
      </w:tr>
      <w:tr>
        <w:trPr>
          <w:trHeight w:val="20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Share-based compensation expense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r>
      <w:tr>
        <w:trPr>
          <w:trHeight w:val="203"/>
        </w:trPr>
        <w:tc>
          <w:tcPr>
            <w:tcW w:w="846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4"/>
                <w:szCs w:val="14"/>
                <w:color w:val="auto"/>
              </w:rPr>
              <w:t xml:space="preserve">Other special items </w:t>
            </w:r>
            <w:r>
              <w:rPr>
                <w:rFonts w:ascii="Arial" w:cs="Arial" w:eastAsia="Arial" w:hAnsi="Arial"/>
                <w:sz w:val="18"/>
                <w:szCs w:val="18"/>
                <w:color w:val="auto"/>
                <w:vertAlign w:val="superscript"/>
              </w:rPr>
              <w:t>(b)</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w:t>
            </w:r>
          </w:p>
        </w:tc>
      </w:tr>
      <w:tr>
        <w:trPr>
          <w:trHeight w:val="221"/>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Adjusted R&amp;D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138.6</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161.8</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8"/>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Adjusted R&amp;D as % of total revenues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7"/>
                <w:szCs w:val="17"/>
                <w:color w:val="auto"/>
              </w:rPr>
            </w:pPr>
          </w:p>
        </w:tc>
      </w:tr>
      <w:tr>
        <w:trPr>
          <w:trHeight w:val="196"/>
        </w:trPr>
        <w:tc>
          <w:tcPr>
            <w:tcW w:w="84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r>
      <w:tr>
        <w:trPr>
          <w:trHeight w:val="197"/>
        </w:trPr>
        <w:tc>
          <w:tcPr>
            <w:tcW w:w="8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U.S. GAAP SG&amp;A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915.3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1,186.5</w:t>
            </w:r>
          </w:p>
        </w:tc>
      </w:tr>
      <w:tr>
        <w:trPr>
          <w:trHeight w:val="199"/>
        </w:trPr>
        <w:tc>
          <w:tcPr>
            <w:tcW w:w="8460" w:type="dxa"/>
            <w:vAlign w:val="bottom"/>
          </w:tcPr>
          <w:p>
            <w:pPr>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6"/>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 related costs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(57.2)</w:t>
            </w:r>
          </w:p>
        </w:tc>
      </w:tr>
      <w:tr>
        <w:trPr>
          <w:trHeight w:val="199"/>
        </w:trPr>
        <w:tc>
          <w:tcPr>
            <w:tcW w:w="8460" w:type="dxa"/>
            <w:vAlign w:val="bottom"/>
          </w:tcPr>
          <w:p>
            <w:pPr>
              <w:ind w:left="20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(141.2)</w:t>
            </w:r>
          </w:p>
        </w:tc>
      </w:tr>
      <w:tr>
        <w:trPr>
          <w:trHeight w:val="206"/>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Purchase accounting amortization and other related items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r>
      <w:tr>
        <w:trPr>
          <w:trHeight w:val="199"/>
        </w:trPr>
        <w:tc>
          <w:tcPr>
            <w:tcW w:w="8460" w:type="dxa"/>
            <w:vAlign w:val="bottom"/>
          </w:tcPr>
          <w:p>
            <w:pPr>
              <w:ind w:left="20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(31.0)</w:t>
            </w:r>
          </w:p>
        </w:tc>
      </w:tr>
      <w:tr>
        <w:trPr>
          <w:trHeight w:val="203"/>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special items and reclassifications</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(19.3)</w:t>
            </w:r>
          </w:p>
        </w:tc>
      </w:tr>
      <w:tr>
        <w:trPr>
          <w:trHeight w:val="200"/>
        </w:trPr>
        <w:tc>
          <w:tcPr>
            <w:tcW w:w="8460" w:type="dxa"/>
            <w:vAlign w:val="bottom"/>
          </w:tcPr>
          <w:p>
            <w:pPr>
              <w:spacing w:after="0"/>
              <w:rPr>
                <w:sz w:val="20"/>
                <w:szCs w:val="20"/>
                <w:color w:val="auto"/>
              </w:rPr>
            </w:pPr>
            <w:r>
              <w:rPr>
                <w:rFonts w:ascii="Arial" w:cs="Arial" w:eastAsia="Arial" w:hAnsi="Arial"/>
                <w:sz w:val="14"/>
                <w:szCs w:val="14"/>
                <w:color w:val="auto"/>
              </w:rPr>
              <w:t>Adjusted SG&amp;A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803.8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937.8</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8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3"/>
        </w:trPr>
        <w:tc>
          <w:tcPr>
            <w:tcW w:w="8460" w:type="dxa"/>
            <w:vAlign w:val="bottom"/>
          </w:tcPr>
          <w:p>
            <w:pPr>
              <w:spacing w:after="0"/>
              <w:rPr>
                <w:sz w:val="20"/>
                <w:szCs w:val="20"/>
                <w:color w:val="auto"/>
              </w:rPr>
            </w:pPr>
            <w:r>
              <w:rPr>
                <w:rFonts w:ascii="Arial" w:cs="Arial" w:eastAsia="Arial" w:hAnsi="Arial"/>
                <w:sz w:val="14"/>
                <w:szCs w:val="14"/>
                <w:color w:val="auto"/>
              </w:rPr>
              <w:t>Adjusted SG&amp;A as % of total revenues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19 %</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21 %</w:t>
            </w: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7"/>
                <w:szCs w:val="17"/>
                <w:color w:val="auto"/>
              </w:rPr>
            </w:pPr>
          </w:p>
        </w:tc>
      </w:tr>
      <w:tr>
        <w:trPr>
          <w:trHeight w:val="196"/>
        </w:trPr>
        <w:tc>
          <w:tcPr>
            <w:tcW w:w="86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r>
      <w:tr>
        <w:trPr>
          <w:trHeight w:val="197"/>
        </w:trPr>
        <w:tc>
          <w:tcPr>
            <w:tcW w:w="8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U.S. GAAP total operating expenses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1,063.8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1,393.5</w:t>
            </w:r>
          </w:p>
        </w:tc>
      </w:tr>
      <w:tr>
        <w:trPr>
          <w:trHeight w:val="199"/>
        </w:trPr>
        <w:tc>
          <w:tcPr>
            <w:tcW w:w="8680" w:type="dxa"/>
            <w:vAlign w:val="bottom"/>
          </w:tcPr>
          <w:p>
            <w:pPr>
              <w:spacing w:after="0"/>
              <w:rPr>
                <w:sz w:val="20"/>
                <w:szCs w:val="20"/>
                <w:color w:val="auto"/>
              </w:rPr>
            </w:pPr>
            <w:r>
              <w:rPr>
                <w:rFonts w:ascii="Arial" w:cs="Arial" w:eastAsia="Arial" w:hAnsi="Arial"/>
                <w:sz w:val="14"/>
                <w:szCs w:val="14"/>
                <w:color w:val="auto"/>
              </w:rPr>
              <w:t>Deduct: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6"/>
        </w:trPr>
        <w:tc>
          <w:tcPr>
            <w:tcW w:w="8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Litigation settlements and other contingencies, net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r>
      <w:tr>
        <w:trPr>
          <w:trHeight w:val="199"/>
        </w:trPr>
        <w:tc>
          <w:tcPr>
            <w:tcW w:w="8680" w:type="dxa"/>
            <w:vAlign w:val="bottom"/>
          </w:tcPr>
          <w:p>
            <w:pPr>
              <w:ind w:left="200"/>
              <w:spacing w:after="0"/>
              <w:rPr>
                <w:sz w:val="20"/>
                <w:szCs w:val="20"/>
                <w:color w:val="auto"/>
              </w:rPr>
            </w:pPr>
            <w:r>
              <w:rPr>
                <w:rFonts w:ascii="Arial" w:cs="Arial" w:eastAsia="Arial" w:hAnsi="Arial"/>
                <w:sz w:val="14"/>
                <w:szCs w:val="14"/>
                <w:color w:val="auto"/>
              </w:rPr>
              <w:t>R&amp;D adjustments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(22.3)</w:t>
            </w:r>
          </w:p>
        </w:tc>
      </w:tr>
      <w:tr>
        <w:trPr>
          <w:trHeight w:val="203"/>
        </w:trPr>
        <w:tc>
          <w:tcPr>
            <w:tcW w:w="8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SG&amp;A adjustments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(248.7)</w:t>
            </w:r>
          </w:p>
        </w:tc>
      </w:tr>
      <w:tr>
        <w:trPr>
          <w:trHeight w:val="200"/>
        </w:trPr>
        <w:tc>
          <w:tcPr>
            <w:tcW w:w="8680" w:type="dxa"/>
            <w:vAlign w:val="bottom"/>
          </w:tcPr>
          <w:p>
            <w:pPr>
              <w:spacing w:after="0"/>
              <w:rPr>
                <w:sz w:val="20"/>
                <w:szCs w:val="20"/>
                <w:color w:val="auto"/>
              </w:rPr>
            </w:pPr>
            <w:r>
              <w:rPr>
                <w:rFonts w:ascii="Arial" w:cs="Arial" w:eastAsia="Arial" w:hAnsi="Arial"/>
                <w:sz w:val="14"/>
                <w:szCs w:val="14"/>
                <w:color w:val="auto"/>
              </w:rPr>
              <w:t>Adjusted total operating expenses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942.4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1,099.6</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8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8"/>
                <w:szCs w:val="18"/>
                <w:color w:val="auto"/>
                <w:vertAlign w:val="superscript"/>
              </w:rPr>
              <w:t>(c)</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1,551.0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1,540.3</w:t>
            </w:r>
          </w:p>
        </w:tc>
      </w:tr>
      <w:tr>
        <w:trPr>
          <w:trHeight w:val="20"/>
        </w:trPr>
        <w:tc>
          <w:tcPr>
            <w:tcW w:w="8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20"/>
          </w:cols>
          <w:pgMar w:left="320" w:top="890" w:right="359" w:bottom="1440" w:gutter="0" w:footer="0" w:header="0"/>
          <w:type w:val="continuous"/>
        </w:sectPr>
      </w:pPr>
    </w:p>
    <w:bookmarkStart w:id="16" w:name="page17"/>
    <w:bookmarkEnd w:id="16"/>
    <w:tbl>
      <w:tblPr>
        <w:tblLayout w:type="fixed"/>
        <w:tblInd w:w="40" w:type="dxa"/>
        <w:tblCellMar>
          <w:top w:w="0" w:type="dxa"/>
          <w:left w:w="0" w:type="dxa"/>
          <w:bottom w:w="0" w:type="dxa"/>
          <w:right w:w="0" w:type="dxa"/>
        </w:tblCellMar>
      </w:tblPr>
      <w:tr>
        <w:trPr>
          <w:trHeight w:val="196"/>
        </w:trPr>
        <w:tc>
          <w:tcPr>
            <w:tcW w:w="8680" w:type="dxa"/>
            <w:vAlign w:val="bottom"/>
          </w:tcPr>
          <w:p>
            <w:pPr>
              <w:spacing w:after="0"/>
              <w:rPr>
                <w:sz w:val="17"/>
                <w:szCs w:val="17"/>
                <w:color w:val="auto"/>
              </w:rPr>
            </w:pPr>
          </w:p>
        </w:tc>
        <w:tc>
          <w:tcPr>
            <w:tcW w:w="206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7"/>
                <w:szCs w:val="17"/>
                <w:color w:val="auto"/>
              </w:rPr>
            </w:pPr>
          </w:p>
        </w:tc>
      </w:tr>
      <w:tr>
        <w:trPr>
          <w:trHeight w:val="204"/>
        </w:trPr>
        <w:tc>
          <w:tcPr>
            <w:tcW w:w="86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7"/>
                <w:szCs w:val="17"/>
                <w:color w:val="auto"/>
              </w:rPr>
            </w:pPr>
          </w:p>
        </w:tc>
      </w:tr>
      <w:tr>
        <w:trPr>
          <w:trHeight w:val="196"/>
        </w:trPr>
        <w:tc>
          <w:tcPr>
            <w:tcW w:w="86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r>
      <w:tr>
        <w:trPr>
          <w:trHeight w:val="197"/>
        </w:trPr>
        <w:tc>
          <w:tcPr>
            <w:tcW w:w="8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U.S. GAAP interest expense</w:t>
            </w: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146.2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w:t>
            </w:r>
          </w:p>
        </w:tc>
      </w:tr>
      <w:tr>
        <w:trPr>
          <w:trHeight w:val="198"/>
        </w:trPr>
        <w:tc>
          <w:tcPr>
            <w:tcW w:w="8680" w:type="dxa"/>
            <w:vAlign w:val="bottom"/>
          </w:tcPr>
          <w:p>
            <w:pPr>
              <w:spacing w:after="0"/>
              <w:rPr>
                <w:sz w:val="20"/>
                <w:szCs w:val="20"/>
                <w:color w:val="auto"/>
              </w:rPr>
            </w:pPr>
            <w:r>
              <w:rPr>
                <w:rFonts w:ascii="Arial" w:cs="Arial" w:eastAsia="Arial" w:hAnsi="Arial"/>
                <w:sz w:val="14"/>
                <w:szCs w:val="14"/>
                <w:color w:val="auto"/>
              </w:rPr>
              <w:t>Add / (Deduct):</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7"/>
        </w:trPr>
        <w:tc>
          <w:tcPr>
            <w:tcW w:w="8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expense related to clean energy investments</w:t>
            </w:r>
          </w:p>
        </w:tc>
        <w:tc>
          <w:tcPr>
            <w:tcW w:w="7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98"/>
        </w:trPr>
        <w:tc>
          <w:tcPr>
            <w:tcW w:w="8680" w:type="dxa"/>
            <w:vAlign w:val="bottom"/>
          </w:tcPr>
          <w:p>
            <w:pPr>
              <w:ind w:left="200"/>
              <w:spacing w:after="0"/>
              <w:rPr>
                <w:sz w:val="20"/>
                <w:szCs w:val="20"/>
                <w:color w:val="auto"/>
              </w:rPr>
            </w:pPr>
            <w:r>
              <w:rPr>
                <w:rFonts w:ascii="Arial" w:cs="Arial" w:eastAsia="Arial" w:hAnsi="Arial"/>
                <w:sz w:val="14"/>
                <w:szCs w:val="14"/>
                <w:color w:val="auto"/>
              </w:rPr>
              <w:t>Accretion of contingent consideration liability</w:t>
            </w: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07"/>
        </w:trPr>
        <w:tc>
          <w:tcPr>
            <w:tcW w:w="8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premiums and discounts on long-term debt</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r>
      <w:tr>
        <w:trPr>
          <w:trHeight w:val="198"/>
        </w:trPr>
        <w:tc>
          <w:tcPr>
            <w:tcW w:w="86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Other special items</w:t>
            </w: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25"/>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Adjusted interest expense</w:t>
            </w:r>
          </w:p>
        </w:tc>
        <w:tc>
          <w:tcPr>
            <w:tcW w:w="76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6"/>
              </w:rPr>
              <w:t>159.9</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182.3</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680" w:type="dxa"/>
            <w:vAlign w:val="bottom"/>
          </w:tcPr>
          <w:p>
            <w:pPr>
              <w:spacing w:after="0"/>
              <w:rPr>
                <w:sz w:val="17"/>
                <w:szCs w:val="17"/>
                <w:color w:val="auto"/>
              </w:rPr>
            </w:pPr>
          </w:p>
        </w:tc>
        <w:tc>
          <w:tcPr>
            <w:tcW w:w="208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7"/>
                <w:szCs w:val="17"/>
                <w:color w:val="auto"/>
              </w:rPr>
            </w:pPr>
          </w:p>
        </w:tc>
      </w:tr>
      <w:tr>
        <w:trPr>
          <w:trHeight w:val="204"/>
        </w:trPr>
        <w:tc>
          <w:tcPr>
            <w:tcW w:w="86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7"/>
                <w:szCs w:val="17"/>
                <w:color w:val="auto"/>
              </w:rPr>
            </w:pPr>
          </w:p>
        </w:tc>
      </w:tr>
      <w:tr>
        <w:trPr>
          <w:trHeight w:val="196"/>
        </w:trPr>
        <w:tc>
          <w:tcPr>
            <w:tcW w:w="86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r>
      <w:tr>
        <w:trPr>
          <w:trHeight w:val="197"/>
        </w:trPr>
        <w:tc>
          <w:tcPr>
            <w:tcW w:w="8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U.S. GAAP other expense, net</w:t>
            </w:r>
          </w:p>
        </w:tc>
        <w:tc>
          <w:tcPr>
            <w:tcW w:w="80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198"/>
        </w:trPr>
        <w:tc>
          <w:tcPr>
            <w:tcW w:w="8680" w:type="dxa"/>
            <w:vAlign w:val="bottom"/>
          </w:tcPr>
          <w:p>
            <w:pPr>
              <w:spacing w:after="0"/>
              <w:rPr>
                <w:sz w:val="20"/>
                <w:szCs w:val="20"/>
                <w:color w:val="auto"/>
              </w:rPr>
            </w:pPr>
            <w:r>
              <w:rPr>
                <w:rFonts w:ascii="Arial" w:cs="Arial" w:eastAsia="Arial" w:hAnsi="Arial"/>
                <w:sz w:val="14"/>
                <w:szCs w:val="14"/>
                <w:color w:val="auto"/>
              </w:rPr>
              <w:t>Add / (Deduct):</w:t>
            </w: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7"/>
        </w:trPr>
        <w:tc>
          <w:tcPr>
            <w:tcW w:w="8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 xml:space="preserve">Clean energy investments pre-tax (gain) loss </w:t>
            </w:r>
            <w:r>
              <w:rPr>
                <w:rFonts w:ascii="Arial" w:cs="Arial" w:eastAsia="Arial" w:hAnsi="Arial"/>
                <w:sz w:val="18"/>
                <w:szCs w:val="18"/>
                <w:color w:val="auto"/>
                <w:vertAlign w:val="superscript"/>
              </w:rPr>
              <w:t>(d)</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r>
      <w:tr>
        <w:trPr>
          <w:trHeight w:val="198"/>
        </w:trPr>
        <w:tc>
          <w:tcPr>
            <w:tcW w:w="86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Other items</w:t>
            </w: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Adjusted other expense (income), net</w:t>
            </w:r>
          </w:p>
        </w:tc>
        <w:tc>
          <w:tcPr>
            <w:tcW w:w="80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35.3</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4"/>
        </w:trPr>
        <w:tc>
          <w:tcPr>
            <w:tcW w:w="8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earnings (loss) before income taxes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527.5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(441.3)</w:t>
            </w:r>
          </w:p>
        </w:tc>
        <w:tc>
          <w:tcPr>
            <w:tcW w:w="0" w:type="dxa"/>
            <w:vAlign w:val="bottom"/>
          </w:tcPr>
          <w:p>
            <w:pPr>
              <w:spacing w:after="0"/>
              <w:rPr>
                <w:sz w:val="1"/>
                <w:szCs w:val="1"/>
                <w:color w:val="auto"/>
              </w:rPr>
            </w:pPr>
          </w:p>
        </w:tc>
      </w:tr>
      <w:tr>
        <w:trPr>
          <w:trHeight w:val="198"/>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pre-tax non-GAAP adjustments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828.3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1,811.1</w:t>
            </w:r>
          </w:p>
        </w:tc>
        <w:tc>
          <w:tcPr>
            <w:tcW w:w="0" w:type="dxa"/>
            <w:vAlign w:val="bottom"/>
          </w:tcPr>
          <w:p>
            <w:pPr>
              <w:spacing w:after="0"/>
              <w:rPr>
                <w:sz w:val="1"/>
                <w:szCs w:val="1"/>
                <w:color w:val="auto"/>
              </w:rPr>
            </w:pPr>
          </w:p>
        </w:tc>
      </w:tr>
      <w:tr>
        <w:trPr>
          <w:trHeight w:val="22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earnings before income taxes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1,355.8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1,369.8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income tax provision</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128.3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596.3</w:t>
            </w:r>
          </w:p>
        </w:tc>
        <w:tc>
          <w:tcPr>
            <w:tcW w:w="0" w:type="dxa"/>
            <w:vAlign w:val="bottom"/>
          </w:tcPr>
          <w:p>
            <w:pPr>
              <w:spacing w:after="0"/>
              <w:rPr>
                <w:sz w:val="1"/>
                <w:szCs w:val="1"/>
                <w:color w:val="auto"/>
              </w:rPr>
            </w:pPr>
          </w:p>
        </w:tc>
      </w:tr>
      <w:tr>
        <w:trPr>
          <w:trHeight w:val="198"/>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tax expense (benefit)</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(342.9)</w:t>
            </w:r>
          </w:p>
        </w:tc>
        <w:tc>
          <w:tcPr>
            <w:tcW w:w="0" w:type="dxa"/>
            <w:vAlign w:val="bottom"/>
          </w:tcPr>
          <w:p>
            <w:pPr>
              <w:spacing w:after="0"/>
              <w:rPr>
                <w:sz w:val="1"/>
                <w:szCs w:val="1"/>
                <w:color w:val="auto"/>
              </w:rPr>
            </w:pPr>
          </w:p>
        </w:tc>
      </w:tr>
      <w:tr>
        <w:trPr>
          <w:trHeight w:val="22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tax provision</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230.5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253.4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effective tax rate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18.5 %</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4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660" w:hanging="328"/>
        <w:spacing w:after="0"/>
        <w:tabs>
          <w:tab w:leader="none" w:pos="653"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80" w:lineRule="exact"/>
        <w:rPr>
          <w:rFonts w:ascii="Arial" w:cs="Arial" w:eastAsia="Arial" w:hAnsi="Arial"/>
          <w:sz w:val="19"/>
          <w:szCs w:val="19"/>
          <w:color w:val="auto"/>
          <w:vertAlign w:val="superscript"/>
        </w:rPr>
      </w:pPr>
    </w:p>
    <w:p>
      <w:pPr>
        <w:jc w:val="both"/>
        <w:ind w:left="660" w:hanging="328"/>
        <w:spacing w:after="0" w:line="276" w:lineRule="auto"/>
        <w:tabs>
          <w:tab w:leader="none" w:pos="653" w:val="left"/>
        </w:tabs>
        <w:numPr>
          <w:ilvl w:val="0"/>
          <w:numId w:val="10"/>
        </w:numPr>
        <w:rPr>
          <w:rFonts w:ascii="Arial" w:cs="Arial" w:eastAsia="Arial" w:hAnsi="Arial"/>
          <w:sz w:val="9"/>
          <w:szCs w:val="9"/>
          <w:color w:val="auto"/>
        </w:rPr>
      </w:pPr>
      <w:r>
        <w:rPr>
          <w:rFonts w:ascii="Arial" w:cs="Arial" w:eastAsia="Arial" w:hAnsi="Arial"/>
          <w:sz w:val="14"/>
          <w:szCs w:val="14"/>
          <w:color w:val="auto"/>
        </w:rPr>
        <w:t>Beginning in 2022, upfront and milestone-related R&amp;D expenses related to collaboration and licensing arrangements are no longer excluded from adjusted net earnings and adjusted EBITDA. This change had no impact on the three months ended March 31, 2022. For all prior periods presented, these expenses and payments were excluded from adjusted net earnings and adjusted EBITDA. Prior period adjusted net earnings and adjusted EBITDA have not been recast to reflect this change in policy because the excluded amount was approximately $0.5 million and is considered immaterial.</w:t>
      </w:r>
    </w:p>
    <w:p>
      <w:pPr>
        <w:spacing w:after="0" w:line="69" w:lineRule="exact"/>
        <w:rPr>
          <w:rFonts w:ascii="Arial" w:cs="Arial" w:eastAsia="Arial" w:hAnsi="Arial"/>
          <w:sz w:val="9"/>
          <w:szCs w:val="9"/>
          <w:color w:val="auto"/>
        </w:rPr>
      </w:pPr>
    </w:p>
    <w:p>
      <w:pPr>
        <w:ind w:left="660" w:right="20" w:hanging="328"/>
        <w:spacing w:after="0" w:line="222" w:lineRule="auto"/>
        <w:tabs>
          <w:tab w:leader="none" w:pos="647"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U.S. GAAP earnings from operations is calculated as U.S. GAAP gross profit less U.S. GAAP total operating expenses. Adjusted earnings from operations is calculated as adjusted gross profit less adjusted total operating expenses.</w:t>
      </w:r>
    </w:p>
    <w:p>
      <w:pPr>
        <w:spacing w:after="0" w:line="94" w:lineRule="exact"/>
        <w:rPr>
          <w:rFonts w:ascii="Arial" w:cs="Arial" w:eastAsia="Arial" w:hAnsi="Arial"/>
          <w:sz w:val="19"/>
          <w:szCs w:val="19"/>
          <w:color w:val="auto"/>
          <w:vertAlign w:val="superscript"/>
        </w:rPr>
      </w:pPr>
    </w:p>
    <w:p>
      <w:pPr>
        <w:ind w:left="660" w:hanging="328"/>
        <w:spacing w:after="0" w:line="231" w:lineRule="auto"/>
        <w:tabs>
          <w:tab w:leader="none" w:pos="653"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Adjustment represents exclusion of activity related to Viatris' clean energy investments, the activities of which qualify for income tax credits under section 45 of the U.S.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9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Reconciliation of Estimated 2022 GAAP Net Cash Provided by Operating Activities to Free Cash Flow</w:t>
      </w:r>
    </w:p>
    <w:p>
      <w:pPr>
        <w:spacing w:after="0" w:line="11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(Unaudited; in millions)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2022 GAAP Net Cash provided by Operating Activities to Free Cash Flow is presented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GAAP Net Cash provided by Operating Activities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$3,400</w:t>
            </w:r>
          </w:p>
        </w:tc>
      </w:tr>
      <w:tr>
        <w:trPr>
          <w:trHeight w:val="216"/>
        </w:trPr>
        <w:tc>
          <w:tcPr>
            <w:tcW w:w="8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Capital Expenditures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$(675)</w:t>
            </w:r>
          </w:p>
        </w:tc>
      </w:tr>
      <w:tr>
        <w:trPr>
          <w:trHeight w:val="197"/>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$2,900</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sectPr>
      <w:pgSz w:w="11900" w:h="16838" w:orient="portrait"/>
      <w:cols w:equalWidth="0" w:num="1">
        <w:col w:w="11240"/>
      </w:cols>
      <w:pgMar w:left="320" w:top="12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2022-05-09T07:16:37Z</dcterms:created>
  <dcterms:modified xsi:type="dcterms:W3CDTF">2022-05-09T07:16:37Z</dcterms:modified>
</cp:coreProperties>
</file>