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-229235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30"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2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7047865" cy="4433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4335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00" w:space="420"/>
            <w:col w:w="846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Campbell Paul</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Viatris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VTRS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6" w:lineRule="exact"/>
        <w:rPr>
          <w:sz w:val="24"/>
          <w:szCs w:val="24"/>
          <w:color w:val="auto"/>
        </w:rPr>
      </w:pPr>
    </w:p>
    <w:p>
      <w:pPr>
        <w:spacing w:after="0"/>
        <w:rPr>
          <w:sz w:val="20"/>
          <w:szCs w:val="20"/>
          <w:color w:val="auto"/>
        </w:rPr>
      </w:pPr>
      <w:r>
        <w:rPr>
          <w:rFonts w:ascii="Arial" w:cs="Arial" w:eastAsia="Arial" w:hAnsi="Arial"/>
          <w:sz w:val="16"/>
          <w:szCs w:val="16"/>
          <w:color w:val="0000FF"/>
        </w:rPr>
        <w:t>03/21/2022</w:t>
      </w:r>
    </w:p>
    <w:p>
      <w:pPr>
        <w:spacing w:after="0" w:line="20" w:lineRule="exact"/>
        <w:rPr>
          <w:sz w:val="24"/>
          <w:szCs w:val="24"/>
          <w:color w:val="auto"/>
        </w:rPr>
      </w:pPr>
      <w:r>
        <w:rPr>
          <w:sz w:val="24"/>
          <w:szCs w:val="24"/>
          <w:color w:val="auto"/>
        </w:rPr>
        <w:br w:type="column"/>
      </w:r>
    </w:p>
    <w:p>
      <w:pPr>
        <w:ind w:left="-2" w:right="700" w:firstLine="2"/>
        <w:spacing w:after="0" w:line="231"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0"/>
        </w:trPr>
        <w:tc>
          <w:tcPr>
            <w:tcW w:w="220" w:type="dxa"/>
            <w:vAlign w:val="bottom"/>
          </w:tcPr>
          <w:p>
            <w:pPr>
              <w:spacing w:after="0"/>
              <w:rPr>
                <w:sz w:val="13"/>
                <w:szCs w:val="13"/>
                <w:color w:val="auto"/>
              </w:rPr>
            </w:pPr>
          </w:p>
        </w:tc>
        <w:tc>
          <w:tcPr>
            <w:tcW w:w="134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58"/>
        <w:spacing w:after="0"/>
        <w:rPr>
          <w:sz w:val="20"/>
          <w:szCs w:val="20"/>
          <w:color w:val="auto"/>
        </w:rPr>
      </w:pPr>
      <w:r>
        <w:rPr>
          <w:rFonts w:ascii="Arial" w:cs="Arial" w:eastAsia="Arial" w:hAnsi="Arial"/>
          <w:sz w:val="16"/>
          <w:szCs w:val="16"/>
          <w:color w:val="0000FF"/>
        </w:rPr>
        <w:t>See Remarks</w:t>
      </w:r>
    </w:p>
    <w:p>
      <w:pPr>
        <w:spacing w:after="0" w:line="303" w:lineRule="exact"/>
        <w:rPr>
          <w:sz w:val="24"/>
          <w:szCs w:val="24"/>
          <w:color w:val="auto"/>
        </w:rPr>
      </w:pPr>
    </w:p>
    <w:p>
      <w:pPr>
        <w:sectPr>
          <w:pgSz w:w="11900" w:h="16838" w:orient="portrait"/>
          <w:cols w:equalWidth="0" w:num="3">
            <w:col w:w="3180" w:space="720"/>
            <w:col w:w="3102" w:space="720"/>
            <w:col w:w="3358"/>
          </w:cols>
          <w:pgMar w:left="460" w:top="219"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0"/>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Arial" w:cs="Arial" w:eastAsia="Arial" w:hAnsi="Arial"/>
                <w:sz w:val="16"/>
                <w:szCs w:val="16"/>
                <w:color w:val="0000FF"/>
              </w:rPr>
              <w:t>CANONSBURG PA</w:t>
            </w:r>
          </w:p>
        </w:tc>
        <w:tc>
          <w:tcPr>
            <w:tcW w:w="1600" w:type="dxa"/>
            <w:vAlign w:val="bottom"/>
          </w:tcPr>
          <w:p>
            <w:pPr>
              <w:ind w:left="420"/>
              <w:spacing w:after="0"/>
              <w:rPr>
                <w:sz w:val="20"/>
                <w:szCs w:val="20"/>
                <w:color w:val="auto"/>
              </w:rPr>
            </w:pPr>
            <w:r>
              <w:rPr>
                <w:rFonts w:ascii="Arial" w:cs="Arial" w:eastAsia="Arial" w:hAnsi="Arial"/>
                <w:sz w:val="16"/>
                <w:szCs w:val="16"/>
                <w:color w:val="0000FF"/>
              </w:rPr>
              <w:t>15317</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8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87" w:lineRule="exact"/>
        <w:rPr>
          <w:sz w:val="24"/>
          <w:szCs w:val="24"/>
          <w:color w:val="auto"/>
        </w:rPr>
      </w:pPr>
    </w:p>
    <w:p>
      <w:pPr>
        <w:sectPr>
          <w:pgSz w:w="11900" w:h="16838" w:orient="portrait"/>
          <w:cols w:equalWidth="0" w:num="2">
            <w:col w:w="3740" w:space="160"/>
            <w:col w:w="718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520" w:type="dxa"/>
            <w:vAlign w:val="bottom"/>
          </w:tcPr>
          <w:p>
            <w:pPr>
              <w:spacing w:after="0"/>
              <w:rPr>
                <w:sz w:val="10"/>
                <w:szCs w:val="10"/>
                <w:color w:val="auto"/>
              </w:rPr>
            </w:pPr>
          </w:p>
        </w:tc>
        <w:tc>
          <w:tcPr>
            <w:tcW w:w="1840" w:type="dxa"/>
            <w:vAlign w:val="bottom"/>
          </w:tcPr>
          <w:p>
            <w:pPr>
              <w:ind w:left="860"/>
              <w:spacing w:after="0" w:line="123"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5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5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Dividend</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0000FF"/>
                <w:w w:val="98"/>
              </w:rPr>
              <w:t>496.5442</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60" w:type="dxa"/>
            <w:vAlign w:val="bottom"/>
          </w:tcPr>
          <w:p>
            <w:pPr>
              <w:ind w:left="60"/>
              <w:spacing w:after="0" w:line="122" w:lineRule="exact"/>
              <w:rPr>
                <w:sz w:val="20"/>
                <w:szCs w:val="20"/>
                <w:color w:val="auto"/>
              </w:rPr>
            </w:pPr>
            <w:r>
              <w:rPr>
                <w:rFonts w:ascii="Arial" w:cs="Arial" w:eastAsia="Arial" w:hAnsi="Arial"/>
                <w:sz w:val="13"/>
                <w:szCs w:val="13"/>
                <w:color w:val="0000FF"/>
                <w:w w:val="95"/>
              </w:rPr>
              <w:t>Equivalent</w:t>
            </w:r>
          </w:p>
        </w:tc>
        <w:tc>
          <w:tcPr>
            <w:tcW w:w="760" w:type="dxa"/>
            <w:vAlign w:val="bottom"/>
            <w:vMerge w:val="continue"/>
          </w:tcPr>
          <w:p>
            <w:pPr>
              <w:spacing w:after="0"/>
              <w:rPr>
                <w:sz w:val="10"/>
                <w:szCs w:val="10"/>
                <w:color w:val="auto"/>
              </w:rPr>
            </w:pPr>
          </w:p>
        </w:tc>
        <w:tc>
          <w:tcPr>
            <w:tcW w:w="1060" w:type="dxa"/>
            <w:vAlign w:val="bottom"/>
          </w:tcPr>
          <w:p>
            <w:pPr>
              <w:jc w:val="right"/>
              <w:ind w:right="181"/>
              <w:spacing w:after="0" w:line="122" w:lineRule="exact"/>
              <w:rPr>
                <w:sz w:val="20"/>
                <w:szCs w:val="20"/>
                <w:color w:val="auto"/>
              </w:rPr>
            </w:pPr>
            <w:r>
              <w:rPr>
                <w:rFonts w:ascii="Arial" w:cs="Arial" w:eastAsia="Arial" w:hAnsi="Arial"/>
                <w:sz w:val="13"/>
                <w:szCs w:val="13"/>
                <w:color w:val="0000FF"/>
              </w:rPr>
              <w:t>03/21/2022</w:t>
            </w:r>
          </w:p>
        </w:tc>
        <w:tc>
          <w:tcPr>
            <w:tcW w:w="1060" w:type="dxa"/>
            <w:vAlign w:val="bottom"/>
          </w:tcPr>
          <w:p>
            <w:pPr>
              <w:spacing w:after="0"/>
              <w:rPr>
                <w:sz w:val="10"/>
                <w:szCs w:val="10"/>
                <w:color w:val="auto"/>
              </w:rPr>
            </w:pPr>
          </w:p>
        </w:tc>
        <w:tc>
          <w:tcPr>
            <w:tcW w:w="780" w:type="dxa"/>
            <w:vAlign w:val="bottom"/>
          </w:tcPr>
          <w:p>
            <w:pPr>
              <w:ind w:left="160"/>
              <w:spacing w:after="0" w:line="122" w:lineRule="exact"/>
              <w:rPr>
                <w:sz w:val="20"/>
                <w:szCs w:val="20"/>
                <w:color w:val="auto"/>
              </w:rPr>
            </w:pPr>
            <w:r>
              <w:rPr>
                <w:rFonts w:ascii="Arial" w:cs="Arial" w:eastAsia="Arial" w:hAnsi="Arial"/>
                <w:sz w:val="13"/>
                <w:szCs w:val="13"/>
                <w:color w:val="0000FF"/>
              </w:rPr>
              <w:t>A</w:t>
            </w:r>
          </w:p>
        </w:tc>
        <w:tc>
          <w:tcPr>
            <w:tcW w:w="640" w:type="dxa"/>
            <w:vAlign w:val="bottom"/>
          </w:tcPr>
          <w:p>
            <w:pPr>
              <w:jc w:val="right"/>
              <w:ind w:right="42"/>
              <w:spacing w:after="0" w:line="122" w:lineRule="exact"/>
              <w:rPr>
                <w:sz w:val="20"/>
                <w:szCs w:val="20"/>
                <w:color w:val="auto"/>
              </w:rPr>
            </w:pPr>
            <w:r>
              <w:rPr>
                <w:rFonts w:ascii="Arial" w:cs="Arial" w:eastAsia="Arial" w:hAnsi="Arial"/>
                <w:sz w:val="13"/>
                <w:szCs w:val="13"/>
                <w:color w:val="0000FF"/>
                <w:w w:val="95"/>
              </w:rPr>
              <w:t>496.5442</w:t>
            </w:r>
          </w:p>
        </w:tc>
        <w:tc>
          <w:tcPr>
            <w:tcW w:w="2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tcPr>
          <w:p>
            <w:pPr>
              <w:ind w:left="200"/>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tcPr>
          <w:p>
            <w:pPr>
              <w:jc w:val="right"/>
              <w:ind w:right="122"/>
              <w:spacing w:after="0" w:line="122" w:lineRule="exact"/>
              <w:rPr>
                <w:sz w:val="20"/>
                <w:szCs w:val="20"/>
                <w:color w:val="auto"/>
              </w:rPr>
            </w:pPr>
            <w:r>
              <w:rPr>
                <w:rFonts w:ascii="Arial" w:cs="Arial" w:eastAsia="Arial" w:hAnsi="Arial"/>
                <w:sz w:val="13"/>
                <w:szCs w:val="13"/>
                <w:color w:val="0000FF"/>
              </w:rPr>
              <w:t>1,165.5442</w:t>
            </w:r>
          </w:p>
        </w:tc>
        <w:tc>
          <w:tcPr>
            <w:tcW w:w="700" w:type="dxa"/>
            <w:vAlign w:val="bottom"/>
          </w:tcPr>
          <w:p>
            <w:pPr>
              <w:ind w:left="300"/>
              <w:spacing w:after="0" w:line="12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Dividend</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740" w:type="dxa"/>
            <w:vAlign w:val="bottom"/>
            <w:vMerge w:val="restart"/>
          </w:tcPr>
          <w:p>
            <w:pPr>
              <w:jc w:val="right"/>
              <w:ind w:right="33"/>
              <w:spacing w:after="0"/>
              <w:rPr>
                <w:sz w:val="20"/>
                <w:szCs w:val="20"/>
                <w:color w:val="auto"/>
              </w:rPr>
            </w:pPr>
            <w:r>
              <w:rPr>
                <w:rFonts w:ascii="Arial" w:cs="Arial" w:eastAsia="Arial" w:hAnsi="Arial"/>
                <w:sz w:val="16"/>
                <w:szCs w:val="16"/>
                <w:color w:val="0000FF"/>
              </w:rPr>
              <w:t>30.8527</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w w:val="95"/>
              </w:rPr>
              <w:t>Equivalent</w:t>
            </w: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81"/>
              <w:spacing w:after="0" w:line="139" w:lineRule="exact"/>
              <w:rPr>
                <w:sz w:val="20"/>
                <w:szCs w:val="20"/>
                <w:color w:val="auto"/>
              </w:rPr>
            </w:pPr>
            <w:r>
              <w:rPr>
                <w:rFonts w:ascii="Arial" w:cs="Arial" w:eastAsia="Arial" w:hAnsi="Arial"/>
                <w:sz w:val="13"/>
                <w:szCs w:val="13"/>
                <w:color w:val="0000FF"/>
              </w:rPr>
              <w:t>03/21/2022</w:t>
            </w:r>
          </w:p>
        </w:tc>
        <w:tc>
          <w:tcPr>
            <w:tcW w:w="1060" w:type="dxa"/>
            <w:vAlign w:val="bottom"/>
          </w:tcPr>
          <w:p>
            <w:pPr>
              <w:spacing w:after="0"/>
              <w:rPr>
                <w:sz w:val="5"/>
                <w:szCs w:val="5"/>
                <w:color w:val="auto"/>
              </w:rPr>
            </w:pPr>
          </w:p>
        </w:tc>
        <w:tc>
          <w:tcPr>
            <w:tcW w:w="780" w:type="dxa"/>
            <w:vAlign w:val="bottom"/>
            <w:vMerge w:val="restart"/>
          </w:tcPr>
          <w:p>
            <w:pPr>
              <w:ind w:left="160"/>
              <w:spacing w:after="0" w:line="139" w:lineRule="exact"/>
              <w:rPr>
                <w:sz w:val="20"/>
                <w:szCs w:val="20"/>
                <w:color w:val="auto"/>
              </w:rPr>
            </w:pPr>
            <w:r>
              <w:rPr>
                <w:rFonts w:ascii="Arial" w:cs="Arial" w:eastAsia="Arial" w:hAnsi="Arial"/>
                <w:sz w:val="13"/>
                <w:szCs w:val="13"/>
                <w:color w:val="0000FF"/>
              </w:rPr>
              <w:t>A</w:t>
            </w:r>
          </w:p>
        </w:tc>
        <w:tc>
          <w:tcPr>
            <w:tcW w:w="640" w:type="dxa"/>
            <w:vAlign w:val="bottom"/>
            <w:vMerge w:val="restart"/>
          </w:tcPr>
          <w:p>
            <w:pPr>
              <w:jc w:val="right"/>
              <w:ind w:right="62"/>
              <w:spacing w:after="0" w:line="139" w:lineRule="exact"/>
              <w:rPr>
                <w:sz w:val="20"/>
                <w:szCs w:val="20"/>
                <w:color w:val="auto"/>
              </w:rPr>
            </w:pPr>
            <w:r>
              <w:rPr>
                <w:rFonts w:ascii="Arial" w:cs="Arial" w:eastAsia="Arial" w:hAnsi="Arial"/>
                <w:sz w:val="13"/>
                <w:szCs w:val="13"/>
                <w:color w:val="0000FF"/>
              </w:rPr>
              <w:t>30.8527</w:t>
            </w:r>
          </w:p>
        </w:tc>
        <w:tc>
          <w:tcPr>
            <w:tcW w:w="2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vMerge w:val="restart"/>
          </w:tcPr>
          <w:p>
            <w:pPr>
              <w:jc w:val="right"/>
              <w:ind w:right="202"/>
              <w:spacing w:after="0" w:line="139" w:lineRule="exact"/>
              <w:rPr>
                <w:sz w:val="20"/>
                <w:szCs w:val="20"/>
                <w:color w:val="auto"/>
              </w:rPr>
            </w:pPr>
            <w:r>
              <w:rPr>
                <w:rFonts w:ascii="Arial" w:cs="Arial" w:eastAsia="Arial" w:hAnsi="Arial"/>
                <w:sz w:val="13"/>
                <w:szCs w:val="13"/>
                <w:color w:val="0000FF"/>
              </w:rPr>
              <w:t>72.8527</w:t>
            </w:r>
          </w:p>
        </w:tc>
        <w:tc>
          <w:tcPr>
            <w:tcW w:w="70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I</w:t>
            </w:r>
          </w:p>
        </w:tc>
        <w:tc>
          <w:tcPr>
            <w:tcW w:w="740" w:type="dxa"/>
            <w:vAlign w:val="bottom"/>
            <w:vMerge w:val="restart"/>
          </w:tcPr>
          <w:p>
            <w:pPr>
              <w:ind w:left="80"/>
              <w:spacing w:after="0" w:line="139" w:lineRule="exact"/>
              <w:rPr>
                <w:sz w:val="20"/>
                <w:szCs w:val="20"/>
                <w:color w:val="auto"/>
              </w:rPr>
            </w:pPr>
            <w:r>
              <w:rPr>
                <w:rFonts w:ascii="Arial" w:cs="Arial" w:eastAsia="Arial" w:hAnsi="Arial"/>
                <w:sz w:val="13"/>
                <w:szCs w:val="13"/>
                <w:color w:val="0000FF"/>
              </w:rPr>
              <w:t>By Spouse</w:t>
            </w: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160" w:hanging="122"/>
        <w:spacing w:after="0"/>
        <w:tabs>
          <w:tab w:leader="none" w:pos="16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Represents dividend equivalent units (DEUs) that accrued with respect to restricted stock units (RSUs) previously granted on March 2, 2021 and vest on the same schedule as the remaining unvested RSUs.</w:t>
      </w:r>
    </w:p>
    <w:p>
      <w:pPr>
        <w:spacing w:after="0" w:line="73" w:lineRule="exact"/>
        <w:rPr>
          <w:rFonts w:ascii="Arial" w:cs="Arial" w:eastAsia="Arial" w:hAnsi="Arial"/>
          <w:sz w:val="10"/>
          <w:szCs w:val="10"/>
          <w:color w:val="008000"/>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DEUs that accrued with respect to RSUs previously granted on March 2, 2021 and vest on the same schedule as the remaining unvested RSUs.</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Accounting Officer and Corporate Controller</w:t>
      </w:r>
    </w:p>
    <w:p>
      <w:pPr>
        <w:ind w:left="6600"/>
        <w:spacing w:after="0" w:line="182" w:lineRule="auto"/>
        <w:rPr>
          <w:sz w:val="20"/>
          <w:szCs w:val="20"/>
          <w:color w:val="auto"/>
        </w:rPr>
      </w:pPr>
      <w:r>
        <w:rPr>
          <w:rFonts w:ascii="Arial" w:cs="Arial" w:eastAsia="Arial" w:hAnsi="Arial"/>
          <w:sz w:val="16"/>
          <w:szCs w:val="16"/>
          <w:color w:val="0000FF"/>
        </w:rPr>
        <w:t xml:space="preserve">/s/ Kevin Macikowski, by power </w:t>
      </w:r>
      <w:r>
        <w:rPr>
          <w:rFonts w:ascii="Arial" w:cs="Arial" w:eastAsia="Arial" w:hAnsi="Arial"/>
          <w:sz w:val="32"/>
          <w:szCs w:val="32"/>
          <w:color w:val="0000FF"/>
          <w:vertAlign w:val="subscript"/>
        </w:rPr>
        <w:t>03/23/2022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576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763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452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5275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3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4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4"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57568"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2022-03-23T18:03:17Z</dcterms:created>
  <dcterms:modified xsi:type="dcterms:W3CDTF">2022-03-23T18:03:17Z</dcterms:modified>
</cp:coreProperties>
</file>