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8,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VIATRIS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9165" w:type="dxa"/>
        <w:jc w:val="left"/>
        <w:tblInd w:w="0" w:type="dxa"/>
        <w:tblLayout w:type="fixed"/>
        <w:tblCellMar>
          <w:top w:w="0" w:type="dxa"/>
          <w:left w:w="0" w:type="dxa"/>
          <w:bottom w:w="0" w:type="dxa"/>
          <w:right w:w="0" w:type="dxa"/>
        </w:tblCellMar>
      </w:tblPr>
      <w:tblGrid>
        <w:gridCol w:w="3860"/>
        <w:gridCol w:w="2300"/>
        <w:gridCol w:w="3005"/>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001-39695</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83-4364296</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1000 Mylan Boulevard, Canonsburg, Pennsylvania, 15317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(724) 514-1800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6540" w:type="dxa"/>
        <w:jc w:val="left"/>
        <w:tblInd w:w="0" w:type="dxa"/>
        <w:tblLayout w:type="fixed"/>
        <w:tblCellMar>
          <w:top w:w="0" w:type="dxa"/>
          <w:left w:w="0" w:type="dxa"/>
          <w:bottom w:w="28" w:type="dxa"/>
          <w:right w:w="0" w:type="dxa"/>
        </w:tblCellMar>
      </w:tblPr>
      <w:tblGrid>
        <w:gridCol w:w="3560"/>
        <w:gridCol w:w="60"/>
        <w:gridCol w:w="860"/>
        <w:gridCol w:w="60"/>
        <w:gridCol w:w="2000"/>
      </w:tblGrid>
      <w:tr>
        <w:trPr/>
        <w:tc>
          <w:tcPr>
            <w:tcW w:w="356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5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VTRS</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w:t>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180" w:after="18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Agreement and Plan of Merger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8, 2026, Viatris Inc., a Delaware corporation (“Viatris”), entered into an Agreement and Plan of Merger (the “Merger Agreement”) with Pacira BioSciences, Inc., a Delaware corporation (“Pacira”), and Peach Purchaser Sub Inc., a Delaware corporation and a wholly owned subsidiary of Viatris (“Purchaser”).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Merger Agreement, and upon the terms and subject to the conditions therein, Purchaser will commence a tender offer (the “Offer”) to acquire all of the outstanding shares of common stock, par value $0.001 per share, of Pacira (the “Shares”) for $36.50 per Share, in cash, net of applicable withholding taxes and without interest (such amount, or any higher amount per Share paid pursuant to the Offer, the “Offer Price”). The Offer will remain open for 10 business days, subject to extension under certain circumstances.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soon as practicable following the consummation of the Offer, Purchaser will be merged with and into Pacira (the “Merger”), with Pacira continuing as the surviving corporation in the Merger and as a wholly owned subsidiary of Viatris, on the terms and subject to the conditions set forth in the Merger Agreement. The Merger Agreement contemplates that the Merger will be effected pursuant to Section 251(h) of the General Corporation Law of the State of Delaware (the “DGCL”), with no stockholder vote required to consummate the Merger. At the effective time of the Merger (the “Effective Time”), each Share issued and outstanding immediately prior to the Effective Time (other than Shares (i) held by Pacira or any of its subsidiaries (including in Pacira’s treasury), (ii) held by Viatris, Purchaser or any other wholly owned subsidiary of Viatris or (iii) held by stockholders who are entitled to and properly demand appraisal of such Shares in accordance with Section 262 of the DGCL) will be converted into the right to receive the Offer Price, upon the terms and conditions set forth in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obligation of Purchaser to accept for payment and pay for Shares validly tendered (and not withdrawn) pursuant to the Offer is subject to the satisfaction or waiver of a number of conditions set forth in the Merger Agreement, including (i) that there have been validly tendered (and not validly withdrawn) prior to the expiration of the Offer a number of Shares that, considered together with the number of Shares, if any, then owned by Purchaser and its affiliates, would represent at least one Share more than 50% of the total number of Shares then issued and outstanding (the “Minimum Condition”); (ii) the accuracy of the representations and warranties of Pacira contained in the Merger Agreement, subject to customary thresholds and exceptions; (iii) Pacira’s compliance with, or performance of, in all material respects its covenants and agreements contained in the Merger Agreement; (iv) the expiration or termination of the waiting period (or any extension thereof) applicable to the Offer under the Hart-Scott-Rodino Antitrust Improvements Act of 1976, as amended (the “HSR Act”); (v) the absence of any legal restraint that prohibits or makes illegal the consummation of the Offer or the Merger; and (vi) other customary conditions set forth in Annex I to the Merger Agreement. The Minimum Condition may not be waived by Viatris or Purchaser without the prior written consent of Pacira. Consummation of the Offer is not subject to a financing condition.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of Viatris and Pacira has agreed to make an appropriate filing of all Notification and Report forms as required by the HSR Act with respect to the transactions contemplated by the Merger Agreement promptly, and in any event within 15 business days, after the date of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Merger Agreement includes customary representations, warranties and covenants of Viatris, Pacira and Purchaser for a transaction of this nature, including covenants regarding the operation of Pacira’s business until the time at which Purchaser accepts for payment Shares validly tendered (and not validly withdrawn) pursuant to the Offer (or the earlier termination of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Pacira has also agreed to customary restrictions on its ability to solicit alternative acquisition proposals from third parties and engage in discussions or negotiations with third parties regarding acquisition proposals. Notwithstanding these restrictions,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Pacira may under certain circumstances provide information to and participate in discussions or negotiations with third parties with respect to an unsolicited bona fide written acquisition proposal that the board of directors of Pacira (the “Pacira Board”) has determined in good faith constitutes or would reasonably be expected to lead to a Superior Offer (as defined in the Merger Agreement), if the failure to do so would reasonably be expected to be inconsistent with the fiduciary duties of the Pacira Board under applicable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Merger Agreement also includes customary termination provisions for both Viatris and Pacira, including, among others, the right of Viatris or Pacira to terminate for failure to consummate the Offer on or before April 8, 2027, subject to one automatic extension to July 8, 2027 if, on such date, all of the conditions to the Offer, other than those related to antitrust approvals and governmental orders and other legal restraints, have been satisfied or waived. If the Merger Agreement is terminated under certain circumstances specified in the Merger Agreement, Pacira will be required to pay Viatris a termination fee of $62,000,000 under specified circumstances (including in connection with Pacira’s entry into a definitive agreement with respect to a Superior Offer, or the Pacira Board withdrawing its recommendation in favor of the Offer). The parties to the Merger Agreement are also entitled to specifically enforce the terms and provisions of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board of directors of Viatris and the board of directors of Purchaser have (i) determined that the Merger Agreement and the transactions contemplated thereby, including the Offer and the Merger, are in the best interests of Viatris and Purchaser, respectively, and declared it advisable for Viatris and Purchaser, respectively, to enter into the Merger Agreement and consummate the transactions contemplated thereby, and (ii) approved the execution, delivery and performance by Viatris and Purchaser, respectively, of the Merger Agreement and the consummation of the transactions contemplated thereby, including the Offer and the Merger.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Pacira Board has unanimously (i) determined that the Merger Agreement and the transactions contemplated thereby, including the Offer and the Merger, are fair to, and in the best interest of, Pacira and its stockholders, and declared it advisable for Pacira to enter into the Merger Agreement and consummate the transactions contemplated thereby, (ii) approved the execution, delivery and performance by Pacira of the Merger Agreement and the consummation of the transactions contemplated thereby, including the Offer and the Merger, (iii) resolved that the Merger shall be effected under Section 251(h) of the DGCL, and (iv) resolved to recommend that the stockholders of Pacira tender their Shares to Purchaser pursuant to the Offer.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summary of the Merger Agreement does not purport to be complete and is qualified in its entirety by reference to the full text of the Merger Agreement, which is filed as Exhibit 2.1 hereto and is incorporated herein by reference. The foregoing summary and the copy of the Merger Agreement are intended to provide information regarding the terms of the Merger Agreement and are not intended to modify or supplement any factual disclosures about Viatris in its public reports filed with the U.S. Securities and Exchange Commission (the “SEC”). The assertions embodied in the representations and warranties included in the Merger Agreement were made solely for purposes of such agreement and are subject to important qualifications and limitations agreed to by Viatris, Pacira and Purchaser in connection with the negotiated terms, including being qualified by confidential disclosures made for the purposes of allocating contractual risk between the parties thereto. Moreover, certain representations and warranties were made as of a specified date, may be subject to a contractual standard of materiality different from those generally applicable to Viatris’ SEC filings or may have been used for purposes of allocating risk among Viatris, Pacira and Purchaser rather than establishing matters as facts. Investors should not rely on the representations and warranties or any description of them as characterizations of the actual state of facts of Viatris, Pacira, Purchaser or any of their respective subsidiaries or affiliates. Moreover, information concerning the subject matter of the representations and warranties may change after the date of the Merger Agreement, and, unless required by applicable law, Viatris undertakes no obligation to update such information.</w:t>
      </w:r>
    </w:p>
    <w:p>
      <w:pPr>
        <w:pStyle w:val="TextBody"/>
        <w:bidi w:val="0"/>
        <w:spacing w:before="0" w:after="0"/>
        <w:jc w:val="left"/>
        <w:rPr>
          <w:rFonts w:ascii="Times New Roman" w:hAnsi="Times New Roman"/>
          <w:sz w:val="20"/>
        </w:rPr>
      </w:pPr>
      <w:r>
        <w:rPr>
          <w:rFonts w:ascii="Times New Roman" w:hAnsi="Times New Roman"/>
          <w:sz w:val="20"/>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Press Release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8, 2026, Viatris and Pacira issued a joint press release announcing the entry into the Merger Agreement. A copy of the press release is attached as Exhibit 99.1 hereto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Investor Presentation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8, 2026, Viatris made available an investor presentation announcing the Merger. A copy of the investor presentation is attached as Exhibit 99.2 hereto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more detailed information on the risks and uncertainties associated with Viatris and Pacira, see the risks described in Part I, Item 1A of their respective Annual Reports on Form 10-K for the year ended December 31, 2025, and their other filings with the SEC.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Current Report on Form 8-K or our filings with the SEC. Each of Viatris and Pacira undertakes no obligation to update any statements herein for revisions or changes after the date of this Current Report on Form 8-K other than as required by law.</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Important Information about the Transaction and Where to Find 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tender offer for the Shares described in this Current Report on Form 8-K has not yet commenced. This Current Report on Form 8-K is for informational purposes only and it is neither a recommendation, nor an offer to purchase nor a solicitation of an offer to sell Shares,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will only be made pursuant to the offer to purchase, the letter of transmittal and other related tender offer documents filed as a part of the Schedule TO. </w:t>
      </w:r>
      <w:r>
        <w:rPr>
          <w:rFonts w:ascii="Times New Roman" w:hAnsi="Times New Roman"/>
          <w:b/>
          <w:color w:val="000000"/>
          <w:sz w:val="20"/>
          <w:shd w:fill="FFFFFF" w:val="clear"/>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 w:hAnsi="Times New Roman"/>
          <w:color w:val="000000"/>
          <w:sz w:val="20"/>
          <w:shd w:fill="FFFFFF" w:val="clear"/>
        </w:rPr>
        <w:t>  The offer to purchase, letter of transmittal and other related tender offer documents, as well as the Solicitation/Recommendation Statement on Schedule 14D-9, will be sent to all stockholders of Pacira at no expense to them</w:t>
      </w:r>
      <w:r>
        <w:rPr>
          <w:rFonts w:ascii="Times New Roman" w:hAnsi="Times New Roman"/>
          <w:b/>
          <w:color w:val="000000"/>
          <w:sz w:val="20"/>
          <w:shd w:fill="FFFFFF" w:val="clear"/>
        </w:rPr>
        <w:t>.</w:t>
      </w:r>
      <w:r>
        <w:rPr>
          <w:rFonts w:ascii="Times New Roman" w:hAnsi="Times New Roman"/>
          <w:color w:val="000000"/>
          <w:sz w:val="20"/>
          <w:shd w:fill="FFFFFF" w:val="clear"/>
        </w:rPr>
        <w:t>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Item 9.01  Financial Statements and Exhibits.</w:t>
      </w:r>
    </w:p>
    <w:p>
      <w:pPr>
        <w:pStyle w:val="TextBody"/>
        <w:bidi w:val="0"/>
        <w:spacing w:before="0" w:after="0"/>
        <w:jc w:val="left"/>
        <w:rPr/>
      </w:pPr>
      <w:r>
        <w:rPr/>
      </w:r>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0"/>
              <w:jc w:val="left"/>
              <w:rPr>
                <w:color w:val="000000"/>
              </w:rPr>
            </w:pPr>
            <w:r>
              <w:rPr>
                <w:color w:val="000000"/>
              </w:rPr>
              <w:t>(d)</w:t>
            </w:r>
          </w:p>
        </w:tc>
        <w:tc>
          <w:tcPr>
            <w:tcW w:w="875" w:type="dxa"/>
            <w:tcBorders/>
            <w:vAlign w:val="center"/>
          </w:tcPr>
          <w:p>
            <w:pPr>
              <w:pStyle w:val="TableContents"/>
              <w:bidi w:val="0"/>
              <w:spacing w:before="0" w:after="0"/>
              <w:jc w:val="left"/>
              <w:rPr>
                <w:color w:val="000000"/>
              </w:rPr>
            </w:pPr>
            <w:r>
              <w:rPr>
                <w:color w:val="00000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929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912" w:type="dxa"/>
            <w:tcBorders/>
            <w:vAlign w:val="center"/>
          </w:tcPr>
          <w:p>
            <w:pPr>
              <w:pStyle w:val="TableContents"/>
              <w:bidi w:val="0"/>
              <w:spacing w:before="0" w:after="0"/>
              <w:jc w:val="left"/>
              <w:rPr/>
            </w:pPr>
            <w:hyperlink w:anchor="ef20083514_ex2-1.htm">
              <w:r>
                <w:rPr>
                  <w:rStyle w:val="InternetLink"/>
                  <w:rFonts w:ascii="Times New Roman" w:hAnsi="Times New Roman"/>
                  <w:sz w:val="20"/>
                </w:rPr>
                <w:t>2.1</w:t>
              </w:r>
            </w:hyperlink>
            <w:r>
              <w:rPr>
                <w:rFonts w:ascii="Times New Roman" w:hAnsi="Times New Roman"/>
                <w:sz w:val="20"/>
              </w:rPr>
              <w:t>*</w:t>
            </w:r>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as of October 8, 2026, by and among Pacira BioSciences, Inc., Viatris Inc. and Peach Purchaser Sub Inc.</w:t>
            </w:r>
          </w:p>
        </w:tc>
      </w:tr>
      <w:tr>
        <w:trPr/>
        <w:tc>
          <w:tcPr>
            <w:tcW w:w="912"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912" w:type="dxa"/>
            <w:tcBorders/>
            <w:vAlign w:val="center"/>
          </w:tcPr>
          <w:p>
            <w:pPr>
              <w:pStyle w:val="TableContents"/>
              <w:bidi w:val="0"/>
              <w:spacing w:before="0" w:after="0"/>
              <w:jc w:val="left"/>
              <w:rPr/>
            </w:pPr>
            <w:hyperlink w:anchor="ef20083514_ex99-1.htm">
              <w:r>
                <w:rPr>
                  <w:rStyle w:val="InternetLink"/>
                  <w:rFonts w:ascii="Times New Roman" w:hAnsi="Times New Roman"/>
                  <w:sz w:val="20"/>
                </w:rPr>
                <w:t>99.1</w:t>
              </w:r>
            </w:hyperlink>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Joint Press Release, dated October 8, 2026, issued by Viatris Inc. and Pacira BioSciences, Inc.</w:t>
            </w:r>
          </w:p>
        </w:tc>
      </w:tr>
      <w:tr>
        <w:trPr/>
        <w:tc>
          <w:tcPr>
            <w:tcW w:w="912"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912" w:type="dxa"/>
            <w:tcBorders/>
            <w:vAlign w:val="center"/>
          </w:tcPr>
          <w:p>
            <w:pPr>
              <w:pStyle w:val="TableContents"/>
              <w:bidi w:val="0"/>
              <w:spacing w:before="0" w:after="0"/>
              <w:jc w:val="left"/>
              <w:rPr/>
            </w:pPr>
            <w:hyperlink w:anchor="ef20083514_ex99-2.htm">
              <w:r>
                <w:rPr>
                  <w:rStyle w:val="InternetLink"/>
                  <w:rFonts w:ascii="Times New Roman" w:hAnsi="Times New Roman"/>
                  <w:sz w:val="20"/>
                </w:rPr>
                <w:t>99.2</w:t>
              </w:r>
            </w:hyperlink>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 Presentation, dated October 8, 2026, prepared by Viatris Inc.</w:t>
            </w:r>
          </w:p>
        </w:tc>
      </w:tr>
      <w:tr>
        <w:trPr/>
        <w:tc>
          <w:tcPr>
            <w:tcW w:w="912"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91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Schedules, exhibits and similar attachments have been omitted pursuant to Item 601(a)(5) of Regulation S-K. Viatris hereby agrees to supplementally furnish to the SEC upon request any omitted schedule, exhibit or similar attachment to Exhibit 2.1.</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979"/>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3945" w:type="dxa"/>
        <w:jc w:val="left"/>
        <w:tblInd w:w="0" w:type="dxa"/>
        <w:tblLayout w:type="fixed"/>
        <w:tblCellMar>
          <w:top w:w="0" w:type="dxa"/>
          <w:left w:w="0" w:type="dxa"/>
          <w:bottom w:w="0" w:type="dxa"/>
          <w:right w:w="0" w:type="dxa"/>
        </w:tblCellMar>
      </w:tblPr>
      <w:tblGrid>
        <w:gridCol w:w="1805"/>
        <w:gridCol w:w="320"/>
        <w:gridCol w:w="1820"/>
      </w:tblGrid>
      <w:tr>
        <w:trPr/>
        <w:tc>
          <w:tcPr>
            <w:tcW w:w="180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VIATRIS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October 8,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Matthew J. Maletta</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J. Maletta</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jc w:val="left"/>
        <w:rPr>
          <w:caps w:val="false"/>
          <w:smallCaps w:val="false"/>
          <w:bdr w:val="single" w:sz="32" w:space="1" w:color="000000"/>
        </w:rPr>
      </w:pPr>
      <w:bookmarkStart w:id="0" w:name="ef20083514_ex2-1.htm"/>
      <w:bookmarkStart w:id="1" w:name="ksef20083514_ex21"/>
      <w:bookmarkEnd w:id="0"/>
      <w:bookmarkEnd w:id="1"/>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PACIRA BIOSCIENCES,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VIATRIS INC., </w:t>
      </w:r>
      <w:r>
        <w:rPr>
          <w:rFonts w:ascii="Times New Roman;Times;Serif" w:hAnsi="Times New Roman;Times;Serif"/>
          <w:b w:val="false"/>
          <w:i w:val="false"/>
          <w:caps w:val="false"/>
          <w:smallCaps w:val="false"/>
          <w:sz w:val="20"/>
        </w:rPr>
        <w:br/>
        <w:b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PEACH PURCHASER SUB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8, 2026</w:t>
      </w:r>
    </w:p>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15"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115" w:right="0" w:hanging="0"/>
        <w:jc w:val="center"/>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115"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
        <w:gridCol w:w="8682"/>
        <w:gridCol w:w="60"/>
        <w:gridCol w:w="456"/>
      </w:tblGrid>
      <w:tr>
        <w:trPr/>
        <w:tc>
          <w:tcPr>
            <w:tcW w:w="1007" w:type="dxa"/>
            <w:tcBorders/>
            <w:vAlign w:val="center"/>
          </w:tcPr>
          <w:p>
            <w:pPr>
              <w:pStyle w:val="TableContents"/>
              <w:bidi w:val="0"/>
              <w:spacing w:before="0" w:after="283"/>
              <w:jc w:val="left"/>
              <w:rPr>
                <w:caps w:val="false"/>
                <w:smallCaps w:val="false"/>
              </w:rPr>
            </w:pPr>
            <w:r>
              <w:rPr>
                <w:caps w:val="false"/>
                <w:smallCaps w:val="false"/>
              </w:rPr>
              <w:t> </w:t>
            </w:r>
          </w:p>
        </w:tc>
        <w:tc>
          <w:tcPr>
            <w:tcW w:w="86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96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Definitions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2</w:t>
            </w:r>
            <w:r>
              <w:rPr>
                <w:rFonts w:ascii="Times New Roman;Times;Serif" w:hAnsi="Times New Roman;Times;Serif"/>
                <w:b w:val="false"/>
                <w:i w:val="false"/>
                <w:caps w:val="false"/>
                <w:smallCaps w:val="false"/>
                <w:sz w:val="20"/>
              </w:rPr>
              <w:t xml:space="preserve"> THE OFFER</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Actions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3</w:t>
            </w:r>
            <w:r>
              <w:rPr>
                <w:rFonts w:ascii="Times New Roman;Times;Serif" w:hAnsi="Times New Roman;Times;Serif"/>
                <w:b w:val="false"/>
                <w:i w:val="false"/>
                <w:caps w:val="false"/>
                <w:smallCaps w:val="false"/>
                <w:sz w:val="20"/>
              </w:rPr>
              <w:t xml:space="preserve"> MERGER TRANSACTION</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of Purchaser into the Company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Effective Time</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 Directors and Officers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Shares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Surrender of Certificates; Stock Transfer Books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Dissenters’ Rights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Company Stock Awards, Company ESPP; Company LTIP Awards; and Company Restricted Cash Awards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t xml:space="preserve"> REPRESENTATIONS AND WARRANTIES OF THE COMPANY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Organization; Subsidiaries, Etc.</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Binding Nature of Agreement</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Etc.</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 Consents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Filings; Financial Statements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Changes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Information Technology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Undisclosed Liabilities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Matters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7884" w:type="dxa"/>
        <w:jc w:val="left"/>
        <w:tblInd w:w="0" w:type="dxa"/>
        <w:tblLayout w:type="fixed"/>
        <w:tblCellMar>
          <w:top w:w="0" w:type="dxa"/>
          <w:left w:w="0" w:type="dxa"/>
          <w:bottom w:w="0" w:type="dxa"/>
          <w:right w:w="0" w:type="dxa"/>
        </w:tblCellMar>
      </w:tblPr>
      <w:tblGrid>
        <w:gridCol w:w="1092"/>
        <w:gridCol w:w="6277"/>
        <w:gridCol w:w="60"/>
        <w:gridCol w:w="455"/>
      </w:tblGrid>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Matters; Benefit Plans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Assets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Approval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Financial Advisor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Other Advisors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 by the Company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3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REPRESENTATIONS AND WARRANTIES OF PARENT AND PURCHASER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Organization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Binding Nature of Agreement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 Consents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Company Common Stock; Absence of Certain Arrangements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Other Advisors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Sufficient Funds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 by Parent and Purchaser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3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CERTAIN COVENANTS OF THE COMPANY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and Investigation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of the Company’s Business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1055"/>
        <w:gridCol w:w="5165"/>
        <w:gridCol w:w="60"/>
        <w:gridCol w:w="455"/>
      </w:tblGrid>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5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5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 xml:space="preserve"> ADDITIONAL COVENANTS OF THE PARTIES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Recommendation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Filings, Consents and Approvals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Employee Benefits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of Officers and Directors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 Litigation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Disclosure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Takeover Laws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14d-10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Stockholder Consent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Exchange Delisting; Deregistration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Payoff Letters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Convertible Notes; Capped Call Transactions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Audit Access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Covenants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CONDITIONS PRECEDENT TO THE MERGER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Restraints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Offer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9</w:t>
            </w:r>
            <w:r>
              <w:rPr>
                <w:rFonts w:ascii="Times New Roman;Times;Serif" w:hAnsi="Times New Roman;Times;Serif"/>
                <w:b w:val="false"/>
                <w:i w:val="false"/>
                <w:caps w:val="false"/>
                <w:smallCaps w:val="false"/>
                <w:sz w:val="20"/>
              </w:rPr>
              <w:t xml:space="preserve"> TERMINATION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Termination Fee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10</w:t>
            </w:r>
            <w:r>
              <w:rPr>
                <w:rFonts w:ascii="Times New Roman;Times;Serif" w:hAnsi="Times New Roman;Times;Serif"/>
                <w:b w:val="false"/>
                <w:i w:val="false"/>
                <w:caps w:val="false"/>
                <w:smallCaps w:val="false"/>
                <w:sz w:val="20"/>
              </w:rPr>
              <w:t xml:space="preserve"> MISCELLANEOUS PROVISIONS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Survival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Counterparts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Laws; Jurisdiction; Specific Performance; Remedies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160"/>
        <w:gridCol w:w="3440"/>
        <w:gridCol w:w="60"/>
        <w:gridCol w:w="455"/>
      </w:tblGrid>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Third-Party Beneficiaries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of Parent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Schedule References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830"/>
        <w:gridCol w:w="4145"/>
      </w:tblGrid>
      <w:tr>
        <w:trPr/>
        <w:tc>
          <w:tcPr>
            <w:tcW w:w="49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 Certificate of Incorporation</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 Bylaws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Annexes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Offer</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October 8, 2026 (the “</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by and among Viatris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Peach Purchaser Sub Inc., a Delaware corporation and a wholly owned Subsidiary of Parent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Pacira BioSciences,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Certain capitalized terms used in this Agreement shall have the meanings ascribed to such terms in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has agreed to cause Purchaser to commence a cash tender offer (as it may be amended from time to time as permitted under this Agreement, the “</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to acquire all of the outstanding shares of Company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for $36.50 per Share, in cash, net of applicable withholding Taxes and without interest (such amount, or any higher amount per Share paid pursuant to the Offer, the “</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on the terms and subject to the conditions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soon as practicable following the consummation of the Offer, Purchaser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continuing as the surviving corporation in the Merger and as a wholly owned Subsidiary of Parent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on the terms and subject to the conditions set forth in this Agreement, whereby (i) each issued and outstanding Share (other than the Excluded Shares and Dissenting Shares) shall be converted into the right to receive the Offer Price, upon the terms and conditions set forth in this Agreement and in accordance with the DGCL, and (ii) the Company shall become a wholly owned Subsidiary of Parent as a result of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(i) determined that this Agreement and the Transactions, including the Offer and the Merger, are fair to, and in the best interest of, the Company and its stockholders, and declared it advisable for the Company to enter into this Agreement and consummate the Transactions, (ii) approved the execution, delivery and performance by the Company of this Agreement and the consummation of the Transactions, including the Offer and the Merger, (iii) resolved that the Merger shall be effected under Section 251(h) of the DGCL and (iv) resolved to recommend that the stockholders of the Company tender their Shares to Purchaser pursuant to the Offer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Purchaser has (i) determined that this Agreement and the Transactions, including the Offer and the Merger, are in the best interests of Purchaser, and declared it advisable for Purchaser to enter into this Agreement and consummate the Transactions, and (ii) approved the execution, delivery and performance by Purchaser of this Agreement and the consummation of the Transactions, including the Offer and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(i) determined that this Agreement and the Transactions, including the Offer and the Merger, are in the best interests of Parent, and declared it advisable for Parent to enter into this Agreement and consummate the Transactions, and (ii) approved the execution, delivery and performance by Parent of this Agreement and the consummation of the Transactions, including the Offer and the Merger.</w:t>
      </w:r>
    </w:p>
    <w:p>
      <w:pPr>
        <w:pStyle w:val="TextBody"/>
        <w:bidi w:val="0"/>
        <w:spacing w:before="0" w:after="0"/>
        <w:ind w:left="0" w:right="0" w:firstLine="144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Parent, Purchaser and the Company hereby acknowledges and agrees that the Merger shall be effected under Section 251(h) of the DGCL and shall, subject to satisfaction of the conditions set forth in this Agreement, be consummated as soon as practicable following the Offer Acceptance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Parent, Purchaser and the Company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Agreement (including this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any confidentiality agreement with the Company containing provisions that require any counterparty thereto (and any of its Affiliates and Representatives) that receives non-public information of, or with respect to, the Company to keep such information confidential;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provisions contained therein are no less favorable in the aggregate to the Company than the terms of the Confidentiality Agreement (it being agreed that such agreement need not contain any “standstill” or similar provisions that prohibit the making of any Acquisition Proposal) and (b) such agreement does not contain any provision that prohibits the Company from satisfying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Companies</w:t>
      </w:r>
      <w:r>
        <w:rPr>
          <w:rFonts w:ascii="Times New Roman;Times;Serif" w:hAnsi="Times New Roman;Times;Serif"/>
          <w:b w:val="false"/>
          <w:i w:val="false"/>
          <w:caps w:val="false"/>
          <w:smallCaps w:val="false"/>
          <w:sz w:val="20"/>
        </w:rPr>
        <w:t>” means the Company and its Subsidiaries, collectively, and “</w:t>
      </w:r>
      <w:r>
        <w:rPr>
          <w:rFonts w:ascii="Times New Roman;Times;Serif" w:hAnsi="Times New Roman;Times;Serif"/>
          <w:b w:val="false"/>
          <w:i w:val="false"/>
          <w:caps w:val="false"/>
          <w:smallCaps w:val="false"/>
          <w:sz w:val="20"/>
          <w:u w:val="single"/>
        </w:rPr>
        <w:t>Acquired Company</w:t>
      </w:r>
      <w:r>
        <w:rPr>
          <w:rFonts w:ascii="Times New Roman;Times;Serif" w:hAnsi="Times New Roman;Times;Serif"/>
          <w:b w:val="false"/>
          <w:i w:val="false"/>
          <w:caps w:val="false"/>
          <w:smallCaps w:val="false"/>
          <w:sz w:val="20"/>
        </w:rPr>
        <w:t>” means any of them individually.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means any inquiry, proposal or offer from any Person (other than Parent and its Affiliates) or “group”, within the meaning of Section 13(d) of the Exchange Act, relating to, in a single transaction or series of related transactions, any (a) acquisition of assets of any Acquired Company equal to 20% or more of the Acquired Companies’ consolidated assets (based on fair market value) or to which 20% or more of the Acquired Companies’ revenues or earnings on a consolidated basis are attributable, or any license, collaboration, lease or other arrangement having a similar effect, (b) issuance or acquisition of 20% or more of the outstanding Shares or other equity securities or voting power of the Company, (c) recapitalization, tender offer or exchange offer that if consummated would result in any Person or group beneficially owning 20% or more of the outstanding Shares or other equity securities or voting power of the Company, (d) merger, consolidation, amalgamation, share exchange, business combination, recapitalization, liquidation, dissolution or other similar transaction involving the Company or its Subsidiaries that if consummated would result in any Person or group beneficially owning 20% or more of the outstanding Shares or other equity securities or voting power of the Company, or (e) merger, consolidation, amalgamation, share exchange, business combination, recapitalization, reorganization or other similar transaction involving the Company or its Subsidiaries that if consummated would result in (i) any Person or group (excluding pre-transaction stockholders of the Company to the extent they hold equity securities or voting power of the surviving or resulting entity in substantially the same proportions as their ownership of the Company immediately prior to such transaction) holding, directly or indirectly, 20% or more of the equity securities or voting power of the surviving or resulting entity, or (ii) pre-transaction stockholders of the Company (as a group), to the extent they hold equity securities or voting power of the surviving or resulting entity in substantially the same proportions as their ownership of the Company immediately prior to such transaction, holding, directly or indirectly, less than 80% of the equity securities or voting power of the surviving or resulting entity, in each case, other than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 the Foreign Corrupt Practices Act of 1977, the Anti-Kickback Act of 1986, the UK Bribery Act of 2012, and the Anti-Bribery Laws of the People’s Republic of China or any applicable Laws of similar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 the Currency and Foreign Transactions Reporting Act of 1970 and any applicable Laws of similar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 the Sherman Act, the Clayton Act, the HSR Act, the Federal Trade Commission Act, state antitrust laws, and all other applicable Laws (including non-U.S. Laws)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mean non-certificated Shares represented by book-entry.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Burdensome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except a Saturday, a Sunday or other day on which banks in the City of New York are authorized or required by Laws to be closed.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Counterparties</w:t>
      </w:r>
      <w:r>
        <w:rPr>
          <w:rFonts w:ascii="Times New Roman;Times;Serif" w:hAnsi="Times New Roman;Times;Serif"/>
          <w:b w:val="false"/>
          <w:i w:val="false"/>
          <w:caps w:val="false"/>
          <w:smallCaps w:val="false"/>
          <w:sz w:val="20"/>
        </w:rPr>
        <w:t>” means Banco Santander, S.A., Barclays Bank PLC, Jefferies LLC, as agent for Jefferies International Limited, J.P. Morgan Securities LLC, RBC Capital Markets, LLC, as agent for Royal Bank of Canada, and Truist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Documentation</w:t>
      </w:r>
      <w:r>
        <w:rPr>
          <w:rFonts w:ascii="Times New Roman;Times;Serif" w:hAnsi="Times New Roman;Times;Serif"/>
          <w:b w:val="false"/>
          <w:i w:val="false"/>
          <w:caps w:val="false"/>
          <w:smallCaps w:val="false"/>
          <w:sz w:val="20"/>
        </w:rPr>
        <w:t>” means the twelve (12) letter agreements relating to call options on the Shares underlying the Company Convertible Notes, consisting of two (2) letter agreements with each Capped Call Counterparty, dated as of May 9, 2024 and May 10, 2024,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Transactions</w:t>
      </w:r>
      <w:r>
        <w:rPr>
          <w:rFonts w:ascii="Times New Roman;Times;Serif" w:hAnsi="Times New Roman;Times;Serif"/>
          <w:b w:val="false"/>
          <w:i w:val="false"/>
          <w:caps w:val="false"/>
          <w:smallCaps w:val="false"/>
          <w:sz w:val="20"/>
        </w:rPr>
        <w:t>” means the transactions contemplated by the Capped Call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Certificated Shares</w:t>
      </w:r>
      <w:r>
        <w:rPr>
          <w:rFonts w:ascii="Times New Roman;Times;Serif" w:hAnsi="Times New Roman;Times;Serif"/>
          <w:b w:val="false"/>
          <w:i w:val="false"/>
          <w:caps w:val="false"/>
          <w:smallCaps w:val="false"/>
          <w:sz w:val="20"/>
        </w:rPr>
        <w:t>” mean Shares evidenced by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Circumstance</w:t>
      </w:r>
      <w:r>
        <w:rPr>
          <w:rFonts w:ascii="Times New Roman;Times;Serif" w:hAnsi="Times New Roman;Times;Serif"/>
          <w:b w:val="false"/>
          <w:i w:val="false"/>
          <w:caps w:val="false"/>
          <w:smallCaps w:val="false"/>
          <w:sz w:val="20"/>
        </w:rPr>
        <w:t>” means any material event or development or material change in circumstances with respect to the Acquired Companies, taken as a whole, that (a) was not known or reasonably foreseeable to the Company Board as of the Agreement Date, or was known or reasonably foreseeable to the Company Board as of the Agreement Date but the consequences of which were not known or reasonably foreseeable to the Company Board as of the Agreement Date, and (b) does not relate to (i) any Acquisition Proposal, (ii) any change in the market price or trading volume of the Company’s stock or change in the Company’s credit ratings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 shall not exclude the underlying causes thereof), (iii) in and of itself, the Company meeting or exceeding internal or analysts’ expectations, projections, forecasts, guidance or estimates, including the results of operations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(iii) shall not exclude the underlying causes thereof), or (iv) the execution, announcement or pendency of this Agreement and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Adverse Change Recommendation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Associate</w:t>
      </w:r>
      <w:r>
        <w:rPr>
          <w:rFonts w:ascii="Times New Roman;Times;Serif" w:hAnsi="Times New Roman;Times;Serif"/>
          <w:b w:val="false"/>
          <w:i w:val="false"/>
          <w:caps w:val="false"/>
          <w:smallCaps w:val="false"/>
          <w:sz w:val="20"/>
        </w:rPr>
        <w:t>” means each current or former officer or other employee of any Acquired Company or each individual who is or has been an independent contractor, consultant or director of or to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$0.001 par value per share,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w:t>
      </w:r>
      <w:r>
        <w:rPr>
          <w:rFonts w:ascii="Times New Roman;Times;Serif" w:hAnsi="Times New Roman;Times;Serif"/>
          <w:b w:val="false"/>
          <w:i w:val="false"/>
          <w:caps w:val="false"/>
          <w:smallCaps w:val="false"/>
          <w:sz w:val="20"/>
        </w:rPr>
        <w:t>” means any Contract to which an Acquired Company is a party or by which an Acquired Company or any of its assets is legally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means the 2.125% Convertible Senior Notes due 2029 issued under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means Personal Data and confidential information, in each case, that any Acquired Company (or any Person acting on behalf of the Acquired Companies) collects, stores, uses or maintains.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4.6(e)</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means the disclosure schedule that has been prepared by the Company in accordance with the requirements of this Agreement and that has been delivered by the Company to Parent at least one (1) Business Day prior to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w:t>
      </w:r>
      <w:r>
        <w:rPr>
          <w:rFonts w:ascii="Times New Roman;Times;Serif" w:hAnsi="Times New Roman;Times;Serif"/>
          <w:b w:val="false"/>
          <w:i w:val="false"/>
          <w:caps w:val="false"/>
          <w:smallCaps w:val="false"/>
          <w:sz w:val="20"/>
        </w:rPr>
        <w:t>” means the Company’s 2011 Stock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means the Company’s 2014 Employee Stock Purchase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w:t>
      </w:r>
      <w:r>
        <w:rPr>
          <w:rFonts w:ascii="Times New Roman;Times;Serif" w:hAnsi="Times New Roman;Times;Serif"/>
          <w:b w:val="false"/>
          <w:i w:val="false"/>
          <w:caps w:val="false"/>
          <w:smallCaps w:val="false"/>
          <w:sz w:val="20"/>
        </w:rPr>
        <w:t>” means the Company’s 2014 Inducement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all Intellectual Property Rights that are owned or purported to be owned by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Lease</w:t>
      </w:r>
      <w:r>
        <w:rPr>
          <w:rFonts w:ascii="Times New Roman;Times;Serif" w:hAnsi="Times New Roman;Times;Serif"/>
          <w:b w:val="false"/>
          <w:i w:val="false"/>
          <w:caps w:val="false"/>
          <w:smallCaps w:val="false"/>
          <w:sz w:val="20"/>
        </w:rPr>
        <w:t>” means any Company Contract pursuant to which any Acquired Company leases, subleases or licenses any Leased Real Property from another Person (including all guaranties thereof and all material modifications, amendments, supplements, waivers and side letters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LTIP</w:t>
      </w:r>
      <w:r>
        <w:rPr>
          <w:rFonts w:ascii="Times New Roman;Times;Serif" w:hAnsi="Times New Roman;Times;Serif"/>
          <w:b w:val="false"/>
          <w:i w:val="false"/>
          <w:caps w:val="false"/>
          <w:smallCaps w:val="false"/>
          <w:sz w:val="20"/>
        </w:rPr>
        <w:t>” means the Company’s cash-based Long-Term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LTIP Award</w:t>
      </w:r>
      <w:r>
        <w:rPr>
          <w:rFonts w:ascii="Times New Roman;Times;Serif" w:hAnsi="Times New Roman;Times;Serif"/>
          <w:b w:val="false"/>
          <w:i w:val="false"/>
          <w:caps w:val="false"/>
          <w:smallCaps w:val="false"/>
          <w:sz w:val="20"/>
        </w:rPr>
        <w:t>” means a cash-based award granted pursuant to the Company LTIP.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granted by the Company pursuant to the Company Equity Plan or the Company Inducement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xml:space="preserve">” means (a) any Acquired Company’s products, product candidates, therapies and medical devices, including all modifications thereto and processes relating to the use thereof, and (b) any products, product candidates, therapies, medical devices or services that are the subject of clinical trials or are being researched, tested, developed, designed, manufactured, marketed, sold, commercialized, offered, made available, exclusively licensed, distributed or branded by or on behalf of any Acquired Company, solely or jointly with any other Person. For the avoidance of doubt, Company Products shall include the products, product candidates, therapies and medical devices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Proprietary Information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4.8(i)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means a performance share unit award granted pursuant to the Company Equity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 Award Agreement</w:t>
      </w:r>
      <w:r>
        <w:rPr>
          <w:rFonts w:ascii="Times New Roman;Times;Serif" w:hAnsi="Times New Roman;Times;Serif"/>
          <w:b w:val="false"/>
          <w:i w:val="false"/>
          <w:caps w:val="false"/>
          <w:smallCaps w:val="false"/>
          <w:sz w:val="20"/>
        </w:rPr>
        <w:t>” means the Performance Share Unit Award Notice and Performance Share Unit Award Agreement evidencing the grant of a Company PSU to the applicable participant under the Company Equity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means all Company IP that is the subject of an application, certificate, filing, registration or other document issued by, filed with or recorded by any Governmental Body in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Restricted Cash Award</w:t>
      </w:r>
      <w:r>
        <w:rPr>
          <w:rFonts w:ascii="Times New Roman;Times;Serif" w:hAnsi="Times New Roman;Times;Serif"/>
          <w:b w:val="false"/>
          <w:i w:val="false"/>
          <w:caps w:val="false"/>
          <w:smallCaps w:val="false"/>
          <w:sz w:val="20"/>
        </w:rPr>
        <w:t>” means a restricted cash award granted by any Acquired Company to a Company Associate pursuant to a Restricted Cash Award Notice and Restricted Cash Award Agreement (together, a “</w:t>
      </w:r>
      <w:r>
        <w:rPr>
          <w:rFonts w:ascii="Times New Roman;Times;Serif" w:hAnsi="Times New Roman;Times;Serif"/>
          <w:b w:val="false"/>
          <w:i w:val="false"/>
          <w:caps w:val="false"/>
          <w:smallCaps w:val="false"/>
          <w:sz w:val="20"/>
          <w:u w:val="single"/>
        </w:rPr>
        <w:t>Company Restricted Cash Award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a restricted stock unit award granted pursuant to the Company Equity Plan or the Company Inducement Plan. For the avoidance of doubt, the term “Company RSU” shall not include any Company PSU.</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Awards</w:t>
      </w:r>
      <w:r>
        <w:rPr>
          <w:rFonts w:ascii="Times New Roman;Times;Serif" w:hAnsi="Times New Roman;Times;Serif"/>
          <w:b w:val="false"/>
          <w:i w:val="false"/>
          <w:caps w:val="false"/>
          <w:smallCaps w:val="false"/>
          <w:sz w:val="20"/>
        </w:rPr>
        <w:t>” means all Company Options, all Company RSUs and all Company PSUs.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 authorization.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means an employee of the Company or any other Acquired Company who is employed by the Company or any other Acquired Company as of immediately prior to the Effective Time and who continues to be employed by Parent or the Surviving Corporation (or any Affiliate thereof)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oral or other agreement, contract, subcontract, lease, sublease, understanding, instrument, bond, debenture, note, option, warrant, warranty, purchase order, license, sublicense, insurance policy, benefit plan or legally binding commitment or undertaking of any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DOJ</w:t>
      </w:r>
      <w:r>
        <w:rPr>
          <w:rFonts w:ascii="Times New Roman;Times;Serif" w:hAnsi="Times New Roman;Times;Serif"/>
          <w:b w:val="false"/>
          <w:i w:val="false"/>
          <w:caps w:val="false"/>
          <w:smallCaps w:val="false"/>
          <w:sz w:val="20"/>
        </w:rPr>
        <w:t>” means the U.S. Department of Justice.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3.6(g)</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means any change, effect, circumstance, fact, event, development or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 any bonus, vacation, deferred compensation, incentive compensation, equity, stock purchase, stock option, severance pay, termination pay, death and disability benefits, hospitalization, medical, life or other insurance, flexible benefits, supplemental unemployment benefits, profit-sharing, pension or retirement plan, policy, program, agreement or arrangement or any other employee benefit plan or arrangement sponsored, maintained, contributed to or required to be contributed to by any Acquired Company for the benefit of any current or former employee of the Company or with respect to which the Company or any other Acquired Company has any liability and (b) each management, employment, severance, retention, transaction bonus, change in control, consulting, relocation, repatriation or expatriation agreement or other Contract providing compensation or benefits between any Acquired Company, on the one hand, and any Company Associate, on the other hand, but excluding, in the case of each of clauses (a) and (b), any employee benefit plan, program, agreement or arrangement that is mandated, maintained or administered by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pledge, hypothecation, charge, mortgage, deed of trust, security interest, encumbrance, claim, infringement, interference, option, right of first refusal, right of first offer or first negotiation, preemptive right, community property interest or other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federal, state, local or foreign Law relating to pollution or protection of human health, worker health or the environment (including ambient air, surface water, ground water, land surface or subsurface strata, natural resources or wildlife), including any law or regulation relating to emissions, discharges, releases or threatened releases of Hazardous Materials, or otherwise relating to the generation, manufacture, processing, distribution, use, treatment, storage, disposal, transport, cleanup or handling of Hazardous Materials.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xml:space="preserve">” means the Shares to be canceled pursuant to and in accordance with </w:t>
      </w:r>
      <w:r>
        <w:rPr>
          <w:rFonts w:ascii="Times New Roman;Times;Serif" w:hAnsi="Times New Roman;Times;Serif"/>
          <w:b w:val="false"/>
          <w:i w:val="false"/>
          <w:caps w:val="false"/>
          <w:smallCaps w:val="false"/>
          <w:sz w:val="20"/>
          <w:u w:val="single"/>
        </w:rPr>
        <w:t>Section 3.5(a)(i)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3.5(a)(ii)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Deadline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Purchase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3.8(h)</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Flexion CVR Agreement</w:t>
      </w:r>
      <w:r>
        <w:rPr>
          <w:rFonts w:ascii="Times New Roman;Times;Serif" w:hAnsi="Times New Roman;Times;Serif"/>
          <w:b w:val="false"/>
          <w:i w:val="false"/>
          <w:caps w:val="false"/>
          <w:smallCaps w:val="false"/>
          <w:sz w:val="20"/>
        </w:rPr>
        <w:t>” means that certain Contingent Value Rights Agreement, dated November 19, 2021, by and between the Company and American Stock Transfer &amp; Trust Company, LLC.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FTC</w:t>
      </w:r>
      <w:r>
        <w:rPr>
          <w:rFonts w:ascii="Times New Roman;Times;Serif" w:hAnsi="Times New Roman;Times;Serif"/>
          <w:b w:val="false"/>
          <w:i w:val="false"/>
          <w:caps w:val="false"/>
          <w:smallCaps w:val="false"/>
          <w:sz w:val="20"/>
        </w:rPr>
        <w:t>” means the U.S. Federal Trade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Clinical Practices</w:t>
      </w:r>
      <w:r>
        <w:rPr>
          <w:rFonts w:ascii="Times New Roman;Times;Serif" w:hAnsi="Times New Roman;Times;Serif"/>
          <w:b w:val="false"/>
          <w:i w:val="false"/>
          <w:caps w:val="false"/>
          <w:smallCaps w:val="false"/>
          <w:sz w:val="20"/>
        </w:rPr>
        <w:t>” means ethical and scientific quality standards for designing, conducting, recording and reporting trials that involve the participation of human subjects, conflicts of interest and financial disclosures, including FDA regulations in 21 C.F.R. Parts 50, 54, 56, 812 and 814, and any other comparable applicable Law of the FDA or any other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Laboratory Practices</w:t>
      </w:r>
      <w:r>
        <w:rPr>
          <w:rFonts w:ascii="Times New Roman;Times;Serif" w:hAnsi="Times New Roman;Times;Serif"/>
          <w:b w:val="false"/>
          <w:i w:val="false"/>
          <w:caps w:val="false"/>
          <w:smallCaps w:val="false"/>
          <w:sz w:val="20"/>
        </w:rPr>
        <w:t>” means the FDA regulations in 21 C.F.R. Part 58 and any other comparable applicable Law of the FDA or any other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Manufacturing Practices</w:t>
      </w:r>
      <w:r>
        <w:rPr>
          <w:rFonts w:ascii="Times New Roman;Times;Serif" w:hAnsi="Times New Roman;Times;Serif"/>
          <w:b w:val="false"/>
          <w:i w:val="false"/>
          <w:caps w:val="false"/>
          <w:smallCaps w:val="false"/>
          <w:sz w:val="20"/>
        </w:rPr>
        <w:t>” means the good manufacturing practices required by the FFDCA, and the regulations promulgated thereunder by the FDA at 21 C.F.R. Parts 210 and 211, for the manufacture and testing of pharmaceutical materials, and comparable Law related to the manufacture and testing of pharmaceutical materials in jurisdictions outside the U.S., including the quality guideline promulgated by the International Council for Harmonisation of Technical Requirements for Pharmaceuticals for Human Use designated ICH Q7A, titled “Q7A Good Manufacturing Practice Guidance for Active Pharmaceutical Ingredients”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ministry, fund, foundation, center, organization, unit, body or Entity and any court, arbitrator or other tribunal.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 any waste, material, or substance that is listed, regulated, defined or designated under any applicable Law or by a Governmental Body as a pollutant, contaminant or priority or hazardous, toxic, harmful or other term of similar meaning or import, and includes any chemical substance, hazardous substance, hazardous waste, special waste, solid waste, asbestos, mold, radioactive material, polychlorinated biphenyls, petroleum or petroleum-derived substance or waste.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the Federal Food, Drug, and Cosmetic Act (21 U.S.C. §§ 301 et seq.) (the “</w:t>
      </w:r>
      <w:r>
        <w:rPr>
          <w:rFonts w:ascii="Times New Roman;Times;Serif" w:hAnsi="Times New Roman;Times;Serif"/>
          <w:b w:val="false"/>
          <w:i w:val="false"/>
          <w:caps w:val="false"/>
          <w:smallCaps w:val="false"/>
          <w:sz w:val="20"/>
          <w:u w:val="single"/>
        </w:rPr>
        <w:t>FFDCA</w:t>
      </w:r>
      <w:r>
        <w:rPr>
          <w:rFonts w:ascii="Times New Roman;Times;Serif" w:hAnsi="Times New Roman;Times;Serif"/>
          <w:b w:val="false"/>
          <w:i w:val="false"/>
          <w:caps w:val="false"/>
          <w:smallCaps w:val="false"/>
          <w:sz w:val="20"/>
        </w:rPr>
        <w:t>”), the Public Health Service Act (42 U.S.C. § 201 et seq.), the Anti-Kickback Statute (42 U.S.C. § 1320a-7b(b)), the Physician Payments Sunshine Act (42 U.S.C. § 1320a-7h), the Civil False Claims Act (31 U.S.C. § 3729 et seq.), the criminal False Statements Law (42 U.S.C. § 1320a-7b(a)), the Health Insurance Portability and Accountability Act of 1996 (42 U.S.C. § 1320d et seq.), the exclusion Laws (42 U.S.C. § 1320a-7), the Civil Monetary Penalties Law (42 U.S.C. § 1320a-7a), the Health Information Technology for Economic and Clinical Health Act, federal Medicare and Medicaid statutes, each of their state and local counterparts or equivalents, each of their foreign and international equivalents, and the regulations, rules, guidelines, guidance documents, advisory opinions, compliance program guidance and other interpretive guidance issued by the U.S. Department of Health and Human Services Office of Inspector General (OIG), the Centers for Medicare &amp; Medicaid Services (CMS), and other applicable Governmental Bodies, and requirements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Incidental Agreement</w:t>
      </w:r>
      <w:r>
        <w:rPr>
          <w:rFonts w:ascii="Times New Roman;Times;Serif" w:hAnsi="Times New Roman;Times;Serif"/>
          <w:b w:val="false"/>
          <w:i w:val="false"/>
          <w:caps w:val="false"/>
          <w:smallCaps w:val="false"/>
          <w:sz w:val="20"/>
        </w:rPr>
        <w:t>” means any Contract that is (a) for off-the-shelf Software or Software as a Service offerings that are generally available on non-discriminatory pricing terms, (b) a Contract containing a non-exclusive license of Intellectual Property Rights that is merely incidental to the transaction contemplated in such Contract, the commercial purpose of which is primarily for something other than such license, such as (i) a sales or marketing agreement that includes a license to use trademarks or other rights for the purposes of advertising or providing products or services during the term of and in accordance with such Contract, or (ii) a Contract for the purchase or lease of a photocopier, computer, network equipment, mobile phone or other equipment that also contains a license of Intellectual Property Rights, (c) a nondisclosure agreement, or (d) a non-exclusive license implied by law to end-user customers of any product or service, in the case of each of clauses (a) through (d), entered into in the ordinary course of business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all liabilities or other obligations (including all obligations in respect of principal, accrued interest, penalties, fees and premiums) of such Person in respect of any (a) indebtedness for borrowed money (including the issuance of any debt security) to any other Person, (b) obligations evidenced by notes, bonds, debentures or similar Contracts to any other Person, (c) letters of credit and bankers’ acceptances (other than undrawn letters of credit used as security for leases), bank guarantees, surety bonds, performance bonds and similar instruments, including the principal, interest and fees owing thereon, (d) interest rate, currency swap, hedging, cap, collar or future Contracts or other derivative instruments or agreements and any other arrangements designed to provide protection against fluctuations in interest or currency rates, (e) conditional sale or other title retention agreement with respect to property acquired or deferred purchase price of property or services, (f) capital or finance leases reflected in such Person’s consolidated financial statements, if applicable, or leases required to be capitalized under GAAP, (g) any such obligations described in clauses (a) through (f) of any other Person secured by an Encumbrance on any asset of such first Person, whether or not such obligation has been assumed by such first Person, or (h) guaranties of any such obligations described in clauses (a) through (g) of any other Person (other than, in any case, accounts payable to trade creditors and accrued expenses, in each case, arising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dated May 14, 2024, by and between the Company and Computershare Trust Company, National Association, as trustee with respect to the Company Convertible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and includes all past, present, and future rights in intellectual property, which may exist or be created under the laws of any jurisdiction in the world, including all: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(collectively, “</w:t>
      </w:r>
      <w:r>
        <w:rPr>
          <w:rFonts w:ascii="Times New Roman;Times;Serif" w:hAnsi="Times New Roman;Times;Serif"/>
          <w:b w:val="false"/>
          <w:i w:val="false"/>
          <w:caps w:val="false"/>
          <w:smallCaps w:val="false"/>
          <w:sz w:val="20"/>
          <w:u w:val="single"/>
        </w:rPr>
        <w:t>Proprietary Information</w:t>
      </w:r>
      <w:r>
        <w:rPr>
          <w:rFonts w:ascii="Times New Roman;Times;Serif" w:hAnsi="Times New Roman;Times;Serif"/>
          <w:b w:val="false"/>
          <w:i w:val="false"/>
          <w:caps w:val="false"/>
          <w:smallCaps w:val="false"/>
          <w:sz w:val="20"/>
        </w:rPr>
        <w:t>”); (d) patents and industrial property rights; (e) other proprietary rights in intellectual property of every kind and nature; (f) rights of publicity; and (g) all registrations, renewals, extensions, combinations, statutory invention registrations, provisionals, continuations, continuations-in-part, divisions, or reissues of, and applications for, any of the rights referred to in clauses (a) through (f), along with all rights to prosecute and perfect the same through administrative prosecution, registration, recordation or other administrative proceeding, and all causes of action and rights to sue or seek other remedies arising from or relating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means computers, Software, middleware, firmware, servers, workstations, routers, hubs, switches, data communications lines, all other information technology equipment and other information technology hardware and infrastructure, including any “Infrastructure-as-a-Service” or “Platform-as-a-Service” or other cloud or hybrid cloud services, and all associated documentation, in each case, used by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with respect to an Entity means with respect to any matter in question the actual knowledge of, in the case of the Company, the Persons listed on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Company Disclosure Schedule after reasonable inquiry, and in the case of any other Entity, such Entity’s executive officers after reasonable inquiry.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municipal, foreign or other law (including common law), statute, constitution, principle of common law, resolution, order, ordinance, code, edict, judgment, decree, rule, regulation, ruling or requirement issued, pronounced, enacted, adopted, promulgated, implemented or otherwise put into effect by or under the authority of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Effect which, individually or in the aggregate, (a) has had, or would reasonably be expected to have, a material adverse effect on the business, assets, financial condition or results of operations of the Acquired Companies, taken as a whole, or (b) would, or would reasonably be expected to, prevent, materially delay or materially impair the ability of the Company to consummate the Transactions or to perform its obligations under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solely for purposes of clause (a), no Effect resulting from, arising out of or relating to any of the following shall be deemed in and of itself, either alone or in combination with other Effects, to constitute, and no Effect resulting from, arising out of or relating to any of the following shall be taken into account in determining whether there is, or would reasonably be expected to be,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Effect generally affecting the U.S. or foreign economies, financial or securities markets, or political, legislative or regulatory conditions;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Effect arising out of or otherwise relating to fluctuations in the value of any currency exchange, interest or inflation rates or tariffs;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Effect arising out of or otherwise relating to any change in any Law or GAAP (or authoritative interpretations of any Law or GAAP);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Effect arising out of or otherwise relating to any act of terrorism, outbreak of hostilities, acts of war, trade war, national or international calamity or any other similar event (or the escalation of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acts of god, natural disasters,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xml:space="preserve"> events, weather or environmental events, health emergencies, pandemics or epidemics (or the escalation of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changes generally affecting the pharmaceutical or biotechnology industries;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change in the market price or trading volume of the Company’s stock or change in the Company’s credit ratings;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failure of the Company to meet internal or analysts’ expectations, projections, forecasts, guidance or estimates, including the results of operations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any Effect or other matter resulting from the execution, announcement or pendency of this Agreement and the Transactions, including any Effect related to the identity of Parent, Purchaser or any of their Affiliates or Representatives or any resulting impact on the relationship of the Company with any of its current or prospective suppliers, customers, wholesalers, service providers, distributors, licensors, licensees, regulators, employees, creditors or other third parties (other than for purposes of any representation or warranty contained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or any other representation or warranty to the extent that the purpose of such representation or warranty is to address the consequences of the execution, announcement or pendency of this Agreement and the Transactions);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any Effect arising out of or otherwise directly relating to (A) any action taken by the Company at the express prior written direction or with the express prior written approval of Parent, or (B) any action specifically required to be taken by the Company, or any failure of the Company to take any action that the Company is specifically prohibited from taking, in each case of this clause (B), pursuant to the terms of this Agreement (other than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unless such action or failure to take action is due to Parent unreasonably withholding, conditioning or delaying a consent requested by the Company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cases of clauses (i) through (vi), such exclusion shall only be applicable to the extent such matter does not have a disproportionate Effect on the Company relative to other companies operating in the pharmaceutical or biotechnology industries, in which case such Effect shall be taken into account only to the extent of such disproportionate Effect;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cases of clauses (vii) and (viii), the underlying causes of any such Effect may be considered in determining whether a Material Adverse Effect occurred to the extent not otherwise excluded by another exception in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Consideration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Acceptance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Commencement Date</w:t>
      </w:r>
      <w:r>
        <w:rPr>
          <w:rFonts w:ascii="Times New Roman;Times;Serif" w:hAnsi="Times New Roman;Times;Serif"/>
          <w:b w:val="false"/>
          <w:i w:val="false"/>
          <w:caps w:val="false"/>
          <w:smallCaps w:val="false"/>
          <w:sz w:val="20"/>
        </w:rPr>
        <w:t>” means the date on which Purchaser commences the Offer, within the meaning of Rule 14d-2 under the Exchange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Conditions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to 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means Software licensed to the Company or any of its Subsidiaries pursuant to (a) any license that is, or is substantially similar to a license, approved by the Open Source Initiative (www.opensource.org), (b) any license under which Software is licensed or distributed as “free software”, “open source software” or under similar terms or (c) a license that requires or that conditions any rights granted in such license upon (i) the disclosure, distribution or licensing of any other Software (other than such item of Software in its unmodified form), (ii) a requirement that any disclosure, distribution or licensing of any such other Software be at no charge, (iii) a requirement that any other licensee of such Software be permitted to modify, make derivative works of or reverse-engineer (other than as prohibited under applicable Law) any such other Software or (iv) a requirement that any such other Software be redistributable by other licensees.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with respect to any Person, any order, judgment, decision, decree, corporate integrity agreement, deferred prosecution agreement, settlement agreement, injunction, ruling, writ, assessment or other similar requirement issued, enacted, adopted, promulgated or applied by any Governmental Body of competent jurisdiction that is binding on or applicable to such Person or its property.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any Effect that would, or would reasonably be expected to, individually or in the aggregate, prevent, materially delay or materially impair the ability of Parent or Purchaser to consummate the Transactions or to perform their respective obligations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 Parent, Purchaser and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Amounts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 any statutory Encumbrance for Taxes that are not yet due and payable or the validity of which is being contested in good faith by appropriate proceedings and for which adequate reserves have been established by the Company in accordance with GAAP, (b) any Encumbrance representing the rights of customers, suppliers, service providers and subcontractors in the ordinary course of business under the terms of any Contracts to which any Acquired Company is a party, (c) mechanics’, materialmen’s, carriers’, workmen’s, warehouseman’s, repairmen’s, or other similar Encumbrances arising or incurred in the ordinary course of business relating to obligations which are not yet due or payable or that are being contested in good faith by appropriate proceedings and for which adequate reserves have been established by the Company in accordance with GAAP, (d) in the case of any Contract, Encumbrances that are restrictions against the transfer or assignment thereof that are included in the terms of such Contract or any license of Intellectual Property Rights, (e) any non-exclusive license of Intellectual Property Rights granted by any Acquired Company in the ordinary course of business consistent with past practice, and (f) with respect to real property, (i) easements, rights-of-way, encroachments, restrictions, and other similar non-monetary Encumbrances that are of record and incurred in the ordinary course of business, and (ii) zoning, entitlement, building and other land use Laws imposed by Governmental Bodies having jurisdiction over such real property that have not been violated in any material respect, and, in the case of each of clauses (i) and (ii), that, individually or in the aggregate, do not and would not materially impair the use (or contemplated use), utility or value of the applicable real property or otherwise materially impair the present or contemplated business operations at such location.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information (a) relating to an identified or identifiable natural person or that is reasonably capable of being used to identify a natural person or (b) that constitutes or is defined as “personal data”, “personal information” or similar term as defined by applicable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Date</w:t>
      </w:r>
      <w:r>
        <w:rPr>
          <w:rFonts w:ascii="Times New Roman;Times;Serif" w:hAnsi="Times New Roman;Times;Serif"/>
          <w:b w:val="false"/>
          <w:i w:val="false"/>
          <w:caps w:val="false"/>
          <w:smallCaps w:val="false"/>
          <w:sz w:val="20"/>
        </w:rPr>
        <w:t>” means October 7, 2026.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currently registered or issued under the authority of any Governmental Body or domain name registrar, including all patents, registered copyrights, registered mask works, and registered trademarks, service marks and trade dress, registered domain names and all pending applications for any of the foregoing.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presence, emission, spill, seepage, leak, escape, leaching, discharge, injection, pumping, pouring, emptying, dumping, disposal, migration, or release of Hazardous Materials from any source into or upon the indoor or outdoor environment, including the air, soil, improvements, surface water, groundwater, the sewer, septic system, storm drain, publicly owned treatment works, or waste treatment, storage, or disposal systems.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 Entity, its directors, officers, employees, attorneys, accountants, investment bankers, consultants, agents, financial advisors, other advisors and other representatives.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any applicable economic sanctions and export and import controls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TO</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means any (a) unauthorized access, acquisition, use, disclosure, modification or destruction of confidential information, including Proprietary Information and Personal Data, or (b) unauthorized access to or use of any of the IT Systems, including any breach resulting in the payment of ransom to a malicious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(a) software, firmware, computer programs and applications (whether in source code, object code or other form), (b) algorithms, models and methodologies, and any software implementations thereof, (c) databases and (d) documentation, specifications, protocols, development tools and other technology used in supporting any of the foregoing categories.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Sublease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Entity of which such Person directly or indirectly owns or purports to own, beneficially or of record, (a) an amount of voting securities or other interests in such Entity that is sufficient to enable such Person to elect at least a majority of the members of such Entity’s Board of Directors or equivalent governing body, or (b) at least 50% of the outstanding equity or financial interests of such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that did not result from a breach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on terms that the Company Board (or an authorized committee thereof) has determined in good faith, after consultation with the Company’s financial advisor and outside legal counsel, is reasonably likely to be consummated in accordance with its terms and would be more favorable, from a financial point of view, to the stockholders of the Company (in their capacity as such) than the Transactions (taking into account any legal, timing, financing (including the existence and reliability of any debt or equity financing commitments and the likelihood of such financing being obtained and funded on the terms proposed) and other aspects of such Acquisition Proposal (including the identity of the Person making such Acquisition Proposal) and this Agreement (including any revisions to the terms of this Agreement made or proposed in writing by Parent prior to the time of such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the definition of “</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the references to “20%” and “80%” in the definition of Acquisition Proposal shall be deemed to be references to “50%.”</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means any “moratorium,” “control share acquisition,” “fair price,” “supermajority,” “affiliate transactions,” or “business combination statute or regulation” or other similar state anti-takeover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tax of any kind whatsoever or similar duty, fee or charge or assessment thereof, in each case, in the nature of a tax (including any income tax, franchise tax, capital gains tax, gross receipts tax, value-added tax, surtax, estimated tax, unemployment tax, excise tax, ad valorem tax, transfer tax, stamp tax, sales tax, use tax, property tax, business tax, withholding tax or payroll tax), including any interest, penalty or addition thereto, in each case imposed, assessed or collected by or under the authority of any Governmental Body.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 all of the transactions contemplated by this Agreement, including the Offer and 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means a deliberate act or a deliberate failure to act (including a failure to cure) by the Company, Parent or Purchaser, as the case may be, with knowledge that such act or failure to act would constitute, in and of itself, a material breach of any agreement or covenant in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Additional Definitions</w:t>
      </w:r>
      <w:r>
        <w:rPr>
          <w:rFonts w:ascii="Times New Roman;Times;Serif" w:hAnsi="Times New Roman;Times;Serif"/>
          <w:b w:val="false"/>
          <w:i w:val="false"/>
          <w:caps w:val="false"/>
          <w:smallCaps w:val="false"/>
          <w:sz w:val="20"/>
        </w:rPr>
        <w:t>. The following capitalized terms shall have the respective meanings ascribed thereto in the respective sections of this Agreement set forth opposite each of the capitalized terms below:</w:t>
      </w:r>
    </w:p>
    <w:p>
      <w:pPr>
        <w:pStyle w:val="TextBody"/>
        <w:bidi w:val="0"/>
        <w:spacing w:before="0" w:after="0"/>
        <w:ind w:left="0" w:right="0" w:firstLine="720"/>
        <w:jc w:val="both"/>
        <w:rPr>
          <w:caps w:val="false"/>
          <w:smallCaps w:val="false"/>
        </w:rPr>
      </w:pPr>
      <w:r>
        <w:rPr>
          <w:caps w:val="false"/>
          <w:smallCaps w:val="false"/>
        </w:rPr>
        <w:t> </w:t>
      </w:r>
    </w:p>
    <w:tbl>
      <w:tblPr>
        <w:tblW w:w="5155" w:type="dxa"/>
        <w:jc w:val="left"/>
        <w:tblInd w:w="-10" w:type="dxa"/>
        <w:tblLayout w:type="fixed"/>
        <w:tblCellMar>
          <w:top w:w="28" w:type="dxa"/>
          <w:left w:w="108" w:type="dxa"/>
          <w:bottom w:w="28" w:type="dxa"/>
          <w:right w:w="108" w:type="dxa"/>
        </w:tblCellMar>
      </w:tblPr>
      <w:tblGrid>
        <w:gridCol w:w="3695"/>
        <w:gridCol w:w="1460"/>
      </w:tblGrid>
      <w:tr>
        <w:trPr/>
        <w:tc>
          <w:tcPr>
            <w:tcW w:w="36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Burdensome Condition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Adverse Change Recommendation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Recommendation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Proprietary Information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Related Parties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SEC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Notice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7.1(b)(i)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3.6(g)</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9.1(b)(i)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Purchase Period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3.8(h)</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Deadline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Indemnified Persons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Indemnifying Parties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Real Property</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Restraint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3.5(a)(iii)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Acceptance Time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Conditions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Price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to Purchase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401(k) Plan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Plan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Fund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Payoff Amounts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Period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Remedial Action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14D-9</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TO</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9.1(d)(i)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Sublease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Fee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9.3(b)</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val="false"/>
          <w:i w:val="false"/>
          <w:caps w:val="false"/>
          <w:smallCaps w:val="false"/>
          <w:sz w:val="20"/>
        </w:rPr>
        <w:br/>
        <w:br/>
        <w:t>THE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The Offer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Commencement of the Offer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Agreement shall not have been terminated in accordance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subject to the Company having complied with its obligations under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in all material respects, as promptly as practicable after the Agreement Date (but in no event more than fifteen (15) Business Days after the Agreement Date), Purchaser shall (and Parent shall cause Purchaser to) commence (within the meaning of Rule 14d-2 under the Exchange Act) the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and Conditions of the Offer</w:t>
      </w:r>
      <w:r>
        <w:rPr>
          <w:rFonts w:ascii="Times New Roman;Times;Serif" w:hAnsi="Times New Roman;Times;Serif"/>
          <w:b w:val="false"/>
          <w:i w:val="false"/>
          <w:caps w:val="false"/>
          <w:smallCaps w:val="false"/>
          <w:sz w:val="20"/>
        </w:rPr>
        <w:t xml:space="preserve">. The obligations of Purchaser to, and of Parent to cause Purchaser to, accept for payment, and pay for, any Shares validly tendered (and not validly withdrawn) pursuant to the Offer are subject to the terms and conditions of this Agreement, including the prior satisfaction of the Minimum Condition and the satisfaction or waiver (to the extent permitted by applicable Law) of the other conditions set forth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Offer Conditions</w:t>
      </w:r>
      <w:r>
        <w:rPr>
          <w:rFonts w:ascii="Times New Roman;Times;Serif" w:hAnsi="Times New Roman;Times;Serif"/>
          <w:b w:val="false"/>
          <w:i w:val="false"/>
          <w:caps w:val="false"/>
          <w:smallCaps w:val="false"/>
          <w:sz w:val="20"/>
        </w:rPr>
        <w:t>”). The Offer shall be made by means of an offer to purchase (the “</w:t>
      </w:r>
      <w:r>
        <w:rPr>
          <w:rFonts w:ascii="Times New Roman;Times;Serif" w:hAnsi="Times New Roman;Times;Serif"/>
          <w:b w:val="false"/>
          <w:i w:val="false"/>
          <w:caps w:val="false"/>
          <w:smallCaps w:val="false"/>
          <w:sz w:val="20"/>
          <w:u w:val="single"/>
        </w:rPr>
        <w:t>Offer to Purchase</w:t>
      </w:r>
      <w:r>
        <w:rPr>
          <w:rFonts w:ascii="Times New Roman;Times;Serif" w:hAnsi="Times New Roman;Times;Serif"/>
          <w:b w:val="false"/>
          <w:i w:val="false"/>
          <w:caps w:val="false"/>
          <w:smallCaps w:val="false"/>
          <w:sz w:val="20"/>
        </w:rPr>
        <w:t xml:space="preserve">”) that contains the terms set forth in this Agreement, the Minimum Condition and the other Offer Conditions. Purchaser expressly reserves the right to (i) increase the Offer Price, (ii) waive any Offer Condition and (iii) make any other changes in the terms and conditions of the Offer not inconsistent with the terms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unless otherwise provided by this Agreement, without the prior written consent of the Company, Purchaser shall not (A) decrease the Offer Price, (B) change the form of consideration payable in the Offer, (C) decrease the maximum number of Shares sought to be purchased in the Offer, (D) impose conditions to the Offer in addition to the Offer Conditions, (E) 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 (F) amend, modify, change or waive the Minimum Condition, the Termination Condition or the condition set forth in clause (g)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(G) terminate the Offer or accelerate, extend or otherwise change the Expiration Date, except in accordance with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or (H) provide any “subsequent offering period” within the meaning of Rule 14d-11 promulgated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and Extension of the Offer</w:t>
      </w:r>
      <w:r>
        <w:rPr>
          <w:rFonts w:ascii="Times New Roman;Times;Serif" w:hAnsi="Times New Roman;Times;Serif"/>
          <w:b w:val="false"/>
          <w:i w:val="false"/>
          <w:caps w:val="false"/>
          <w:smallCaps w:val="false"/>
          <w:sz w:val="20"/>
        </w:rPr>
        <w:t>. The Offer shall initially be scheduled to expire at one (1) minute following 11:59 p.m., Eastern Time, on the date that is the tenth (10th) Business Day following the Offer Commencement Date, determined as set forth in Rule 14d-1(g)(3) and Rule 14e-1(a) under the Exchange Act, unless otherwise agreed to in writing by Parent and the Company (such date or such subsequent date to which the expiration of the Offer is extended in accordance with the terms of this Agreement,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Subject to the Parties’ respective termination rights under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 if, as of the scheduled Expiration Date, any Offer Condition is not satisfied and has not been waived, Purchaser may, in its discretion (and without the consent of the Company or any other Person), extend the Offer on one or more occasions, for an additional period of up to ten (10) Business Days per extension, to permit such Offer Condition to be satisfied; (ii) Purchaser shall (and Parent shall cause Purchaser to) extend the Offer from time to time for (A) any period to the minimum extent required by any Law, any interpretation or position of the SEC, the staff thereof or Nasdaq applicable to the Offer and (B) periods of up to ten (10) Business Days per extension, until any waiting period (and any extension thereof) applicable to the consummation of the Offer under the HSR Act shall have expired or been terminated; and (iii) if, as of the scheduled Expiration Date, any Offer Condition is not satisfied and has not been waived, at the request of the Company, Purchaser shall (and Parent shall cause Purchaser to) extend the Offer on one or more occasions for an additional period specified by the Company of up to ten (10) Business Days per extension, to permit such Offer Condition or Offer Conditions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the Minimum Condition is the only Offer Condition (other than the Officer’s Certificate Condition) that is not satisfied or waived, Purchaser shall not be required to extend the Offer pursuant to this clause (iii) on more than two (2) occasions;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no event shall Purchaser (1) be required to extend the Offer beyond the earlier to occur of: (x) the valid termination of this Agreement in compliance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(y) the first (1st) Business Day immediately following the End Date (such earlier date, the “</w:t>
      </w:r>
      <w:r>
        <w:rPr>
          <w:rFonts w:ascii="Times New Roman;Times;Serif" w:hAnsi="Times New Roman;Times;Serif"/>
          <w:b w:val="false"/>
          <w:i w:val="false"/>
          <w:caps w:val="false"/>
          <w:smallCaps w:val="false"/>
          <w:sz w:val="20"/>
          <w:u w:val="single"/>
        </w:rPr>
        <w:t>Extension Deadline</w:t>
      </w:r>
      <w:r>
        <w:rPr>
          <w:rFonts w:ascii="Times New Roman;Times;Serif" w:hAnsi="Times New Roman;Times;Serif"/>
          <w:b w:val="false"/>
          <w:i w:val="false"/>
          <w:caps w:val="false"/>
          <w:smallCaps w:val="false"/>
          <w:sz w:val="20"/>
        </w:rPr>
        <w:t xml:space="preserve">”) or (2) be permitted to extend the Offer beyond the Extension Deadline without the prior written consent of the Company. Purchaser agrees that it shall not, and Parent shall not permit or authorize Purchaser to, terminate or withdraw the Offer prior to any scheduled Expiration Date without the prior written consent of the Company except in the event that this Agreement is terminated in accordance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Offer</w:t>
      </w:r>
      <w:r>
        <w:rPr>
          <w:rFonts w:ascii="Times New Roman;Times;Serif" w:hAnsi="Times New Roman;Times;Serif"/>
          <w:b w:val="false"/>
          <w:i w:val="false"/>
          <w:caps w:val="false"/>
          <w:smallCaps w:val="false"/>
          <w:sz w:val="20"/>
        </w:rPr>
        <w:t xml:space="preserve">. In the event that this Agreement is terminated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Purchaser shall (and Parent shall cause Purchaser to) promptly (and, in any event, within twenty-four (24) hours of such termination), irrevocably and unconditionally terminate the Offer and shall not acquire any Shares pursuant to the Offer. If the Offer is terminated or withdrawn by Purchaser, Purchaser shall (and Parent shall cause Purchaser to) promptly return, and shall cause any depository acting on behalf of Purchaser to return, in accordance with applicable Laws, all tendered Shares to the registered holders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As promptly as practicable on the date of commencement (within the meaning of Rule 14d-2 under the Exchange Act) of the Offer, Parent and Purchaser shall (i) file with the SEC a tender offer statement on Schedule TO with respect to the Offer (together with all amendments and supplements thereto and including the exhibits thereto, the “</w:t>
      </w:r>
      <w:r>
        <w:rPr>
          <w:rFonts w:ascii="Times New Roman;Times;Serif" w:hAnsi="Times New Roman;Times;Serif"/>
          <w:b w:val="false"/>
          <w:i w:val="false"/>
          <w:caps w:val="false"/>
          <w:smallCaps w:val="false"/>
          <w:sz w:val="20"/>
          <w:u w:val="single"/>
        </w:rPr>
        <w:t>Schedule TO</w:t>
      </w:r>
      <w:r>
        <w:rPr>
          <w:rFonts w:ascii="Times New Roman;Times;Serif" w:hAnsi="Times New Roman;Times;Serif"/>
          <w:b w:val="false"/>
          <w:i w:val="false"/>
          <w:caps w:val="false"/>
          <w:smallCaps w:val="false"/>
          <w:sz w:val="20"/>
        </w:rPr>
        <w:t>”) that will contain as an exhibit or incorporate by reference the Offer to Purchase, the form of the related letter of transmittal and other customary ancillary documents in each case related to the Offer and (ii) cause the Offer to Purchase and related documents to be disseminated to the holders of Shares. Each of Parent and Purchaser agrees to cause the Schedule TO and all exhibits (including the Offer to Purchase), amendments or supplements thereto (collectively, the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filed by either Parent or Purchaser with the SEC to comply in all material respects with the Exchange Act and other applicable Laws, and to not contain any untrue statement of a material fact or omission of a material fact necessary in order to make the statements made therein, in light of the circumstances under which they are made, not misleading. The Company shall promptly furnish or otherwise make available to Parent and Purchaser or Parent’s legal counsel all information concerning the Company and the Company’s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so as to enable each of Parent and Purchaser to comply with its obligations hereunder. Each of Parent, Purchaser and the Company agrees to promptly correct any information provided by it for use in the Offer Documents if and to the extent that such information shall have become false or misleading in any material respect, and Parent further agrees to take all steps necessary to cause the Offer Documents as so corrected to be filed with the SEC and to be disseminated to the holders of Shares, in each case as and to the extent required by applicable federal securities Laws. The Company and its counsel shall be given reasonable opportunity to review and comment on the Offer Documents prior to the filing thereof with the SEC, and Parent shall consider any such comments in good faith. Parent and Purchaser agree to provide the Company and its counsel with prompt notice of any comments (whether written or oral) that Parent, Purchaser or their counsel may receive from the SEC or its staff with respect to the Offer Documents (which notice shall include a copy of any written comments) and Parent and Purchaser shall provide the Company and its counsel a reasonable opportunity to participate in the formulation of any response to any such comments of the SEC or its staff, including a reasonable opportunity to participate in any discussions with the SEC or its staff concerning such comments. Each of Parent, Purchaser and the Company shall respond promptly to any comments of the SEC or its staff with respect to the Offer Documents or the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Acceptance; Payment Funds</w:t>
      </w:r>
      <w:r>
        <w:rPr>
          <w:rFonts w:ascii="Times New Roman;Times;Serif" w:hAnsi="Times New Roman;Times;Serif"/>
          <w:b w:val="false"/>
          <w:i w:val="false"/>
          <w:caps w:val="false"/>
          <w:smallCaps w:val="false"/>
          <w:sz w:val="20"/>
        </w:rPr>
        <w:t xml:space="preserve">. On the terms specified herein and subject only to the satisfaction or waiver (to the extent waivable by Parent or Purchaser) of the Offer Conditions, Purchaser shall, and Parent shall cause Purchaser to, irrevocably accept for payment at the Offer Acceptance Time and pay for, all of the Shares validly tendered (and not validly withdrawn) pursuant to the Offer as promptly as practicable after the Offer Acceptance Time. Without limiting the generality of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 Parent shall cause to be provided to Purchaser all of the funds necessary to purchase any Shares that Purchaser becomes obligated to purchase pursuant to the Offer, and shall cause Purchaser to perform, on a timely basis, all of Purchaser’s obligations under this Agreement. Parent and Purchaser shall, and each of Parent and Purchaser shall ensure that all of their respective controlled Affiliates shall, tender any Shares held by them into the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If, between the Agreement Date and the Offer Acceptance Time, the outstanding Shares are changed into a different number or class of shares by reason of any stock split, division or subdivision of shares, stock dividend, reverse stock split, consolidation of shares, reclassification, recapitalization or other similar transaction, then the Offer Price shall be appropriately adjusted (it being understood that, for the avoidance of doubt, nothing in this </w:t>
      </w:r>
      <w:r>
        <w:rPr>
          <w:rFonts w:ascii="Times New Roman;Times;Serif" w:hAnsi="Times New Roman;Times;Serif"/>
          <w:b w:val="false"/>
          <w:i w:val="false"/>
          <w:caps w:val="false"/>
          <w:smallCaps w:val="false"/>
          <w:sz w:val="20"/>
          <w:u w:val="single"/>
        </w:rPr>
        <w:t>Section 2.1(g)</w:t>
      </w:r>
      <w:r>
        <w:rPr>
          <w:rFonts w:ascii="Times New Roman;Times;Serif" w:hAnsi="Times New Roman;Times;Serif"/>
          <w:b w:val="false"/>
          <w:i w:val="false"/>
          <w:caps w:val="false"/>
          <w:smallCaps w:val="false"/>
          <w:sz w:val="20"/>
        </w:rPr>
        <w:t xml:space="preserve"> shall be construed to permit the Company to take any action that is prohibited by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As promptly as practicable after Purchaser commences (within the meaning of Rule 14d-2 under the Exchange Act) the Offer and Parent causes the Schedule TO to be filed with the SEC, the Company shall file with the SEC and disseminate to the holders of Shares, in each case as and to the extent required by applicable federal securities Laws, a Tender Offer Solicitation/Recommendation Statement on Schedule 14D-9 (together with any exhibits, amendments or supplements thereto, the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the last sentence of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shall reflect the Company Board Recommendation and include the notice and other information required by Section 262(d)(2) of the DGCL. The Company agrees that it shall cause the Schedule 14D-9 to comply in all material respects with the Exchange Act and other applicable Laws, and to not contain any untrue statement of a material fact or omission of a material fact necessary in order to make the statements made therein, in light of the circumstances under which they are made, not misleading. Parent and Purchaser shall promptly furnish or otherwise make available to the Company or its legal counsel all information concerning Parent and Purchaser and their stockholders that may be required in connection with any action contemplated by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so as to enable the Company to comply with its obligations hereunder. Each of Parent, Purchaser and the Company agrees to promptly correct any information provided by it for use in the Schedule 14D-9 if and to the extent that such information shall have become false or misleading in any material respect, and the Company further agrees to take all steps necessary to cause the Schedule 14D-9 as so corrected to be filed with the SEC and to be disseminated to the holders of Shares, in each case as and to the extent required by applicable federal securities Laws. Parent and its counsel shall be given reasonable opportunity to review and comment on the Schedule 14D-9 prior to the filing thereof with the SEC, and the Company shall consider any such comments in good faith. The Company agrees to provide Parent and its counsel with prompt notice of any comments (whether written or oral) that the Company or its counsel may receive from the SEC or its staff with respect to the Schedule 14D-9 (which notice shall include a copy of any written comments) and the Company shall provide Parent and its counsel a reasonable opportunity to participate in the formulation of any response to any such comments of the SEC or its staff, including the opportunity to participate in any discussions with the SEC or its staff concerning such comments. The Company shall respond promptly to any comments of the SEC or its staff with respect to the Schedule 14D-9. In the event that the Company Board effects a Company Adverse Change Recommendation in accordance with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the Company shall not be required to reflect the Company Board Recommendation in the Schedule 14D-9 or any related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Stockholder Lists</w:t>
      </w:r>
      <w:r>
        <w:rPr>
          <w:rFonts w:ascii="Times New Roman;Times;Serif" w:hAnsi="Times New Roman;Times;Serif"/>
          <w:b w:val="false"/>
          <w:i w:val="false"/>
          <w:caps w:val="false"/>
          <w:smallCaps w:val="false"/>
          <w:sz w:val="20"/>
        </w:rPr>
        <w:t>. The Company shall promptly furnish Parent with, or shall cause to be promptly furnished to Parent, a list of its stockholders, mailing labels and any available listing or computer file containing the names and addresses of all record holders of Shares and lists of securities positions of Shares held in stock depositories, in each case accurate and complete as of the most recent practicable date, and shall provide to Parent such additional information (including updated lists of stockholders, mailing labels and lists of securities positions) and such other assistance as Parent may reasonably request in connection with the Offer and the Merger. Parent and Purchaser and their Representatives shall hold in confidence the information contained in any such labels, lists and files, shall use such information only in connection with the Offer and the Merger and, if this Agreement shall be terminated, shall promptly deliver, and shall use their reasonable best efforts to cause their Representatives to deliver, to the Company (or destroy) all copies and any extracts or summaries from such information then in their possession or control, and, if requested by the Company, promptly certify to the Company in writing that all such material has been returned or destroyed.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val="false"/>
          <w:i w:val="false"/>
          <w:caps w:val="false"/>
          <w:smallCaps w:val="false"/>
          <w:sz w:val="20"/>
        </w:rPr>
        <w:br/>
        <w:br/>
        <w:t>MERGER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Merger of Purchaser into the Company</w:t>
      </w:r>
      <w:r>
        <w:rPr>
          <w:rFonts w:ascii="Times New Roman;Times;serif" w:hAnsi="Times New Roman;Times;serif"/>
          <w:b w:val="false"/>
          <w:i w:val="false"/>
          <w:caps w:val="false"/>
          <w:smallCaps w:val="false"/>
          <w:sz w:val="20"/>
        </w:rPr>
        <w:t>. Upon the terms and subject to the conditions set forth in this Agreement and in accordance with Section 251(h) of the DGCL, at the Effective Time, the Company and Parent shall consummate the Merger, whereby Purchaser shall be merged with and into the Company, the separate existence of Purchaser shall cease and the Company will continue as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 Without limiting the generality of the foregoing, and subject thereto, at the Effective Time, all of the property, rights, privileges, powers and franchises of the Company and Purchaser shall vest in the Surviving Corporation, and all debts, liabilities and duties of the Company and Purchaser shall become the debts, liabilities and duties of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Closing;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this Agreement shall have been terminated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and unless otherwise mutually agreed in writing between the Company, Parent and Purchaser,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by electronic exchange of documents, as soon as practicable following (but in any event on the same date as) the Offer Acceptance Time except if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be satisfied or waived by such date, in which case on no later than the first (1st) Business Day on which each condition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is satisfied or waived. The date on which the Closing occurs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provisions of this Agreement, as soon as practicable on the Closing Date, the Company and Purchaser shall file or cause to be filed a certificate of merger with the Secretary of State of the State of Delaware with respect to the Merger, in such form as required by, and executed and acknowledged in accordance with, the applicable provisions of the DGCL. The Merger shall become effective upon the date and time of the filing of such certificate of merger with the Secretary of State of the State of Delaware or such later date and time as is agreed upon in writing by the Parties and specified in the certificate of merger (such date and time,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Certificate of Incorporation and Bylaws; Directors and Officers</w:t>
      </w:r>
      <w:r>
        <w:rPr>
          <w:rFonts w:ascii="Times New Roman;Times;Serif" w:hAnsi="Times New Roman;Times;Serif"/>
          <w:b w:val="false"/>
          <w:i w:val="false"/>
          <w:caps w:val="false"/>
          <w:smallCaps w:val="false"/>
          <w:sz w:val="20"/>
        </w:rPr>
        <w:t>. At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certificate of incorporation of the Surviving Corporation shall be amended and restated as of the Effective Time to conform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bylaws of the Surviving Corporation shall be amended and restated as of the Effective Time to conform to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directors of the Surviving Corporation shall be the respective individuals who served as the directors of Purchaser as of immediately prior to the Effective Time, until their respective successors are duly elected and qualified, or their earlier death, resignation or removal;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officers of the Surviving Corporation shall be the respective individuals who served as the officers of Purchaser as of immediately prior to the Effective Time, until their respective successors are duly elected and qualified, or their earlier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Conversion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Parent, Purchaser, the Company or any stockholder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held immediately prior to the Effective Time by any Acquired Company (including Shares held in the Company’s treasury) shall automatically be canceled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Shares held immediately prior to the Effective Time by Parent, Purchaser or any other direct or indirect wholly owned Subsidiary of Parent shall automatically be canceled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for (A) the Excluded Shares and (B) Dissenting Shares, each Share issued and outstanding immediately prior to the Effective Time shall be converted into the right to receive the Offer Price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subject to any withholding of Taxes required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share of the common stock, $0.001 par value per share, of Purchaser outstanding immediately prior to the Effective Time shall be converted into one (1) share of common stock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between the Agreement Date and the Effective Time, the outstanding Shares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(it being understood that, for the avoidance of doubt, nothing in this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xml:space="preserve"> shall be construed to permit the Company to take any action that is prohibited by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Surrender of Certificates; Stock Transfer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Offer Acceptance Time, Parent shall designate a bank or trust company reasonably acceptable to the Company to act as an agent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for the holders of Shares to receive the funds to which such holders shall become entitled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at the Offer Acceptance Time and the funds to which such holders shall become entitled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xml:space="preserve"> at the Effective Time. The Paying Agent Agreement pursuant to which Parent shall appoint the Paying Agent shall be in form and substance reasonably acceptable to the Company. Immediately prior to the Offer Acceptance Time, Parent shall deposit, or shall cause to be deposited, with the Paying Agent cash sufficient to make payment of the aggregate cash consideration payable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(such deposit with the Paying Agent, collectively, the “</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The Payment Fund shall not be used for any purpose other than to pay the aggregate Offer Price in the Offer and the aggregate Merger Consideration in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Payment Fund may be invested by the Paying Agent as directed by the Surviving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such investments shall be (i) in obligations of or guaranteed by the United States of America in commercial paper obligations rated A-1 or P-1 or better by Moody’s Investors Service, Inc. or Standard &amp; Poor’s Corporation, respectively, (ii) in certificates of deposit, bank repurchase agreements or bankers’ acceptances of commercial banks with capital exceeding $1 billion, or (iii) in money market funds having a rating in the highest investment category granted by a recognized credit rating agency at the time of acquisition or a combination of the foregoing and, in any such case, (A) no such investment will relieve Parent, Purchaser, or the Paying Agent from making the payments required by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(B) no such investment will have maturities that could prevent or materially delay payments to be made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Effective Time (but in no event later than three (3) Business Days thereafter), the Surviving Corporation shall cause to be mailed to each Person who was, at the Effective Time, a holder of record of Shares entitled to receive the Merger Consideration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(i) in the case of holders of record of Certificated Shares, a form of letter of transmittal in reasonable and customary form (which shall specify that delivery shall be effected, and risk of loss and title to the certificates evidencing such Shares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shall pass, only upon proper delivery of the Certificates (or effective affidavits of loss in lieu thereof) to the Paying Agent) and instructions for use in effecting the surrender of the Certificates pursuant to such letter of transmittal and (ii) in the case of holders of record of Book-Entry Shares, reasonable and customary provisions regarding delivery of an “agent’s message” with respect to such Book-Entry Shares. Upon surrender to the Paying Agent of Certificates (or effective affidavits of loss in lieu thereof) or Book-Entry Shares, together with, in the case of Certificated Shares, such letter of transmittal, duly completed and validly executed in accordance with the instructions thereto, and such other documents as may be reasonably required pursuant to such instructions, the holder of such Certificates or Book-Entry Shares shall be entitled to receive in exchange therefor the Merger Consideration for each Share formerly evidenced by such Certificates or Book-Entry Shares, and such Certificates and Book-Entry Shares shall then be canceled and of no further effect. No interest shall accrue or be paid on the Merger Consideration payable upon the surrender of any Certificates or Book-Entry Shares for the benefit of the holder thereof. Payment of the applicable Merger Consideration with respect to Book-Entry Shares shall only be made to the Person in whose name such Book-Entry Shares are registered.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following twelve (12) months after the Effective Time, the Surviving Corporation shall be entitled to require the Paying Agent to deliver to it any funds that had been made available to the Paying Agent and not disbursed to the holders of Certificates or of Book-Entry Shares (including all interest and other income received by the Paying Agent in respect of all Payment Funds), and, thereafter, such holders shall be entitled to look to the Surviving Corporation (subject to abandoned property, escheat and other similar Laws) only as general creditors thereof with respect to the Merger Consideration that may be payable upon due surrender of the Certificates or Book-Entry Shares held by them. Notwithstanding the foregoing, neither the Surviving Corporation nor the Paying Agent shall be liable to any holder of Certificates or of Book-Entry Shares for the Merger Consideration delivered in respect of such Shares to a public official pursuant to any abandoned property, escheat or other similar Laws. Any amounts remaining unclaimed by such holders at such time at which such amounts would otherwise escheat to or become property of any Governmental Body shall become, to the extent permitted by applicable Laws, the property of the Surviving Corporation or its designee, free and clear of all Encumbrances of any Person previously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close of business on the day of the Effective Time, the stock transfer books of the Company with respect to the Shares shall be 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Paying Agent, Parent, Purchaser, the Surviving Corporation and any Acquired Company shall be entitled to deduct and withhold from any amounts payable pursuant to this Agreement such amounts as it is required to deduct and withhold therefrom under applicable Tax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for payments to current or former employees of any Acquired Company with respect to Company Options, Company RSUs, Company PSUs or Company LTIP Awards, before making any such deduction or withholding, Purchaser, the Paying Agent, the Surviving Corporation or such Acquired Company, as applicable, shall use reasonable best efforts to provide to the applicable payee notice of such deduction or withholding and reasonably cooperate with such payee to obtain reduction of or relief from such deduction or withholding. Parent and the Company shall use reasonable best efforts to cooperate to reduce or eliminate any applicable deduction and withholding, including by soliciting necessary Tax forms to establish an exemption from, or reduction of, such withholding. To the extent that such amounts are so deducted and withheld, each such payor shall take all action as may be necessary to ensure that any such amounts so withheld are timely and properly remitted to the appropriate Governmental Body, and such amounts so remitted shall be treated for all purposes under this Agreement as having been paid to the Person to whom such amounts would otherwise have been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Parent may direct, as indemnity against any claim that may be made against Parent, Purchaser, the Surviving Corporation or any of their respective Affiliates with respect to such Certificate (which shall not exceed the Merger Consideration payable with respect to such Certificate), the Paying Agent will pay (less any amounts entitled to be deducted or withheld pursuant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in exchange for such lost, stolen or destroyed Certificate, the applicable Merger Consideration to be paid in respect of the Shares formerly represented by such Certificate, as contemplated by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in this Agreement, no holder of uncertificated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will be required to provide a Certificate or an executed letter of transmittal to the Paying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Prior to the Effective Time, each of Parent, Purchaser and the Company will cooperate to establish procedures with the Paying Agent and DTC with the objective that the Paying Agent will transmit to DTC or its nominees on the first (1st) Business Day after the Closing Date an amount in cash, by wire transfer of immediately available funds, equal to (i) the number of Shares (other than Excluded Shares and Dissenting Shares) held of record by DTC or such nominee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Notwithstanding anything to the contrary in this Agreement, Shares outstanding immediately prior to the Effective Time, and held by holders who are entitled to demand appraisal rights under Section 262 of the DGCL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the right to receive Merger Consideration, but shall, by virtue of the Merger, be automatically canceled and cease to exist and the holder thereof shall be entitled to only such consideration as shall be determined pursuant to Section 262 of the DGCL in respect of such Shares;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holder shall have failed to perfect or shall have effectively withdrawn or lost such holder’s right to appraisal and payment under the DGCL, such holder’s Shares shall be deemed to have been converted as of the Effective Time into the right to receive the Merger Consideration (less any amounts entitled to be deducted or withheld pursuant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and such Shares shall not be deemed to be Dissenting Shares. Within ten (10) days after the Effective Time, the Surviving Corporation shall provide each of the holders of Dissenting Shares with the second (2nd) notice contemplated by Section 262(d)(2) of the DGCL. The Company shall give prompt notice to Parent of any demands received by the Company for appraisal of any Shares, withdrawals of such demands and any other instruments served to it pursuant to Section 262 of the DGCL, in each case prior to the Effective Time. Unless this Agreement is terminated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Parent and Purchaser shall have the right to direct and participate in all negotiations and proceedings with respect to such demands, and the Company shall not, without the prior written consent of Parent and Purchaser, settle or offer to settle, or make any payment with respect to, any such demands, or agree or commit to do any of the foregoing.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Treatment of Company Stock Awards, Company ESPP; Company LTIP Awards; and Company Restricted Cash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 xml:space="preserve">. Each Company Option that is outstanding as of immediately prior to the Effective Time, whether vested or unvested, shall be canceled at the Effective Time and converted into the right to receive an amount in cash equal </w:t>
      </w:r>
      <w:r>
        <w:rPr>
          <w:rFonts w:ascii="Times New Roman;Times;Serif" w:hAnsi="Times New Roman;Times;Serif"/>
          <w:b w:val="false"/>
          <w:i/>
          <w:caps w:val="false"/>
          <w:smallCaps w:val="false"/>
          <w:sz w:val="20"/>
        </w:rPr>
        <w:t>to the product of</w:t>
      </w:r>
      <w:r>
        <w:rPr>
          <w:rFonts w:ascii="Times New Roman;Times;Serif" w:hAnsi="Times New Roman;Times;Serif"/>
          <w:b w:val="false"/>
          <w:i w:val="false"/>
          <w:caps w:val="false"/>
          <w:smallCaps w:val="false"/>
          <w:sz w:val="20"/>
        </w:rPr>
        <w:t xml:space="preserve"> (i) the total number of Shares subject to such Company Option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excess, if any, of (A) the Offer Price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exercise price payable per Share under such Company Option (the “</w:t>
      </w:r>
      <w:r>
        <w:rPr>
          <w:rFonts w:ascii="Times New Roman;Times;Serif" w:hAnsi="Times New Roman;Times;Serif"/>
          <w:b w:val="false"/>
          <w:i w:val="false"/>
          <w:caps w:val="false"/>
          <w:smallCaps w:val="false"/>
          <w:sz w:val="20"/>
          <w:u w:val="single"/>
        </w:rPr>
        <w:t>Option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Company Option that has an exercise price per Share that is greater than or equal to the Offer Price shall be canceled at the Effective Time without any consideration payable (whether in the form of cash or otherwise) therefor, whether before or after the Effective Time. The Option Consideration payable with respect to Company Options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xml:space="preserve">. Each Company PSU that is outstanding as of immediately prior to the Effective Time, whether vested or unvested, shall be canceled at the Effective Time and converted into the right to receive an amount in cash equal to </w:t>
      </w:r>
      <w:r>
        <w:rPr>
          <w:rFonts w:ascii="Times New Roman;Times;Serif" w:hAnsi="Times New Roman;Times;Serif"/>
          <w:b w:val="false"/>
          <w:i/>
          <w:caps w:val="false"/>
          <w:smallCaps w:val="false"/>
          <w:sz w:val="20"/>
        </w:rPr>
        <w:t>the product of</w:t>
      </w:r>
      <w:r>
        <w:rPr>
          <w:rFonts w:ascii="Times New Roman;Times;Serif" w:hAnsi="Times New Roman;Times;Serif"/>
          <w:b w:val="false"/>
          <w:i w:val="false"/>
          <w:caps w:val="false"/>
          <w:smallCaps w:val="false"/>
          <w:sz w:val="20"/>
        </w:rPr>
        <w:t xml:space="preserve"> (i) the total number of Shares issuable in settlement of such Company PSU, as determined in accordance with Section 3.4 of the applicable Company PSU Award Agreement,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 (the “</w:t>
      </w:r>
      <w:r>
        <w:rPr>
          <w:rFonts w:ascii="Times New Roman;Times;Serif" w:hAnsi="Times New Roman;Times;Serif"/>
          <w:b w:val="false"/>
          <w:i w:val="false"/>
          <w:caps w:val="false"/>
          <w:smallCaps w:val="false"/>
          <w:sz w:val="20"/>
          <w:u w:val="single"/>
        </w:rPr>
        <w:t>PSU Consideration</w:t>
      </w:r>
      <w:r>
        <w:rPr>
          <w:rFonts w:ascii="Times New Roman;Times;Serif" w:hAnsi="Times New Roman;Times;Serif"/>
          <w:b w:val="false"/>
          <w:i w:val="false"/>
          <w:caps w:val="false"/>
          <w:smallCaps w:val="false"/>
          <w:sz w:val="20"/>
        </w:rPr>
        <w:t xml:space="preserv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xml:space="preserve">. Each Company RSU that is outstanding as of immediately prior to the Effective Time, whether vested or unvested, shall be canceled at the Effective Time and converted into the right to receive an amount in cash equal </w:t>
      </w:r>
      <w:r>
        <w:rPr>
          <w:rFonts w:ascii="Times New Roman;Times;Serif" w:hAnsi="Times New Roman;Times;Serif"/>
          <w:b w:val="false"/>
          <w:i/>
          <w:caps w:val="false"/>
          <w:smallCaps w:val="false"/>
          <w:sz w:val="20"/>
        </w:rPr>
        <w:t>to the product of</w:t>
      </w:r>
      <w:r>
        <w:rPr>
          <w:rFonts w:ascii="Times New Roman;Times;Serif" w:hAnsi="Times New Roman;Times;Serif"/>
          <w:b w:val="false"/>
          <w:i w:val="false"/>
          <w:caps w:val="false"/>
          <w:smallCaps w:val="false"/>
          <w:sz w:val="20"/>
        </w:rPr>
        <w:t xml:space="preserve"> (i) the total number of Shares issuable in settlement of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 (the “</w:t>
      </w:r>
      <w:r>
        <w:rPr>
          <w:rFonts w:ascii="Times New Roman;Times;Serif" w:hAnsi="Times New Roman;Times;Serif"/>
          <w:b w:val="false"/>
          <w:i w:val="false"/>
          <w:caps w:val="false"/>
          <w:smallCaps w:val="false"/>
          <w:sz w:val="20"/>
          <w:u w:val="single"/>
        </w:rPr>
        <w:t>RSU Consideration</w:t>
      </w:r>
      <w:r>
        <w:rPr>
          <w:rFonts w:ascii="Times New Roman;Times;Serif" w:hAnsi="Times New Roman;Times;Serif"/>
          <w:b w:val="false"/>
          <w:i w:val="false"/>
          <w:caps w:val="false"/>
          <w:smallCaps w:val="false"/>
          <w:sz w:val="20"/>
        </w:rPr>
        <w:t xml:space="preserv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LTIP Awards</w:t>
      </w:r>
      <w:r>
        <w:rPr>
          <w:rFonts w:ascii="Times New Roman;Times;Serif" w:hAnsi="Times New Roman;Times;Serif"/>
          <w:b w:val="false"/>
          <w:i w:val="false"/>
          <w:caps w:val="false"/>
          <w:smallCaps w:val="false"/>
          <w:sz w:val="20"/>
        </w:rPr>
        <w:t xml:space="preserve">. Each Company LTIP Award that is outstanding as of immediately prior to the Effective Time, whether vested or unvested, shall be canceled at the Effective Time and converted into the right to receive cash in an amount as determined by the Company Board (or the appropriate committee thereof) prior to the Effective Time in accordance with Section 10(a) of the Company LTIP,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 The Parties hereby acknowledge and agree that the Offer and the Merger, if consummated pursuant to the terms of this Agreement, will, together, constitute a “Change of Control” for the purposes of the Company LTIP.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Restricted Cash Awards</w:t>
      </w:r>
      <w:r>
        <w:rPr>
          <w:rFonts w:ascii="Times New Roman;Times;Serif" w:hAnsi="Times New Roman;Times;Serif"/>
          <w:b w:val="false"/>
          <w:i w:val="false"/>
          <w:caps w:val="false"/>
          <w:smallCaps w:val="false"/>
          <w:sz w:val="20"/>
        </w:rPr>
        <w:t xml:space="preserve">. Each Company Restricted Cash Award that is outstanding as of immediately prior to the Effective Time, whether vested or unvested, shall be canceled at the Effective Time and converted into the right to receive an amount of cash equal to the sum of (i) any portion of the Company Restricted Cash Award that is vested, but remains unpaid, as of the Effective Time and (ii) the amount of Unvested Cash (as defined under the Company Restricted Cash Award Agreement) with respect to the Company Restricted Cash Award (as determined by the applicable Acquired Company immediately prior to the Effective Time),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soon as reasonably practicable after the Effective Time (but no later than the second (2nd) payroll date after the Effective Time), Parent shall, or shall cause the Surviving Corporation to, pay or cause to be paid through the appropriate payroll of the applicable Acquired Company the Option Consideration payable with respect to Company Options, the RSU Consideration payable with respect to Company RSUs, the PSU Consideration payable with respect to Company PSUs, the cash amounts payable with respect to Company LTIP Awards, and the cash amounts payable with respect to Company Restricted Cash Awards, in each case, held by current or former employees of the Company or any other Acquired Company (net of any withholding Taxes required to be deducted and withheld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and any other applicable withholdings or reductions for amounts due to any Acquired Company or any Governmental Body);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the holder of a Company Stock Award did not receive such Company Stock Award in the holder’s capacity as an employee of the Company or any other Acquired Company, the Option Consideration, RSU Consideration, or PSU Consideration, as applicable, payable pursuant to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with respect to such Company Stock Award shall be paid in a manner consistent with the Company’s past practice for payments to such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Prior to the Closing, the Company shall take all reasonable actions required to (i) terminate the Company ESPP, as of immediately prior to the Closing Date, (ii) if the Closing shall occur prior to the end of any offering period in existence under the Company ESPP as of the Closing Date, cause a new exercise date to be set under the Company ESPP, which date shall not be fewer than two (2) Business Days prior to the Closing Date, for the automatic exercise of such options on such date, and (iii) provide that the amount of the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3.8(g)</w:t>
      </w:r>
      <w:r>
        <w:rPr>
          <w:rFonts w:ascii="Times New Roman;Times;Serif" w:hAnsi="Times New Roman;Times;Serif"/>
          <w:b w:val="false"/>
          <w:i w:val="false"/>
          <w:caps w:val="false"/>
          <w:smallCaps w:val="false"/>
          <w:sz w:val="20"/>
        </w:rPr>
        <w:t>), be refunded to such participant as promptly as practicable following the Effective Time (but no later than the later of (A) five (5) Business Days after the Effective Time or (B) the first payroll date after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Board (or, if appropriate, any duly authorized committee thereof administering the Company ESPP) shall take all actions as it deems necessary or appropriate to ensure that (i) no Offering or Purchase Period (each, as defined in the Company ESPP) under the Company ESPP shall be commenced on or after the Agreement Date, (ii) beginning on the Agreement Date, no new participants may join the Company ESPP during the Purchase Period in existence under the Company ESPP as of the Agreement Date (such purchase period, the “</w:t>
      </w:r>
      <w:r>
        <w:rPr>
          <w:rFonts w:ascii="Times New Roman;Times;Serif" w:hAnsi="Times New Roman;Times;Serif"/>
          <w:b w:val="false"/>
          <w:i w:val="false"/>
          <w:caps w:val="false"/>
          <w:smallCaps w:val="false"/>
          <w:sz w:val="20"/>
          <w:u w:val="single"/>
        </w:rPr>
        <w:t>Existing Purchase Period</w:t>
      </w:r>
      <w:r>
        <w:rPr>
          <w:rFonts w:ascii="Times New Roman;Times;Serif" w:hAnsi="Times New Roman;Times;Serif"/>
          <w:b w:val="false"/>
          <w:i w:val="false"/>
          <w:caps w:val="false"/>
          <w:smallCaps w:val="false"/>
          <w:sz w:val="20"/>
        </w:rPr>
        <w:t xml:space="preserve">”) and (iii) beginning on the Agreement Date, no participant may increase the amount of his or her payroll deductions with respect to the Existing Purchase Period. As soon as reasonably practicable after the Effective Time (but no later than the later of (i) five (5) Business Days after the Effective Time or (ii) the first (1st) payroll date after the Effective Time), Parent shall, or shall cause the Surviving Corporation to, pay through the Surviving Corporation’s payroll each Company employee’s Company ESPP account balance measured as of the time of plan termination to be distributed in cash to each such employee (net of any withholding Taxes required to be deducted and withheld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hereby acknowledge and agree that the Offer and the Merger, if consummated pursuant to the terms of this Agreement, will, together, constitute a “Reorganization Event” for the purposes of the Company Equity Plan and the Company Inducement Plan containing a “Reorganization Event” or other similar provision.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xml:space="preserve">. The Parties agree to take all necessary action to cause the Merger to become effective in accordance with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as soon as practicable following the consummation of the Offer without a meeting of the Company’s stockholders, as provided in Section 251(h) of the DGCL. If, at any time after the Effective Time, any further action is reasonably determined by Parent to be necessary or desirable to carry out the purposes of this Agreement or to vest the Surviving Corporation with full right, title and possession of and to all rights and property of Purchaser and the Company, the officers and directors of the Surviving Corporation and Parent shall be fully authorized (in the name of Purchaser, in the name of the Company and otherwise) to take such 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4</w:t>
      </w:r>
      <w:r>
        <w:rPr>
          <w:rFonts w:ascii="Times New Roman;Times;Serif" w:hAnsi="Times New Roman;Times;Serif"/>
          <w:b w:val="false"/>
          <w:i w:val="false"/>
          <w:caps w:val="false"/>
          <w:smallCaps w:val="false"/>
          <w:sz w:val="20"/>
        </w:rPr>
        <w:br/>
        <w:b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except (a) as disclosed in the reports, statements and other documents filed by the Company with the SEC or furnished by the Company to the SEC, in each case pursuant to the Exchange Act on or after January 1, 2025 and publicly available at least one (1) Business Day prior to the Agreement Date (other than any disclosures contained or referenced therein under the captions “risk factors,” “forward-looking statements” and any other disclosures contained or referenced therein of information, factors or risks to the extent that they are predictive, cautionary or forward-looking in nature), it being understood that any matter disclosed in any such filing shall not be deemed to be disclosed for the purposes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or (b) as set forth in the Company Disclosure Schedule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the Company hereby represents and warrants to Parent and Purchaser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Due Organization; Subsidiaries,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all necessary corporate power and authority (i) to conduct its business in the manner in which its business is currently being conducted and (ii) to own and use its assets in the manner in which its assets are currently owned and used, except where any failure of such power and authority has not had, and would not reasonably be expected to have, individually or in the aggregate, a Material Adverse Effect. The Company is qualified or licensed to do business as a foreign Entity,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of the Company Disclosure Schedule identifies each Subsidiary of the Company and indicates the jurisdiction of organization and the percentage ownership of each such Subsidiary’s equity interests as well as the holder(s)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Subsidiary of the Company (i) is duly organized, validly existing and in good standing under the laws of the jurisdiction of its organization, (ii) has all necessary corporate power and authority (A) to conduct its business in the manner in which its business is currently being conducted and (B) to own and use its assets in the manner in which its assets are currently owned and used, except where any failure of such power and authority has not had, and would not reasonably be expected to have, individually or in the aggregate, a Material Adverse Effect, and (iii) is qualified or licensed to do business as a foreign Entity,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 Other than with respect to the Acquired Companies, the Company and its Subsidiaries do not own any capital stock of, or any other equity interest of, or any equity interest of any nature in, any other Entity, other than the Entities identified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The Company has delivered or made available to Parent or Parent’s Representatives accurate and complete copies of the certificate of incorporation and bylaws and other charter and organizational documents of each of the Acquired Companies, including all amendments thereto, as in effect on the Agreement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corporate power and authority, and has taken all corporate action necessary, to enter into and deliver and to perform its obligations under this Agreement and to consummate the Transactions. The Company Board (at a meeting duly called and held) has unanimously (a) determined that this Agreement and the Transactions, including the Offer and the Merger, are fair to, and in the best interest of, the Company and its stockholders, and declared it advisable for the Company to enter into this Agreement and consummate the Transactions, (b) approved the execution, delivery and performance by the Company of this Agreement and the consummation of the Transactions, including the Offer and the Merger, (c) resolved that the Merger shall be effected under Section 251(h) of the DGCL and (d) resolved to recommend that the stockholders of the Company tender their Shares to Purchaser pursuant to the Offer, which resolutions have not been subsequently withdrawn or modified in a manner adverse to Parent. This Agreement has been duly executed and delivered by the Company, and assuming due authorization, execution and delivery by Parent and Purchaser, this Agreement constitutes the legal, valid and binding obligations of the Company and is enforceable against the Company in accordance with its terms, subject to (i) Laws of general application relating to bankruptcy, insolvency and the relief of debtors and (ii) rules of law governing specific performance, injunctive relief and other equitable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Capitalization,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250,000,000 Shares, of which 39,912,226 shares have been issued and are outstanding as of the close of business on the Reference Date (for the avoidance of doubt, excluding 9,018,591 Shares held in treasury by the Company as of such date); and (ii) 5,000,000 shares of the Company’s preferred stock, $0.001 par value per share, of which no shares have been issued or are outstanding. All of the outstanding Shares have been duly authorized and validly issued and are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None of the outstanding Shares are entitled or subject to any preemptive right, right of repurchase or forfeiture, right of participation, right of maintenance or any similar right; (ii) none of the outstanding Shares is subject to any right of first refusal in favor of the Company; (iii) there are no outstanding bonds, debentures, notes or other Indebtedness of any Acquired Company having a right to vote on any matters on which the stockholders of the Company have a right to vote; and (iv) there is no Company Contract relating to the voting or registration of, or restricting any Person from purchasing, selling, pledging or otherwise disposing of (or from granting any option or similar right with respect to), any Shares. Other than with respect to the Company Convertible Notes, the Company is not under any obligation, nor is it bound by any Contract pursuant to which it may become obligated, to repurchase, redeem or otherwise acquire any outstanding Shares or other securities. The Company Common Stock constitutes the only outstanding class of securities of the Acquired Companies registered under the Securities Act. There are no Contracts (including any voting trusts) with respect to voting of 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close of business on the Reference Date: (i) 5,953,578 Shares are subject to issuance pursuant to outstanding Company Options; (ii) 4,537,271 Shares are subject to or otherwise deliverable in connection with outstanding Company RSUs; (iii) 202,112 and 505,278 Shares are subject to or otherwise deliverable in connection with outstanding Company PSUs, assuming target and maximum level of performance under such Company PSUs, respectively; (iv) 2,260,062 Shares are reserved for future issuance under the Company Equity Plan; (v) 690,298 Shares are reserved for future issuance under the Company Inducement Plan; (vi) 869,062 Shares are reserved for future issuance under the Company ESPP; and (vii) 9,628,260 Shares are reserved for future issuance upon conversion of the Company Convertible Notes. The Company has delivered or made available to Parent or Parent’s Representatives copies of the Company Equity Plan and the Company Inducement Plan covering the Company Stock Awards outstanding as of the Agreement Date and the forms of all agreements evidencing such Company Stock Awards. Other than as set forth in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there is no issued, reserved for issuance, outstanding or authorized stock option, restricted stock unit award, stock appreciation, phantom stock, profit participation or similar rights or equity-based awards with respect to the Acquired Companies.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(A) the name or identification number of each holder of Company Options, Company PSUs and Company RSUs, (B) the number of Shares subject to each such outstanding Company Option, Company RSU and Company PSU (at target and maximum level of performance, respectively, in the case of the Company PSU), (C) the grant date of each such Company Option, Company RSU and Company PSU, (D) the per share exercise price and expiration date of each such Company Option and (E) the vesting schedule of each such Company Option, Company RSU and Company PSU (including any accelerated vesting contemplated by its existing terms or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Each Company Stock Award that is outstanding as of the date of this Agreement has been made in accordance with applicable Law and the Company Equity Plan or the Company Inducement Plan,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the Reference Date, there was $287,500,000 aggregate principal amount of the Company Convertible Notes. As of the close of business on the Reference Date, assuming that the Closing had taken place on such date (and for hypothetical purposes assuming that the trading price of the Shares during the five (5) trading days prior to the Closing is equal to $36.50 per Share on each such trading day), the Conversion Rate (as defined in the Indenture) for the Company Convertible Notes would have been equal to 30.4148 shares of Company Common Stock per $1,000 of outstanding principal amount. Other than the Transactions, there has been no event, condition or development that has resulted in an adjustment to the Conversion Rate under the Company Convertible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There are </w:t>
      </w:r>
      <w:r>
        <w:rPr>
          <w:rFonts w:ascii="Times New Roman;Times;Serif" w:hAnsi="Times New Roman;Times;Serif"/>
          <w:b w:val="false"/>
          <w:i w:val="false"/>
          <w:caps w:val="false"/>
          <w:smallCaps w:val="false"/>
          <w:sz w:val="20"/>
          <w:shd w:fill="FFFFFF" w:val="clear"/>
        </w:rPr>
        <w:t xml:space="preserve">no (i) outstanding subscriptions, options, calls, warrants, rights or obligations (whether or not currently exercisable) to acquire any shares of the capital stock, restricted stock unit, stock-based performance unit or any other rights or obligations that are linked to, or the value of which is in any way based on or derived from the value of any shares of capital stock of, ordinary shares of, other equity interests in or other securities of any Acquired Company; and (ii) </w:t>
      </w:r>
      <w:r>
        <w:rPr>
          <w:rFonts w:ascii="Times New Roman;Times;Serif" w:hAnsi="Times New Roman;Times;Serif"/>
          <w:b w:val="false"/>
          <w:i w:val="false"/>
          <w:caps w:val="false"/>
          <w:smallCaps w:val="false"/>
          <w:sz w:val="20"/>
        </w:rPr>
        <w:t xml:space="preserve">other than with respect to the Company Convertible Notes, </w:t>
      </w:r>
      <w:r>
        <w:rPr>
          <w:rFonts w:ascii="Times New Roman;Times;Serif" w:hAnsi="Times New Roman;Times;Serif"/>
          <w:b w:val="false"/>
          <w:i w:val="false"/>
          <w:caps w:val="false"/>
          <w:smallCaps w:val="false"/>
          <w:sz w:val="20"/>
          <w:shd w:fill="FFFFFF" w:val="clear"/>
        </w:rPr>
        <w:t>outstanding securities, instruments, bonds, debentures, notes or obligations that are or may become convertible into or exchangeable for any shares of capital stock of, ordinary shares of, other equity interests in or other securities of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of the outstanding capital stock or other voting securities of, or ownership interests in, each Subsidiary of the Company has been duly authorized, validly issued, is fully paid and nonassessable, was issued in accordance with applicable Law, is not subject to or issued in violation of any preemptive right, right of repurchase or forfeiture, right of participation, right of maintenance, right of first refusal or any similar right, and is owned by the Company, directly or indirectly, beneficially and of record, free and clear of all Encumbrances and any other restriction (including any restriction on the right to vote, sell or otherwise dispose of such capital stock or other voting securities or ownership interests), except for such Encumbrances and restrictions of general applicability as may be provided under the Securities Act or other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Assuming compliance with the applicable provisions of the DGCL, Antitrust Laws and the rules and regulations of Nasdaq, the execution and delivery of this Agreement by the Company and the consummation by the Company of the Transactions will not: (a) cause a violation of any of the provisions of the certificate of incorporation, bylaws, charters, or organizational documents of any of the Acquired Companies; (b) cause a violation by any Acquired Company of any Law or Order applicable to such Acquired Company or to which such Acquired Company is subject; or (c) conflict with, result in breach of, constitute a default under, give rise to any right of termination, cancellation or acceleration of any right or obligation under, or require any consent or other authorization of or notice to any Person under, any Material Contract, except in the case of each of clauses (b) and (c), for such violations, conflicts, breaches, defaults, rights of termination, cancellation or acceleration or failures to obtain any such consent or other authorization or provide any such notice that have not had, and would not reasonably be expected to have, individually or in the aggregate, a Material Adverse Effect. Except as may be required by the Exchange Act, the DGCL, Antitrust Laws or the rules and regulations of Nasdaq, to the Knowledge of the Company, none of the Acquired Companies is required to give notice to, make any filing with, or obtain any Consent from any Governmental Body at any time prior to the Closing in connection with the execution and delivery of this Agreement, or the consummation by the Company of the Transactions (including the Offer and the Merger), except those filings, notifications, approvals, notices or Consents that the failure to make, obtain or receive has not had, and would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SEC Filings;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2024, the Company has filed or furnished on a timely basis all reports, schedules, forms, statements and other documents (including exhibits and all other information incorporated therein) required to be filed or furnished by the Company with the SEC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As of their respective dates, or, if amended, modified, supplemented or superseded (prior to the Agreement Date) by a later filed Company SEC Document, as of the date of (and giving effect to) the last such amendment, supplement or superseded filing, the Company SEC Documents complied in all material respects with the requirements of the Securities Act, the Exchange Act or the Sarbanes-Oxley Act, as the case may be, and the rules and regulations of the SEC promulgated thereunder applicable to such Company SEC Documents, and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executive officer of the Company has failed to make the certifications required of such executive officer under Section 302 or 906 of the Sarbanes-Oxley Act with respect to any Company SEC Document filed or furnished by the Company with the SEC since January 1, 2024. The Company has made available to Parent all correspondence between the Company and the SEC since January 1, 2024 through the Agreement Date. As of the Agreement Date, there are no outstanding or unresolved comments in comment letters received from the SEC staff with respect to the Company SEC Documents. None of the Company’s Subsidiaries is required to file periodic reports with the SEC pursuant to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any related notes and schedules) contained or incorporated by reference in the Company SEC Documents: (i) complied as to form in all material respects with the published rules and regulations of the SEC applicable thereto; (ii) were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present fairly, in all material respects, the consolidated financial position of the Company and its consolidated Subsidiaries as of the respective dates thereof and the consolidated results of operations and cash flows of the Company and its consolidated Subsidiaries for the periods covered thereby in conformity with GAAP (except subject, in the case of the unaudited financial statements, to the absence of footnote disclosure and to normal and recurring year-end adjustments that are not, individually or in the aggregate,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The Company (i) has designed and maintains disclosure controls and procedures (as defined in Rules 13a-15(e) and 15d-15(e) of the Exchange Act)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determined, based on its most recent evaluation of its internal control over financial reporting and disclosure controls and procedures prior to the date of this Agreement, and disclosed to the Company’s auditors and the audit committee of the Company Board that (A) there are no, and have not since January 1, 2024 been any, significant deficiencies or material weaknesses in the design or operation of its internal control over financial reporting and (B) there has been no fraud, whether or not material, that involves management or other employees who have a significant role in the Company’s internal control over financial reporting. The Company has not received any material, unresolved complaint, allegation, assertion or claim regarding the accounting or auditing practices, procedures or methodologies of the Company or its internal accounting controls.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a party to and does not have any obligation or other commitment to become a party to any securitization transaction, off-balance sheet partnership or any similar Contract (including any Contract relating to any transaction or relationship between or among the Company, on the one hand, and any unconsolidated Affiliate, including any structured finance, special purpose or limited purpose Entity,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in the Company’s published financial statements or other Company SEC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document required to be filed by the Company with the SEC in connection with the Offer (the “</w:t>
      </w:r>
      <w:r>
        <w:rPr>
          <w:rFonts w:ascii="Times New Roman;Times;Serif" w:hAnsi="Times New Roman;Times;Serif"/>
          <w:b w:val="false"/>
          <w:i w:val="false"/>
          <w:caps w:val="false"/>
          <w:smallCaps w:val="false"/>
          <w:sz w:val="20"/>
          <w:u w:val="single"/>
        </w:rPr>
        <w:t>Company Disclosure Documents</w:t>
      </w:r>
      <w:r>
        <w:rPr>
          <w:rFonts w:ascii="Times New Roman;Times;Serif" w:hAnsi="Times New Roman;Times;Serif"/>
          <w:b w:val="false"/>
          <w:i w:val="false"/>
          <w:caps w:val="false"/>
          <w:smallCaps w:val="false"/>
          <w:sz w:val="20"/>
        </w:rPr>
        <w:t>”) (including the Schedule 14D-9), and any amendments or supplements thereto, when filed, distributed or disseminated, as applicable, will comply as to form in all material respects with the applicable requirements of the Exchange Act. The Company Disclosure Documents, at the time of the filing of such Company Disclosure Documents or any supplement or amendment thereto with the SEC and at the time such Company Disclosure Documents or any supplements or amendments thereto are first distributed or disseminated to the Company’s stockholders, will not contain any untrue statement of a material fact or omit to state any material fact necessary in order to make the statements made therein, in light of the circumstances under which they were made, not misleading. The information with respect to the Company that the Company furnishes to Parent or Purchaser in writing specifically for inclusion or incorporation by reference in the Schedule TO and the Offer Documents, at the time of the filing of the Schedule TO and at the time of any distribution or dissemination of the Offer Documents, will not contain any untrue statement of a material fact or omit to state any material fact necessary in order to make the statements made therein, in light of the circumstances under which they were made, not misleading. Notwithstanding the foregoing, the Company makes no representation with respect to statements made or incorporated by reference in the Company Disclosure Documents based on information supplied by or on behalf of Parent or Purchaser specifically for inclusion or incorporation by reference in the Company Disclosure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Absence of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Agreement Date, there has not occurred any Effect that has had, or would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the Acquired Companies have operated in all material respects in the ordinary course of business consistent with past practice (except for matters relating to the Transactions, this Agreement or other potential strategic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December 31, 2025 through the Agreement Date, no Acquired Company has taken or agreed to take any action that would constitute a breach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had such action been taken after the Agreement Date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xml:space="preserve"> of the Company Disclosure Schedule identifies, as applicable: (i) the name of the applicant/registrant, (ii) the jurisdiction of application/registration, (iii) the application or registration number and (iv) renewal date, for each item of Company Registered IP. For each item of Company Registered IP, (x) the Company or a Subsidiary of the Company is the sole and exclusive owner of such item and (y) such item is subsisting. To the Knowledge of the Company, each item of Company Registered IP that is issued or registered is valid and enforceable. As of the Agreement Date, no interference, opposition, reissue, reexamination or other inter partes proceeding of any nature is pending or, to the Knowledge of the Company, threatened in writing, in which the scope, validity, enforceability, inventorship or ownership of any Company Registered IP is being or has been contested or challenged.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Acquired Companies (i) exclusively own and possess all right, title and interest in and to all material Company IP, free and clear of all Encumbrances (other than Permitted Encumbrances) and (ii) own, are licensed or otherwise possess legally enforceable rights to use all material Intellectual Property Rights necessary for, or used or held for use in, the operation of the business of the Acquired Companies as currently conducted, except that the foregoing representation does not pertain to any interference, infringement, misappropriation or violation of any Intellectual Property Rights by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Associate (x) owns or has any claim, right (whether or not currently exercisable) or interest to or in any material Company IP or (y) has made or threatened to make any claim or challenge against the Company or any of its Subsidiaries in connection with his or her contribution to the respective businesses or to the discovery, creation or development of any material Company IP and, to the Knowledge of the Company, no circumstances exist which would reasonably be expected to lead to any such claim or challenge. Each Company Associate who is or was involved in the creation or development of any material Intellectual Property Rights, pursuant to such Company Associate’s activities on behalf of any Acquired Company, has either: (i) signed a valid and enforceable written agreement containing a present assignment to the Company of all Intellectual Property Rights arising from such activities and confidentiality provisions protecting all Company IP; or (ii) otherwise transferred to the Company ownership of such Intellectual Property Rights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funding, facilities or personnel of any Governmental Body or any university, college, research institute or other educational institution has been used to create any material Company IP, except for any such funding or use of facilities or personnel that does not result in such Governmental Body or institution obtaining ownership rights in or licenses to use or otherwise exploit such created material Company IP or the right to receive royalties.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2024, (i) the operation of the business of the Acquired Companies has not infringed, misappropriated or otherwise violated any Intellectual Property Right owned by any other Person, except as would not reasonably be expected to be, individually or in the aggregate, material to the Acquired Companies, taken as a whole, and (ii) no other Person has been infringing, misappropriating or otherwise violating any material Company IP, except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no Legal Proceeding has been pending or asserted (or, to the Knowledge of the Company, threatened in writing) against any Acquired Company or by an Acquired Company relating to (i) any actual, alleged or suspected infringement, misappropriation or other violation of any Intellectual Property Rights of another Person or of the Company IP or (ii) the validity, enforceability or ownership of any Company IP, except for office actions and other ex parte proceedings in the ordinary course of prosecuting or maintaining the Company Registered IP, except in each case,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January 1, 2024, none of the Acquired Companies have received any written notice or other written communication relating to (i) any actual, alleged or suspected infringement, misappropriation or other violation of any Intellectual Property Right of another Person by an Acquired Company or (ii) the validity, enforceability or ownership of any Company IP, in each case other than office actions, notices and similar communications received from any patent office or similar Governmental Body in the ordinary course of prosecuting or maintaining the Company Registered IP, except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IP is subject to any Open Source Software license that is used in a manner that triggers a requirement to disclose, license or distribute material source code that is Company IP to any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Since January 1, 2024, the Acquired Companies have taken commercially reasonable security and other measures, consistent with prevailing practices in the pharmaceutical and biotechnology industries, to protect the material Company IP, such as commercially reasonable measures against unauthorized disclosure and to protect the secrecy, confidentiality, and value of Proprietary Information or other material confidential information included in the Company IP (collectively, the “</w:t>
      </w:r>
      <w:r>
        <w:rPr>
          <w:rFonts w:ascii="Times New Roman;Times;Serif" w:hAnsi="Times New Roman;Times;Serif"/>
          <w:b w:val="false"/>
          <w:i w:val="false"/>
          <w:caps w:val="false"/>
          <w:smallCaps w:val="false"/>
          <w:sz w:val="20"/>
          <w:u w:val="single"/>
        </w:rPr>
        <w:t>Company Proprietary Information</w:t>
      </w:r>
      <w:r>
        <w:rPr>
          <w:rFonts w:ascii="Times New Roman;Times;Serif" w:hAnsi="Times New Roman;Times;Serif"/>
          <w:b w:val="false"/>
          <w:i w:val="false"/>
          <w:caps w:val="false"/>
          <w:smallCaps w:val="false"/>
          <w:sz w:val="20"/>
        </w:rPr>
        <w:t>”) and, to the Knowledge of the Company, there has been no misappropriation or unauthorized disclosure or use of any of the Company Proprietary Information that would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Acquired Companies are not now, nor since January 1, 2024, have been, a member or promoter of, or a contributor to, any industry standards body or any similar organization that would require or obligate an Acquired Company to grant or offer to any other Person any license or right to any material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Company IP is subject to any pending or outstanding Order that adversely and materially restricts the use, transfer, registration or licensing of any such Company IP by an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consummation of the Transactions will not (i) result in the loss or impairment of any right of the Acquired Companies to own, use, practice or otherwise exploit any Company IP in a manner that would reasonably be expected to be, individually or in the aggregate, material to the Acquired Companies, taken as a whole, or (ii) result in the transfer or grant by any Acquired Company to any third Person of any ownership interest in, material restriction with respect to or license of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Privacy and Information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IT Systems (i) that are material to the operation of the business by the Acquired Companies, operate and perform in all material respects in accordance with their documentation and functional specifications and otherwise as required by the Acquired Companies in connection with the operation of their business, (ii) have not malfunctioned or failed in a manner that has had a material impact on the Acquired Companies, taken as a whole and (iii) are free from bugs and other defects that would have a material impact on the Acquired Companies, taken as a whole. The Acquired Companies have implemented commercially reasonable backup and disaster recovery technology processes and business continuity plans, in each case, consistent with customary practices in the pharmaceutical and biotechnology industries.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2024, each Acquired Company has maintained commercially reasonable policies and procedures that protect the confidentiality, integrity, availability and security of Company Data and prevent unauthorized use, disclosure, loss, processing, transmission or destruction of or access to such Company Data by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each Acquired Company has been in compliance in all material respects with (i) the respective Acquired Company’s external and written policies, as applicable, governing the security, privacy, transfer and use of Personal Data; (ii) applicable Laws governing Personal Data; and (iii) all obligations governing Personal Data under all applicable Contracts to which such Acquired Company is a party or is otherwise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the Company, since January 1, 2024, except as would not reasonably be expected to be, individually or in the aggregate, material to the Acquired Companies, taken as a whole, no Acquired Company has experienced any Security Incidents.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since January 1, 2024, no Acquired Company has been under investigation by any Governmental Body regarding its protection, storage, use, disclosure, and transfer of Personal Data.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no Acquired Company has (i) received any material written claim or complaint from any Person, nor has there been any Legal Proceeding asserted (or, to the Knowledge of the Company, threatened in writing), regarding the Company’s collection, processing, use, storage, security, and disclosure of Personal Data or (ii) been legally required to provide any notices to any Person in connection with a disclosure of Company Data, nor has the Company or any Subsidiary of the Company provided any such notice, in each case except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Schedule identifies each Company Contract that constitutes a Material Contract as of the Agreement Date. Each of the following Company Contracts shall be deemed to constitute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Company Contract that requires by its terms or is reasonably likely to require the payment or delivery of cash or other consideration by or to an Acquired Company in an amount having an expected value in excess of $2,000,000 in the fiscal year ending December 31, 2026 or in any fiscal year thereafter, excluding any Incidental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Company Contract pursuant to which any of the Acquired Companies are entitled to receive or obligated to make earn-out, milestone or deferred consideration payments that, upon satisfaction of certain conditions precedent, will result in the payment by or to an Acquired Company of more than $500,000 in the aggregate over a twelve (12)-month period, other than payment obligations arising in the ordinary course of business under commercial, manufacturing, supply or service arrangements;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Company Contract (A) limiting the freedom or right of any Acquired Company, in any material respect, to engage in any line of business, to make use of any material Company IP or to compete with any other Person in any location or line of business, (B) containing any “most favored nations” terms and conditions (including with respect to pricing) granted by an Acquired Company or (C) containing exclusivity obligations or restrictions or otherwise limiting the freedom or right of an Acquired Company, in any material respect, to sell, distribute or manufacture any products or services or any technology or other assets to or for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Company Contract constituting a joint venture, partnership, collaboration, profit-sharing or similar arrangement;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Company Contract pursuant to which an Acquired Company is or may become obligated to (A) make any severance, termination, or similar payment to any Company Associate or any spouse or heir of any such Company Associate except for severance, termination or similar payments that are required by applicable Laws, (B) make any change in control, retention, or similar payment or award to any Company Associate, or (C) grant or accelerate the vesting of, or otherwise modify, any Company Stock Award (other than accelerated vesting provided in the Company Equity Plan), Company Restricted Cash Award or Company LTIP Award;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Company Contract with any Affiliate, director, executive officer (as such term is defined in the Exchange Act), holder of 5% or more of Shares, or to the Knowledge of the Company, any of their Affiliates (other than an Acquired Company) or immediate family members (other than offer letters that can be terminated at will without severance obligations and Company Contracts pursuant to Company Stock Awards);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Company Contract entered into since January 1, 2024 that relates to the acquisition or disposition of any material business, a material amount of stock or assets of any Person or any real property (whether by merger, sale of stock, sale of assets or otherwise), or any such Company Contract entered into prior to January 1, 2024 under which any Acquired Company has any material obligation or liability, but excluding any Incidental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Company Contract (A) that is material to an Acquired Company pursuant to which a third Person is granted a license, use, option or other right or immunity (including a covenant not to sue or right to enforce or prosecute any patents) with respect to any material Company IP or (B) pursuant to which any of the Acquired Companies is granted a license, use, option or other right or immunity (including a covenant not to sue or right to enforce or prosecute any patents) with respect to any Intellectual Property Right that is material to the operation of the business of the Acquired Companies, in each case excluding any Incidental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Company Contract with any Governmental Body;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Company Contract that is a settlement, conciliation or similar agreement (A) in respect of the Company Product or (B) with or approved by any Governmental Body, in the case of each of clauses (A) and (B), pursuant to which (1) an Acquired Company will be required after the Agreement Date to pay any monetary obligations or (2) that contains material obligations or limitations on an Acquired Company’s conduct;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Company Contract relating to Indebtedness in excess of $3,000,000 (whether incurred, assumed, guaranteed or secured by any asset) of an Acquired Company or subjecting to any Encumbrance (other than Permitted Encumbrances) any right or other asset or property of an Acquired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hedging, swap, derivative or similar Company Contract;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other Company Contract that is currently in effect and has been filed (or is required to be filed) by an Acquired Company as an exhibit pursuant to Item 601(b)(10) of Regulation S-K under the Securities Act or that would be required to be disclosed under Item 404 of Regulation S-K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Company Contract that provides for indemnification or guarantee of the obligations of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Company Contract that prohibits the payment of dividends or distributions in respect of the capital stock of the Company, the pledging of the capital stock or other equity interests of the Company or prohibits the issuance of any guaranty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Company Contract relating to any Company Product containing terms addressing or relating to (A) drug development, research services, pilot programs, clinical trials or other testing programs (other than clinical trial agreements entered into in the ordinary course), (B) the marketing, supply, manufacturing, distribution, commercialization, purchase or sale of any Company Product (including any sole source supply, co-promotion, sales representative, distribution, wholesaler, reseller or other similar agreement), in the case of this clause (B), involving aggregate payments or commitments in excess of $2,000,000, or (C) the pricing or reimbursement terms for any Company Product;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Company Lease.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Agreement Date, the Company has either delivered or made available to Parent or Parent’s Representatives an accurate and complete copy of each Material Contract or has publicly made available such Material Contract in the Electronic Data Gathering, Analysis and Retrieval (EDGAR) database of the SEC on an unredacted basis. Neither any of the Acquired Companies nor, to the Knowledge of the Company, any other party is in material breach of or material default under any Material Contract and, neither any of the Acquired Companies nor, to the Knowledge of the Company, any other party has taken or failed to take any action that, with or without notice, lapse of time or both, would constitute a material breach of or material default under any Material Contract or permit termination, modification or acceleration, under such Material Contract. Each Material Contract is, with respect to the Company and, to the Knowledge of the Company, the other party, a valid agreement, binding, and in full force and effect. Each Material Contract is enforceable by the applicable Acquired Company in accordance with its terms, subject to (i) Laws of general application relating to bankruptcy, insolvency and the relief of debtors and (ii) rules of law governing specific performance, injunctive relief and other equitable remedies. Since January 1, 2024 through the Agreement Date, no Acquired Company has received any written notice regarding any material violation or breach or default under any Material Contract that has not since been cured. As of the Agreement Date, there are no material disputes pending or, to the Knowledge of the Company, threatened with respect to any Material Contract, and no Acquired Company has received any written notice from any counterparty to any Material Contract of such counterparty’s intention to terminate, not renew or materially reduce its relationship with any Acquired Company under any Material Contract. No Acquired Company has waived in writing any rights under any Material Contract, the waiver of which has had, or would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No Acquired Company has any liabilities or obligations, whether or not of the type required to be disclosed in the liabilities column of a consolidated balance sheet prepared in accordance with GAAP, except for: (i) liabilities specifically reflected or adequately reserved for in the Balance Sheet; (ii) liabilities or obligations incurred pursuant to the terms of this Agreement or in connection with the Transactions; (iii) liabilities incurred since the date of the Balance Sheet in the ordinary course of business consistent with past practice (other than those liabilities resulting from any breach of contract or warranty, tort, infringement or violations of Law); and (iv) liabilities that would not reasonably be expected to be, individually or in the aggregate, material to the Acquired Companies, taken as a whole.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and since January 1, 2024 there has been no, Legal Proceeding pending or, to the Knowledge of the Company, threatened against any Acquired Company (other than Legal Proceedings that have not had, or would not reasonably be expected to have, individually or in the aggregate, a Material Adverse Effect). There is no legally-binding settlement or Order to which an Acquired Company is subject that has had, or would reasonably be expected to have, individually or in the aggregate, a Material Adverse Effect. No investigation or review by any Governmental Body with respect to an Acquired Company is, or since January 1, 2024 has been, pending or, to the Knowledge of the Company, threatened, other than investigations or reviews that have not had, and would not reasonably be expected to have, individually or in the aggregate,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Acquired Company is, and since January 1, 2024 has been, in compliance with all applicable Laws, including all Anti-Corruption Laws, Anti-Money Laundering Laws and Sanctions, except where the failure to be in compliance has not had, and would not reasonably be expected to have, individually or in the aggregate, a Material Adverse Effect, and, since January 1, 2024, no Acquired Company has been given written notice of, or been charged with, any unresolved actual, alleged or potential violation of any Law, including any Anti-Corruption Law, Anti-Money Laundering Law or Sanctions, except, in each case, for any such violation that has not had, and would not reasonably be expected to have, individually or in the aggregate,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Regulatory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Material Adverse Effect, each Acquired Company has filed with the applicable regulatory authorities (including the FDA or any other Governmental Body performing functions similar to those performed by the FDA) all required filings, declarations, listings, registrations, reports or submissions, including adverse event reports, and holds all Governmental Authorizations required from such regulatory authorities for the conduct of its business as currently conducted. Except as has not had, and would not reasonably be expected to have, individually or in the aggregate, a Material Adverse Effect, all such filings, declarations, listings, registrations, reports or submissions were in material compliance with applicable Laws when filed (or were corrected or supplemented by a subsequent submission) and no deficiencies have been asserted by any applicable Governmental Body with respect to any such filings, declarations, listings, registrations, reports or submissions, and all such Governmental Authorizations are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Material Adverse Effect, to the Knowledge of the Company, all preclinical and clinical investigations sponsored by an Acquired Company, and all related “chemistry, manufacturing and controls” (CMC) processes pertaining thereto, have been since January 1, 2024, and, if still pending, are being, conducted in compliance with applicable Laws, including Good Clinical Practices (preclinical and clinical), Good Manufacturing Practices, Good Laboratory Practices, pharmacovigilance requirements and Health Care Laws. No Acquired Company has received any written notices or other written correspondence from the FDA or any other foreign, federal, state or local governmental or regulatory authority performing functions similar to those performed by the FDA with respect to any ongoing clinical or pre-clinical studies or tests requiring the termination, suspension or material modification of such studies or tests.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Material Adverse Effect, no Acquired Company has (i) made an untrue statement of a material fact to the FDA or any Governmental Body, (ii) failed to disclose a material fact required to be disclosed to the FDA or (iii) committed any other act, made any statement or failed to make any statement, that (in any such case) establishes a reasonable basis for the FDA to invoke its Fraud, Untrue Statements of Material Facts, Bribery, and Illegal Gratuities Final Policy. As of the Agreement Date, the Company is not the subject of any pending or, to the Knowledge of the Company, threatened investigation by the FDA pursuant to its Fraud, Untrue Statements of Material Facts, Bribery, and Illegal Gratuities Final Policy. Neither any of the Acquired Companies nor, to the Knowledge of the Company, any officers, employees, agents or clinical investigators of any of the Acquired Companies have been suspended or debarred or convicted of any crime or engaged in any conduct that would reasonably be expected to result in (x) debarment under 21 U.S.C. Section 335a or any similar Law or (y) exclusion under 42 U.S.C. Section 1320a-7 or any similar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has not had, and would not reasonably be expected to have, individually or in the aggregate, a Material Adverse Effect, the Acquired Companies are in compliance and, since January 1, 2024, have been in compliance with all Health Care Laws applicable to the operation of their business as currently conducted, including (i) any and all applicable federal, state and local fraud and abuse Laws, including the federal Anti-Kickback Statute (42 U.S.C. Section 1320a-7(b)) and the civil False Claims Act (31 U.S.C. Section 3729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(ii) the Health Insurance Portability and Accountability Act of 1996, as amended by the Health Information Technology for Economic and Clinical Health Act; (iii) the Physician Payments Sunshine Act (42 U.S.C. § 1320a-7h); and (iv) Laws that are cause for exclusion from any federal health care program. To the Knowledge of the Company, no enforcement, regulatory or administrative proceeding is pending, and no such enforcement, regulatory or administrative proceeding has been threatened in writing, against the Company under the Federal Food, Drug, and Cosmetic Act (21 U.S.C. Section 301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the Anti-Kickback Statute or similar Laws, other than any such proceeding that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Company Products manufactured or sold by or on behalf of the Acquired Companies (i) are and have been of a quality and quantity usable or saleable in the ordinary course of business consistent with past practice, (ii) have been manufactured, tested, packaged, labeled, stored, handled and processed in accordance with applicable specifications, Good Manufacturing Practices and applicable Laws, including Health Care Laws, (iii) are not, and have not been, adulterated or misbranded within the meaning of applicable Health Care Laws and (iv) to the extent such Company Products are currently stored as inventory by or on behalf of the Acquired Companies, are not expired, obsolete or subject to any hold, quarantine or similar restriction, except, in the case of each of clauses (i) through (iv), as would not reasonably be expected to be, individually or in the aggregate, material to the Acquired Companies, taken as a whole. Neither the Acquired Companies nor, to the Knowledge of the Company, any supplier, manufacturer or other Person that manufactures any Company Product on behalf of the Acquired Companies has received any FDA Form 483, warning letter, untitled letter or other written notice from the FDA or other Governmental Body alleging, asserting or identifying any material violation of, or noncompliance with, applicable Good Manufacturing Practices or applicable Laws, including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Certain Business Practices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since January 1, 2024, neither any of the Acquired Companies nor any of its directors, officers or employees nor, to the Knowledge of the Company, any of their other Representatives (in each case, acting in such capacity) has (a) used any material funds (whether of an Acquired Company or otherwise) for unlawful contributions, gifts, entertainment or other unlawful expenses relating to political activity, (b) made any unlawful payment to foreign or domestic government officials or employees or to foreign or domestic political parties or campaigns or (c) violated or caused any other Person to violate any provision of any Anti-Corruption Laws or any rules or regulations promulgated thereunder, any provision of any Anti-Money Laundering Laws or any rules or regulations promulgated thereunder, any Sanctions, or any applicable Law of similar effect. Since January 1, 2024, no Acquired Company has received any written communication from a Governmental Body that alleges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Governmental Authorizations</w:t>
      </w:r>
      <w:r>
        <w:rPr>
          <w:rFonts w:ascii="Times New Roman;Times;serif" w:hAnsi="Times New Roman;Times;serif"/>
          <w:b w:val="false"/>
          <w:i w:val="false"/>
          <w:caps w:val="false"/>
          <w:smallCaps w:val="false"/>
          <w:sz w:val="20"/>
        </w:rPr>
        <w:t>. Each of the Acquired Companies holds all Governmental Authorizations necessary to enable it to conduct its business in the manner in which its business is currently being conducted, except where failure to hold such Governmental Authorizations has not had, and would not reasonably be expected to have, individually or in the aggregate, a Material Adverse Effect. The Governmental Authorizations held by the Acquired Companies are valid and in full force and effect, no default (with or without notice, lapse of time or both) has occurred under any such Governmental Authorization, and none of the Acquired Companies has received any written notice from any Governmental Body threatening to suspend, revoke, withdraw or modify any such Governmental Authorization, except where such failure to be valid or in full force and effect, default or notice has not had, and would not reasonably be expected to have, individually or in the aggregate, a Material Adverse Effect. The Acquired Companies are, and since January 1, 2024 have been, in compliance with the terms and requirements of such Governmental Authorizations, except where failure to be in compliance has not had, and would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Tax Returns required to be filed by any of the Acquired Companies with any Governmental Body has been filed on or before the applicable due date (taking into account any extensions of such due date), and all such Tax Returns are accurate and complete. All Taxes owed by each of the Acquired Companies that are due (whether or not shown on any Tax Return) have been paid. Each Acquired Company has withheld and paid over (or set aside for payment when due) to the appropriate taxing authority all Taxes required to have been withheld and paid over in connection with amounts paid to any employee, independent contractor, stockholder, creditor or other third party. The unpaid Taxes of any Acquired Company (whether or not shown on any Tax Return) have been reserved for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deficiency for any Tax has been asserted or assessed by a taxing authority in writing against any Acquired Company, which deficiency has not been paid, settled or withdrawn or is being contested in good faith by appropriate proceedings. As of the Agreement Date, no written claim has been made by a taxing authority that any Acquired Company is subject to Tax in a jurisdiction where it has not filed Tax Returns. No audits, examinations, or other proceedings with respect to material Taxes or Tax Returns of any Acquired Company are currently in process, pending or threatened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Acquired Company is a party to, or is bound by, or has any obligation under, any Tax sharing, allocation or indemnification agreement (other than such customary indemnification provisions in any agreement or arrangement that are not primarily related to Taxes and other than agreements or arrangements solely among the Acquired Companies). No Acquired Company has (i) been a member of an affiliated group (within the meaning of Section 1504(a) of the Code) filing a consolidated federal income Tax Return (other than a group the common parent of which is or was the Company) or (ii) had any material liability for the Taxes of another Person (other than an Acquired Company) under Treasury Regulations Section 1.1502-6 (or any similar provision of state, local or foreign Law), as a transferee or successor, or otherwise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the last two (2) years, no Acquired Company has been either a “distributing corporation” or a “controlled corporation” in a distribution of stock intended to qualify for tax-free treatment under Section 355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Acquired Company has participated in any “listed transaction” within the meaning of Treasury Regulations Section 1.6011-4(b)(2).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Acquired Company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Law); (iii) installment sale or open transaction disposition made prior to the Closing Date; (iv) prepaid amount received or deferred revenue accrued on or prior to the Closing Date; or (v) use of an improper method of accounting for a taxable period ending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Acquired Company has waived any statute of limitations in respect of Taxes or agreed to any extension of time with respect to an assessment, collection, or deficiency for Taxes (other than pursuant to extensions of time to file Tax Returns obtained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Encumbrances with respect to Taxes on any of the assets of the Acquired Companies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Acquired Company has complied with Section 482 of the Code or any similar provision of U.S. state or local or foreign Tax Law relating to transfer pricing and all transactions between the Acquired Companies have been effected on an arm’s length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Acquired Company has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w:t>
      </w:r>
      <w:r>
        <w:rPr>
          <w:rFonts w:ascii="Times New Roman;Times;Serif" w:hAnsi="Times New Roman;Times;Serif"/>
          <w:b w:val="false"/>
          <w:i w:val="false"/>
          <w:caps w:val="false"/>
          <w:smallCaps w:val="false"/>
          <w:sz w:val="20"/>
          <w:u w:val="single"/>
        </w:rPr>
        <w:t>Employee Matters;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required by applicable Laws, the employment of each of the Acquired Companies’ employees is terminable by such Acquired Company at 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Acquired Company is party to, has a duty to bargain for, or is currently negotiating in connection with entering into, any collective bargaining agreement or other Contract with a labor organization or work council representing any of its employees and there are no labor organizations representing, purporting to represent or, to the Knowledge of the Company, seeking to represent any employees of any of the Acquired Companies. Since January 1, 2024, there has not been any strike, slowdown, work stoppage, lockout, picketing or labor dispute, affecting any of the Acquired Companies or any of their employees. There is not pending, and, to the Knowledge of the Company, no Person has threatened in writing to commence, any such strike, slowdown, work stoppage, lockout, picketing or labor dispute.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and since January 1, 2024, there has been, no Legal Proceeding pending or, to the Knowledge of the Company, threatened in writing relating to employment, including any relating to any Employee Plan, wages and hours, leave of absence, plant closing notification, employment statute or regulation, labor dispute, workers’ compensation policy or long-term disability policy, safety, retaliation, immigration or discrimination matters involving any Company Associate, other than any Legal Proceedings that have not had, and would not reasonably be expected to have, individually or in the aggregate, a Material Adverse Effect. Since January 1, 2024, each Acquired Company has complied with all applicable Laws related to employment, including applicable Laws relating to employment practices, wages, hours and other terms and conditions of employment, any reduction in force (including notice, information and consultation requirements), except where the failure to be in compliance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made available as of the Agreement Date, an accurate and complete list of all employees of the Acquired Companies, including for each such employee, to the extent applicable: (i) name, position or job title, direct employer, date of hire and work location (including city/state and country); (ii) base salary and details of incentive compensation (including target bonus amount and commission-based incentive opportunities); (iii) part-time, full-time, temporary or other status; (iv) expatriate status and visa status; and (v) leave of absence status.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of the Company Disclosure Schedule identifies all material Employee Plans. The Company has either delivered or made available to Parent or Parent’s Representatives prior to the execution of this Agreement with respect to each material Employee Plan accurate and complete copies of the following, as relevant: (i) the current plan document and all material amendments thereto; (ii) each trust agreement or other funding arrangement related thereto; (iii) the most recent determination letter or opinion letter received from the IRS; (iv) the most recent Form 5500; and (v) the most recent summary plan descriptions and any material modifications related thereto. Notwithstanding the foregoing, for purposes of this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of the Company Disclosure Schedule, the definition of “</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shall exclude (A) any employment agreements, offer letters and similar agreements that do not differ in any material respect from the form of such documents made available by the Company to Parent or Parent’s Representatives or that can be terminated by the applicable Acquired Company at-will without severance or other material cost or liability to the Acquired Companies, (B) equity grant notices and related documentation, in each case, that do not differ in any material respect from the form of such documents made available by the Company to Parent or Parent’s Representatives, with respect to employees of any of the Acquired Companies, and agreements with independent contractors and consultants entered into in the ordinary course of business that can be terminated upon no more than sixty (60) days’ advance notice without material cost or liability to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Employee Plan is, and, except to the extent that such liability has not had, and would not reasonably be expected to have, individually or in the aggregate, a Material Adverse Effect, no Acquired Company has a liability under, a plan that is or was subject to Section 302 of ERISA, Title IV of ERISA, or Section 412 of the Code or a “multiemployer plan,” as defined in Section 3(37)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Employee Plan that is intended to be qualified under Section 401(a) of the Code is the subject of a favorable determination letter (or utilizes a pre-approved plan document that is the subject of a favorable opinion letter) as to its qualified status under the Code and, to the Knowledge of the Company, except as has not had, and would not reasonably be expected to have, individually or in the aggregate, a Material Adverse Effect, nothing has occurred that has adversely affected or would reasonably be expected to adversely affect the qualified status of any such Employee Plan or the tax-exempt status of any trust related thereto. Except as has not had, and would not reasonably be expected to have, individually or in the aggregate, a Material Adverse Effect, (i) each Employee Plan has been maintained and administered in compliance with its terms and all applicable Laws; (ii) no Acquired Company or, to the Knowledge of the Company, any other Person (A) has breached any fiduciary duty imposed upon it by ERISA or any other Law with respect to any Employee Plan or (B) engaged in a prohibited transaction within the meaning of Section 406 of ERISA or Section 4975 of the Code (that is not otherwise exempt under Section 408 of ERISA or Section 4975(c)(2) or 4975(d) of the Code) with respect to any Employee Plan; (iii) all contributions, premiums and other payments due or required to have been paid to (or with respect to) any Employee Plan by the Acquired Companies prior to the Effective Time have been (or will be) timely paid in accordance with the terms of such Employee Plan and applicable Law; and (iv) each Employee Plan that constitutes in any part a nonqualified deferred compensation plan within the meaning of Section 409A of the Code has been operated and maintained in operational and documentary compliance with Section 409A of the Code and applicable guidance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has not had, and would not reasonably be expected to have, individually or in the aggregate, a Material Adverse Effect, each Acquired Company has complied with the Patient Protection and Affordable Care Act, Pub. L. No. 111-148, the Health Care and Education Reconciliation Act of 2010, Pub. L. No. 111-152, and all regulations and guidance issued thereunder, to the extent applicable thereto, including, to the extent applicable, the employer shared responsibility provisions relating to the offer of medical coverage that qualifies as “minimum essential coverage” that is “affordable” and provides “minimum value” to “full time employees” and their “dependents” (as those terms are defined in Section 4980H of the Code and the related Treasury Regulations) and the applicable information reporting requirements under Sections 6055 and 6056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or Employee Plan provides, is obligated to provide or has promised or agreed to provide (or contribute toward the cost of) life insurance, medical or other welfare benefits (within the meaning of Section 3(1) of ERISA) to any current or former director, officer or employee of any Acquired Company after his or her retirement or other termination of employment, except to the extent required by applicable Law or as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set forth in this Agreement, neither the execution and delivery of this Agreement nor the consummation of the Transactions (either alone or in conjunction with any other event) will (i) result in any payment or benefit (including severance, unemployment compensation, “excess parachute payment” (within the meaning of Section 280G of the Code), forgiveness of Indebtedness or otherwise) becoming due to any current or former officer, director or employee of the Acquired Companies, (ii) increase, or result in any acceleration of the time of payment, funding or vesting of, any compensation or benefits payable to any officer, director or employee of the Acquired Companies (except to the extent required by Section 411(d)(3) of the Code) or (iii) limit the Acquired Companies’ right to amend, modify or terminate any Employee Plan or related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has not had, and would not reasonably be expected to have, individually or in the aggregate, a Material Adverse Effect, each Employee Plan, if any, which is maintained outside of the United States (i) has been operated in conformance with the applicable statutes or governmental regulations, (ii) if intended to qualify for special tax treatment, meets all requirements for such treatment, and (iii) if intended to be funded or book-reserved, is fully funded or book reserved, as appropriate, based upon reasonable actuarial assumptions.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no obligation to gross up, indemnify or otherwise reimburse any individual for any Taxes, interest or penalties incurred, including pursuant to Sections 409A, 280G or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Since January 1, 2024, the Acquired Companies have not received or been subject to any written complaints, claims or actions alleging sexual harassment, sexual misconduct or discrimination committed by any director, officer or other managerial employee of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Section 4.18(n)</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(A) the name or identification number of each holder of a Company LTIP Award or a Company Restricted Cash Award, (B) the aggregate dollar value of such Company LTIP Award or Company Restricted Cash Award, as applicable (at target and maximum level of performance, respectively, in the case of any Company LTIP Award granted during calendar year 2026), (C) the grant date of each such Company LTIP Award or Company Restricted Cash Award, as applicable, and (D) the vesting schedule of each such Company LTIP Award or Company Restricted Cash Award (including any accelerated vesting contemplated by its existing terms or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for those matters that have not had, and would not reasonably be expected to have, individually or in the aggregate, a Material Adverse Effect: (a) each Acquired Company is, and since January 1, 2024, has been, in compliance with all applicable Environmental Laws, which compliance includes obtaining, maintaining or complying with all Governmental Authorizations required under Environmental Laws for the operation of their respective business; (b) as of the Agreement Date, no Acquired Company has received any written notice, report or other information of or entered into any legally-binding settlement or Order involving uncompleted, outstanding or unresolved violations, liabilities or requirements on the part of any of the Acquired Companies relating to or arising under Environmental Laws; (c) to the Knowledge of the Company, there are and have been no Hazardous Materials present or Released on, at, under or from any property or facility, including the Leased Real Property, in a manner and concentration that would reasonably be expected to result in any claim against or liability of an Acquired Company under any Environmental Law; (d) to the Knowledge of the Company, there is no Legal Proceeding or remedial or corrective action relating to or arising under Environmental Laws that is pending or threatened against or affecting any of the Acquired Companies or their properties or facilities; and (e) to the Knowledge of the Company, there is no condition, circumstance, action, activity or event that would reasonably be expected to form the basis of any violation of, or liability under, Environmental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w:t>
      </w:r>
      <w:r>
        <w:rPr>
          <w:rFonts w:ascii="Times New Roman;Times;Serif" w:hAnsi="Times New Roman;Times;Serif"/>
          <w:b w:val="false"/>
          <w:i w:val="false"/>
          <w:caps w:val="false"/>
          <w:smallCaps w:val="false"/>
          <w:sz w:val="20"/>
          <w:u w:val="single"/>
        </w:rPr>
        <w:t>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Companies do not own and have never owned, and do not currently have any right of first refusal, right of first offer, or option to purchase,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Material Adverse Effect, each Acquired Company holds a valid and existing leasehold, subleasehold or licensee interest in all of the real property that is leased, subleased or licensed by such Acquired Company from another Person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free and clear of all Encumbrances, other than Permitted Encumbrances.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 xml:space="preserve"> of the Company Disclosure Schedule identifies all Company Leases, including the street address of the applicable Leased Real Property. Accurate and complete copies of the Company Leases have been made available to Parent. Except as has not had, and would not reasonably be expected to have, individually or in the aggregate, a Material Adverse Effect, (i) each Company Lease is valid and binding on each Acquired Company that is the party thereto, and, to the Knowledge of the Company, each other party thereto, is in full force and effect, and is enforceable against each Acquired Company in accordance with its terms, (ii) no Acquired Company has received any written notice regarding any violation or breach or default by the Acquired Companies under any Company Lease that has not since been cured, and to the Knowledge of the Company, no default exists on the part of any other party to the Company Leases, (iii) no Acquired Company has received any written notice from any landlord, sublandlord or licensor under any Company Lease that such party intends to terminate such Company Lease, and (iv) no Acquired Company has received any written notice of any pending and, to the Knowledge of the Company, there is no threatened, condemnation with respect to any Leased Real Property or any portion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xml:space="preserve"> of the Company Disclosure Schedule identifies all subleases and licenses that grant any Person the right to use or occupy all or any portion of any Leased Real Property (each, including all guaranties thereof and all material modifications, amendments, supplements, waivers and side letters thereto, a “</w:t>
      </w:r>
      <w:r>
        <w:rPr>
          <w:rFonts w:ascii="Times New Roman;Times;Serif" w:hAnsi="Times New Roman;Times;Serif"/>
          <w:b w:val="false"/>
          <w:i w:val="false"/>
          <w:caps w:val="false"/>
          <w:smallCaps w:val="false"/>
          <w:sz w:val="20"/>
          <w:u w:val="single"/>
        </w:rPr>
        <w:t>Sublease</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each Sublease is valid and binding on each Acquired Company that is the party thereto, and, to the Knowledge of the Company, each other party thereto, is in full force and effect, and is enforceable against each Acquired Company in accordance with its terms, and no Acquired Company has received any written notice regarding any violation or breach or default by the Acquired Companies under any Sublease that has not since been cured, and to the Knowledge of the Company, no default exists on the part of any other party to such Sublease. Accurate and complete copies of the Subleases have been made available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Material Adverse Effect, (i) each Leased Real Property is in good operating condition and repair, subject to normal wear and tear and suitable for the conduct of the business of the Acquired Companies in all material respects as presently conducted, (ii) to the Knowledge of the Company, there are no outstanding rights of first refusal or offer, or options to purchase, all or any material portion of any Leased Real Property, in each case, for the benefit of any Person, (iii) none of the Acquired Companies has collaterally assigned its leasehold, subleasehold or licensee interest in the Leased Real Property and none of such interests are presently subject to any mortgage or deed of trust, and (iv) the Leased Real Property constitutes all of the real property utilized by the Acquired Companies in the operation of their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Acquired Company has good and valid title to all material assets owned by it as of the Agreement Date, including all material assets (other than capitalized or operating leases) reflected on the Company’s unaudited balance sheet as of June 30, 2026 included in the last Quarterly Report on Form 10-Q (the “</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xml:space="preserve">”) filed by the Company with the SEC prior to the date of this Agreement (but excluding Intellectual Property Rights that are covered by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except for assets sold or otherwise disposed of in the ordinary course of business consistent with past practice since the date of such Balance Sheet and except where such failure has not had, and would not reasonably be expected to have, individually or in the aggregate, a Material Adverse Effect. All material tangible assets of the Acquired Companies are in good operating condition and repair, ordinary wear and tear excepted.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or made available to Parent or Parent’s Representatives an accurate and complete copy of all material insurance policies and all material self-insurance programs and arrangements in effect as of the date hereof relating to the business, assets and operations of the Acquired Companies. Except as has not had, and would not reasonably be expected to have, individually or in the aggregate, a Material Adverse Effect, (a) all such insurance policies are in full force and effect (except for any expiration thereof in accordance with its terms), (b) no written notice of cancellation or modification has been received with respect to any such insurance policies, (c) there is no existing default or event under any such insurance policies that, with the giving of notice or lapse of time or both, would constitute a default by any insured thereunder, (d) all premiums due and payable thereon have been paid, (e) there are no material claims under any such insurance policies for which coverage has been denied or disputed by the applicable insurance carrier (other than a denial or dispute in the ordinary course of business or a customary reservation of rights notice), and (f) such insurance policies are sufficient for compliance by the Acquired Companies with all requirements of applicable Laws and all Material 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        </w:t>
      </w:r>
      <w:r>
        <w:rPr>
          <w:rFonts w:ascii="Times New Roman;Times;serif" w:hAnsi="Times New Roman;Times;serif"/>
          <w:b w:val="false"/>
          <w:i w:val="false"/>
          <w:caps w:val="false"/>
          <w:smallCaps w:val="false"/>
          <w:sz w:val="20"/>
          <w:u w:val="single"/>
        </w:rPr>
        <w:t>Section 203 of the DGCL</w:t>
      </w:r>
      <w:r>
        <w:rPr>
          <w:rFonts w:ascii="Times New Roman;Times;serif" w:hAnsi="Times New Roman;Times;serif"/>
          <w:b w:val="false"/>
          <w:i w:val="false"/>
          <w:caps w:val="false"/>
          <w:smallCaps w:val="false"/>
          <w:sz w:val="20"/>
        </w:rPr>
        <w:t xml:space="preserve">. Assuming the accuracy of the representations and warranties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the Company Board has taken all actions so that the restrictions applicable to business combinations contained in Section 203 of the DGCL and any other Takeover Laws are inapplicable to the execution, delivery and performance of this Agreement and to the consummation of the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        </w:t>
      </w:r>
      <w:r>
        <w:rPr>
          <w:rFonts w:ascii="Times New Roman;Times;serif" w:hAnsi="Times New Roman;Times;serif"/>
          <w:b w:val="false"/>
          <w:i w:val="false"/>
          <w:caps w:val="false"/>
          <w:smallCaps w:val="false"/>
          <w:sz w:val="20"/>
          <w:u w:val="single"/>
        </w:rPr>
        <w:t>Merger Approval</w:t>
      </w:r>
      <w:r>
        <w:rPr>
          <w:rFonts w:ascii="Times New Roman;Times;serif" w:hAnsi="Times New Roman;Times;serif"/>
          <w:b w:val="false"/>
          <w:i w:val="false"/>
          <w:caps w:val="false"/>
          <w:smallCaps w:val="false"/>
          <w:sz w:val="20"/>
        </w:rPr>
        <w:t>. Following the Offer Acceptance Time, assuming satisfaction of the Minimum Condition, no vote of the holders of any class or series of the Company’s capital stock will be required in order to adopt this Agreement and approve the Merger. There are no bonds, debentures, notes or other indebtedness of the Company having the right to vote (or, except for the Company Convertible Notes, convertible into, or exchangeable for, securities having the right to vote) on any matters on which stockholders of the Company may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The Company Board has received the oral opinion of the Company’s financial advisor, Goldman Sachs &amp; Co. LLC, to be subsequently confirmed in its written opinion to the Company Board, to the effect that, as of the date of such opinion and based on and subject to the factors, assumptions, qualifications, limitations and other matters set forth therein, the Offer Price or Merger Consideration to be paid to the holders (other than Parent and its Affiliates) of Shares pursuant to this Agreement is fair from a financial point of view to such holders. The Company will provide or make available to Parent, solely for informational purposes, a copy of the signed opinion following receipt thereof by the Company, it being expressly understood and agreed that such opinion is for the benefit of the Company Board and may not be relied upon by Parent or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Goldman Sachs &amp; Co. LLC,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provided to Parent a true and complete copy of the engagement letter entered into by and between Goldman Sachs &amp; Co. LLC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No current director, officer or Affiliate of any Acquired Company (a) has outstanding any Indebtedness to any Acquired Company or (b) is otherwise a party to, or directly or indirectly benefits from, any Contract, arrangement or understanding with any Acquired Company of a type that would be required to be disclosed under Item 404 of Regulation S-K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        </w:t>
      </w:r>
      <w:r>
        <w:rPr>
          <w:rFonts w:ascii="Times New Roman;Times;serif" w:hAnsi="Times New Roman;Times;serif"/>
          <w:b w:val="false"/>
          <w:i w:val="false"/>
          <w:caps w:val="false"/>
          <w:smallCaps w:val="false"/>
          <w:sz w:val="20"/>
          <w:u w:val="single"/>
        </w:rPr>
        <w:t>Acknowledgment by the Company</w:t>
      </w:r>
      <w:r>
        <w:rPr>
          <w:rFonts w:ascii="Times New Roman;Times;serif" w:hAnsi="Times New Roman;Times;serif"/>
          <w:b w:val="false"/>
          <w:i w:val="false"/>
          <w:caps w:val="false"/>
          <w:smallCaps w:val="false"/>
          <w:sz w:val="20"/>
        </w:rPr>
        <w:t>. The Company is not relying and has not relied on any representations or warranties whatsoever made by or on behalf of Parent, Purchaser or any of their respective Affiliates regarding the subject matter of this Agreement, express or implied, except for the representations and warranties in Article 5. Such representations and warranties of Parent and Purchaser constitute the sole and exclusive representations and warranties of Parent and Purchaser in connection with the Transactions, and the Company understands, acknowledges and agrees that all other representations and warranties of any kind or nature, whether express, implied or statutory, are specifically disclaimed by each of Parent and Purchaser. The Company acknowledges and agrees that neither Parent nor any of its Affiliates, stockholders or Representatives, nor any other Person, has made or is making any express or implied representation or warranty with respect to any estimates, projections, forecasts or forward-looking statements regarding Parent, Purchaser or their respective businesses or operations, unless any such information is expressly addressed or included in a representation or warranty contained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val="false"/>
          <w:i w:val="false"/>
          <w:caps w:val="false"/>
          <w:smallCaps w:val="false"/>
          <w:sz w:val="20"/>
        </w:rPr>
        <w:br/>
        <w:br/>
        <w:t>REPRESENTATIONS AND WARRANTIES OF PARENT AND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Purchaser jointly and severally represent and warrant to the Company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Due Organization</w:t>
      </w:r>
      <w:r>
        <w:rPr>
          <w:rFonts w:ascii="Times New Roman;Times;serif" w:hAnsi="Times New Roman;Times;serif"/>
          <w:b w:val="false"/>
          <w:i w:val="false"/>
          <w:caps w:val="false"/>
          <w:smallCaps w:val="false"/>
          <w:sz w:val="20"/>
        </w:rPr>
        <w:t>. Each of Parent and Purchaser is a corporation duly organized, validly existing and in good standing under the laws of its jurisdiction of organization and has all necessary power and authority (a) to conduct its business in the manner in which its business is currently being conducted and (b) to own and use its assets in the manner in which its assets are currently owned and used, except where any failure of such power and authority has not had, and would not reasonably be expected to have, individually or in the aggregate, a Parent Material Adverse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Purchaser was formed solely for the purpose of engaging in the Transactions and activities incidental thereto and has not engaged in any business activities or conducted any operations other than in connection with the Transactions and those incident to its formation. Either Parent or a wholly owned (direct or indirect) Subsidiary of Parent owns beneficially and of record all of the outstanding capital stock of Purchaser.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Parent and Purchaser have the corporate power and authority to execute and deliver and perform their obligations under this Agreement. The execution, delivery and performance by Parent and Purchaser of this Agreement, and the consummation of the Transactions have been duly authorized by all necessary action on the part of Parent and Purchaser and their respective boards of directors. This Agreement constitutes the legal, valid and binding obligation of Parent and Purchaser, and assuming due authorization, execution and delivery by the Company, is enforceable against them in accordance with its terms, subject to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Assuming compliance with the applicable provisions of the HSR Act, the execution and delivery of this Agreement by Parent and Purchaser, and the consummation of the Transactions, will not: (a) cause a violation of any of the provisions of the certificate of incorporation or bylaws or other organizational documents of Parent or Purchaser; (b) cause a violation by Parent or Purchaser of any Law or Order applicable to Parent or Purchaser, or to which they are subject; or (c) conflict with, result in a breach of, constitute a default on the part of Parent or Purchaser under, give rise to any right of termination, cancellation or acceleration of any right or obligation under, or require any consent or other authorization of or notice to any Person under, any Contract that is material to Parent, except, in the case of clauses (b) and (c), for such conflicts, violations, breaches, defaults, rights of termination, cancellation or acceleration or failures to obtain any such consent or other authorization or provide any such notice that have not had, and would not reasonably be expected to have, individually or in the aggregate, a Parent Material Adverse Effect. Except as may be required by the Exchange Act (including the filing with the SEC of the Offer Documents), state takeover laws, the DGCL or the HSR Act, neither Parent nor Purchaser, nor any of Parent’s other Affiliates, is required to make any filing with or give any notice to, or to obtain any Consent from, any Person at or prior to the Closing in connection with the execution and delivery of this Agreement by Parent or Purchaser or the consummation by Parent or Purchaser of the Transactions, other than such filings, notifications, approvals, notices or Consents that, if not obtained, made or given, have not had, and would not reasonably be expected to have, individually or in the aggregate, a Parent Material Adverse Effect. No vote of Parent’s stockholders is necessary to approve this Agreement or any of the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Offer Documents, when filed, distributed or disseminated, as applicable, will comply as to form in all material respects with the applicable requirements of the Exchange Act. The Offer Documents, at the time of the filing of such Offer Documents or any supplement or amendment thereto with the SEC and at the time such Offer Documents or any supplements or amendments thereto are first distributed or disseminated to the Company’s stockholders, will not contain any untrue statement of a material fact or omit to state any material fact necessary in order to make the statements made therein, in light of the circumstances under which they were made, not misleading. The information with respect to Parent or Purchaser that Parent or Purchaser furnishes to the Company in writing specifically for inclusion or incorporation by reference in the Schedule 14D-9 and the Company Disclosure Documents, at the time of filing the Schedule 14D-9 and at the time of any distribution or dissemination of the Company Disclosure Documents, will not contain any untrue statement of a material fact required to be stated therein or omit to state any material fact necessary in order to make the statements made therein, in light of the circumstances under which they were made, not misleading. Notwithstanding the foregoing, neither Parent nor Purchaser makes any representation with respect to statements made or incorporated by reference in the Offer Documents based on information supplied by or on behalf of the Company specifically for inclusion or incorporation by reference in the Offer Documents.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Agreement Date, there is no Legal Proceeding pending (or, to the Knowledge of Parent, threatened) against Parent or Purchaser, other than Legal Proceedings that have not had, and would not reasonably be expected to have, individually or in the aggregate, a Parent Material Adverse Effect. As of the Agreement Date, neither Parent nor Purchaser is subject to any legally-binding settlement or Order that has had, or would reasonably be expected to have, individually or in the aggregate, a Parent Material Adverse Effect. As of the Agreement Date, no investigation or review by any Governmental Body with respect to Parent or Purchaser is pending or, to the Knowledge of Parent, is being threatened, other than any investigations or reviews that have not had, and would not reasonably be expected to have, individually or in the aggregate, a Parent Material Adverse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Immediately after giving effect to the Transactions, Parent and the Surviving Corporation, taken as a whole, shall (a) be able to pay their debts as they become due and shall own property having a fair saleable value greater than the amounts required to pay their debts as they become due and (b) have adequate capital to carry on their businesses. No transfer of property is being made and no obligation is being incurred by Parent in connection with the Transactions with the intent to hinder, delay or defraud either present or future creditors of Parent or the Surviving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val="false"/>
          <w:i w:val="false"/>
          <w:caps w:val="false"/>
          <w:smallCaps w:val="false"/>
          <w:sz w:val="20"/>
          <w:u w:val="single"/>
        </w:rPr>
        <w:t>Ownership of Company Common Stock; Absence of Certain Arrangements</w:t>
      </w:r>
      <w:r>
        <w:rPr>
          <w:rFonts w:ascii="Times New Roman;Times;serif" w:hAnsi="Times New Roman;Times;serif"/>
          <w:b w:val="false"/>
          <w:i w:val="false"/>
          <w:caps w:val="false"/>
          <w:smallCaps w:val="false"/>
          <w:sz w:val="20"/>
        </w:rPr>
        <w:t>. Neither Parent, nor Purchaser nor any of their respective Affiliates directly or indirectly owns, beneficially or otherwise, any shares of the Company’s capital stock or any securities, contracts or obligations convertible into or exercisable or exchangeable for shares of the Company’s capital stock. Neither Parent nor Purchaser has enacted or will enact a plan that complies with Rule 10b5-1 under the Exchange Act covering the purchase of any of the shares of the Company’s capital stock. As of the Agreement Date, neither Parent nor Purchaser is an “interested stockholder” of the Company under Section 203(c) of the DGCL. Neither Parent nor Purchaser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(i) this Agreement or the Transactions or (ii) the Surviving Corporation or any of its businesses or operations (including as to continuing employment) from and after the Effective Time or (b) pursuant to which (i) any holder of Shares would be entitled to receive consideration of a different amount or nature than the Offer Price or Merger Consideration, as applicable, in respect of such holder’s Shares or (ii) any holder of Shares has agreed to approve this Agreement or vote against any Superior Offer.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Morgan Stanley &amp; Co. LLC, no broker, investment banker, financial advisor or other Person is entitled to any broker’s, finder’s, financial advisor’s or other similar fee or commission in connection with the Transactions based upon arrangements made by or on behalf of Parent or any of its Subsidiaries except for Persons, if any, whose fees and expenses shall be paid by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Sufficient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sufficient cash or other liquid financial resources to, and at the Offer Acceptance Time and at the Effective Time, Parent will have, and will cause Purchaser to have, available the cash necessary to, consummate the Transactions, including payment of the aggregate Offer Price at the Offer Acceptance Time and the aggregate Merger Consideration at the Effective Time, to pay all related fees and expenses incurred in connection therewith, and to discharge all of Parent’s and Purchaser’s other liabilities as they become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Purchaser acknowledge that their obligations under this Agreement are not contingent or conditioned upon Parent’s, Purchaser’s, their respective Affiliates’ or any other Person’s ability to obtain any financing for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Acknowledgment by Parent and 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Parent nor Purchaser is relying and neither Parent nor Purchaser has relied on any representations or warranties whatsoever made by or on behalf of the Acquired Companies regarding the subject matter of this Agreement, express or implied, except for the representations and warranties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including the Company Disclosure Schedule. Such representations and warranties by the Company constitute the sole and exclusive representations and warranties of the Company in connection with the Transactions, and each of Parent and Purchaser understands, acknowledges and agrees that all other representations and warranties of any kind or nature whether express, implied or statutory are specifically disclaimed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due diligence investigation of the Company by Parent and Purchaser and their respective Affiliates, stockholders or Representatives, Parent and Purchaser and their respective Affiliates, stockholders or Representatives have received and may continue to receive after the Agreement Date from the Company and its Affiliates, stockholders or Representatives certain estimates, projections, forecasts and other forward-looking information, as well as certain business plan information, regarding the Company and its businesses and operations. Parent and Purchaser hereby acknowledge that there are uncertainties inherent in attempting to make such estimates, projections, forecasts and other forward-looking statements, as well as in such business plans, and that Parent and Purchaser will have no claim against the Company, any of its Affiliates, stockholders or Representatives, or any other Person with respect thereto unless any such information is expressly addressed or included in a representation or warranty contained in this Agreement. Accordingly, Parent and Purchaser hereby acknowledge and agree that neither the Company nor any of its Affiliates, stockholders or Representatives, nor any other Person, has made or is making any express or implied representation or warranty with respect to such estimates, projections, forecasts, forward-looking statements or business plans unless any such information is expressly addressed or included in a representation or warranty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val="false"/>
          <w:i w:val="false"/>
          <w:caps w:val="false"/>
          <w:smallCaps w:val="false"/>
          <w:sz w:val="20"/>
        </w:rPr>
        <w:br/>
        <w:br/>
        <w:t>CERTAIN COVENANTS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Access and Investigation</w:t>
      </w:r>
      <w:r>
        <w:rPr>
          <w:rFonts w:ascii="Times New Roman;Times;serif" w:hAnsi="Times New Roman;Times;serif"/>
          <w:b w:val="false"/>
          <w:i w:val="false"/>
          <w:caps w:val="false"/>
          <w:smallCaps w:val="false"/>
          <w:sz w:val="20"/>
        </w:rPr>
        <w:t xml:space="preserve">. During the period from the Agreement Date until the earlier of the Offer Acceptance Time and the termination of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upon reasonable advance notice to the Company, the Company shall, and shall cause its Subsidiaries and its and their respective Representatives to, (a) provide Parent and Parent’s Representatives with reasonable access during normal business hours of the Company to the Acquired Companies’ officers, employees, other personnel, and assets and to all existing books and records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access shall be conducted at Parent’s sole expense, at a reasonable time, under the supervision of appropriate personnel of the Acquired Companies and in such a manner as not to unreasonably interfere with the normal operation of the business of the Company) and (b) furnish to Parent such financial and operating data and other information as Parent may reasonably request, but in the case of each of clauses (a) and (b), for any reasonable business purpose, including reasonable integration planning purposes. The immediately preceding sentence notwithstanding, nothing herein shall require the Company to disclose any information to Parent to the extent such disclosure would (x) jeopardize any attorney-client or other legal privilege or (y) contravene any applicable Law (including Antitrust Law) or any binding confidentiality agreement to which any Acquired Company is a party (so long as, in the case of each of clauses (x) and (y), the Company has reasonably cooperated with Parent to permit such inspection of or to disclose such information to the maximum extent possible in a manner that does not waive such privilege with respect thereto or contravene any applicable Law or any such confidentiality agreement, as applicable). Information disclosed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disclosed subject to execution of a joint defense agreement in customary form, and disclosure may be limited to external counsel for Parent, in each case to the extent the Company reasonably determines doing so is required for the purpose of complying with applicable Antitrust Laws. With respect to the information disclosed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Parent shall comply with, and shall instruct Parent’s Representatives to comply with, all of its obligations under the Confidentiality Agreement, dated as of August 10, 2026, by and between the Company and Parent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All requests for information made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directed to an executive officer of the Company or other Person designated by the Company in writing. Nothing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will be construed to require the Company or any of its Representatives to prepare any reports, analyses, appraisals, opinions or other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Operation of the Company’s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except (i) as expressly required under this Agreement or as required by any applicable Law, (ii) with the written consent of Parent (which consent shall not be unreasonably withheld, conditioned or delayed) or (iii) as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the Company Disclosure Schedule, the Company shall, and shall cause each of its Subsidiaries to, (A) conduct in all material respects its business and operations in the ordinary course of business consistent with past practice and (B) use its reasonable best efforts to preserve intact its current business organization, including by (1) maintaining and preserving its material assets and properties (including material Intellectual Property Rights) in their current condition, ordinary wear and tear excepted, and (2) maintaining its relations and goodwill with its employees and all suppliers, licensors, customers, Governmental Bodies and other Persons with whom it has material business relations (it being understood that no failure to take any action that is specifically prohibited by any provision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if the Company has requested Parent’s consent to take such action and Parent has denied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except (i) as expressly required under this Agreement or as required by any applicable Law, (ii) with the written consent of Parent (which consent shall not be unreasonably withheld, conditioned or delayed) or (iii) as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the Company Disclosure Schedule, the Company shall not, and shall cause each of its Subsidiaries not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permit the adoption of any amendment to its certificate of incorporation and bylaws or other organizational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authorize, establish a record date for, declare, accrue, set aside or pay any dividend or make any other distribution in respect of any shares of its capital stock (including the Company Common Stock) or (B) repurchase, redeem or otherwise reacquire any of its shares of capital stock (including any Company Common Stock), or any rights, warrants or options to acquire (or any instrument convertible into or exchangeable for) any shares of its capital stock, other than: (1) repurchases or reacquisitions in a manner consistent with past practice of Shares outstanding as of the Agreement Date pursuant to the Company’s obligation (under written commitments in effect as of the Agreement Date) to purchase or reacquire Shares held by a Company Associate only upon termination of such associate’s employment or engagement by the Company; (2) repurchases in a manner consistent with past practice of Company Stock Awards (or shares of capital stock issued upon the exercise or vesting thereof) outstanding on the Agreement Date (in cancellation thereof) pursuant to the terms of any such Company Stock Award (in effect as of the Agreement Date) between the Company and a Company Associate only upon termination of such Person’s employment or engagement by the Company; (3) in connection with withholding to satisfy the exercise price or Tax obligations with respect to Company Stock Awards; or (4) settlement or conversion of any of the Company Convertible Notes pursuant to the terms of the Indenture as in effect as of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split, combine, subdivide or reclassify any Shares or other equity interests;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issue, sell, grant, deliver, pledge, transfer, encumber or authorize the issuance, sale, grant, delivery, pledge, transfer or encumbrance (other than pursuant to agreements in effect as of the Agreement Date) of (A) any capital stock, equity interest or other security of any Acquired Company, (B) any subscription, option, call, warrant, restricted securities or right or obligation to acquire any capital stock, equity interest or other security of any Acquired Company, or (C) any instrument convertible into or exchangeable for any capital stock, equity interest or other security of any Acquired Company (except that (1) the Company may issue Shares as required to be issued upon the exercise of Company Options or the vesting of Company Stock Awards, in each case, outstanding on the Agreement Date, (2) the Company may issue Company Stock Awards (other than Company Options) to new employees who were offered Company Stock Awards as part of offer letters that were executed prior to the Agreement Date; and (3) the Company may issue Shares upon conversion of the Company Convertible Notes pursuant to the terms of the Indenture as in effect as of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6.2(b)(iv)</w:t>
      </w:r>
      <w:r>
        <w:rPr>
          <w:rFonts w:ascii="Times New Roman;Times;Serif" w:hAnsi="Times New Roman;Times;Serif"/>
          <w:b w:val="false"/>
          <w:i w:val="false"/>
          <w:caps w:val="false"/>
          <w:smallCaps w:val="false"/>
          <w:sz w:val="20"/>
        </w:rPr>
        <w:t xml:space="preserve"> or required by an Employee Plan in existence as of the Agreement Date, (A) establish, adopt, terminate or amend any Employee Plan, (B) amend or waive any of its rights under, or accelerate the time of payment or vesting under, any Employee Plan, (C) take any action to fund or in any other way secure the payment of compensation or benefits under any Employee Plan, (D) pay any amount or benefit under, or grant or promise to grant any compensation or benefits under, any Employee Plan (including the grant of any Company Stock Award, Company LTIP Award, Company Restricted Cash Award or other equity or equity-based awards or the removal or modification of any restrictions in any Employee Plan or awards made thereunder), or (E) provide for any increase in the compensation or benefits provided to any Company Associate or under any Employee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any Acquired Company may (1) amend any Employee Plans to the extent required by applicable Laws and (2) make annual or quarterly bonus or commission payments in the ordinary course of business consistent with past practice in accordance with the bonus or commission plans existing on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enter into (1) any change-of-control or retention agreement with any officer, employee, director or independent contractor or (2) any employment, severance or other material agreement with any officer or employee with an annual base salary greater than $200,000, (B) enter into any consulting agreement with an independent contractor involving annual compensation exceeding $200,000 or (C) hire or terminate (other than for cause) any employee with an annual base salary in excess of $200,000;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form any Subsidiary, (B) authorize or enter into agreements providing for any acquisitions of equity interest in or assets or properties of any other Entity or any business or division thereof, or (C) enter into any material joint venture, partnership, collaboration, profit-sharing or similar arrangements;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make or authorize any capital expenditure, except that any Acquired Company may make any capital expenditure (A) that is provided for in the Company’s capital expense budget delivered or made available to Parent prior to the Agreement Date, which expenditures shall be in accordance with the categories set forth in such budget, or (B) that, when added to all other capital expenditures made on behalf of the Acquired Companies since the Agreement Date but not provided for in the Company’s capital expense budget delivered or made available to Parent prior to the Agreement Date, does not exceed $500,000 in the aggregate during any fiscal quarter;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acquire, lease, sublease, license, sublicense, pledge, sell or otherwise dispose of, divest or spin-off, abandon, waive, relinquish or permit to lapse (other than any patent expiring at the end of its statutory term), transfer, assign, guarantee, mortgage or otherwise subject to any Encumbrance (other than Permitted Encumbrances), or grant any royalty, milestone or similar payments with respect to, any material right or other material asset or property of the Acquired Companies, except, in the case of any of the foregoing, pursuant to dispositions in the ordinary course of business consistent with past practice of obsolete, surplus or worn out assets that are no longer useful in the conduct of the business of the Acquired Companies;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lend money or make capital contributions or advances to or make investments in, any Person, or incur, guarantee or otherwise become liable or responsible for any Indebtedness, except for (A) short-term borrowings, of not more than $500,000 in the aggregate, incurred in the ordinary course of business consistent with past practice, (B) advances to employees and consultants for travel and other business related expenses in the ordinary course of business consistent with past practice, (C) intercompany loans and capital contributions among the Acquired Companies, or (D) sales commission advances made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make, change or revoke any material Tax election (other than in the ordinary course of business), adopt or change any material method of Tax accounting or change any Tax accounting period, file any material amended Tax Return, enter into any “closing agreement” within the meaning of Section 7121 of the Code (or any corresponding or similar provision of any state, local or non-U.S. Tax Law) with respect to any material Tax, consent to the extension or waiver of the statutory period of limitations applicable to any Tax claim or assessment (other than in connection with automatic extensions of the due date for filing a Tax Return), surrender a right to a material Tax refund or settle or compromise any material Tax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settle, release, waive or compromise any Legal Proceeding, other than settlements, releases, waivers or compromises of (A) any Legal Proceeding relating to a breach of this Agreement or (B) any Legal Proceeding (x) that results solely in an obligation involving only the payment of monies by the Acquired Companies of not more than $500,000 individually or $2,000,000 in the aggregate and does not impose any injunctive or other non-monetary relief on any Acquired Company, (y) does not involve the admission of wrongdoing by any of the Acquired Companies or any of their respective officers or directors and (z) does not provide for the exclusive license of any material Company 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enter into any collective bargaining agreement or other agreement with any labor organization (except to the extent required by applicable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adopt or implement any stockholder rights plan or similar arrangement;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adopt a plan or agreement of complete or partial liquidation or dissolution, merger, consolidation, restructuring, recapitalization or other reorganization;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make any material change in financial accounting policies, practices, principles, methods or procedures, other than as required by GAAP or Regulation S-X promulgated under the Exchange Act or other applicable rules and regulations of the SEC or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enter into any new line of business outside of the Acquired Companies’ existing businesses as of the Agreement Date, or materially change its operating policies;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fail in any material respect to maintain the Acquired Companies’ existing material insurance policies or comparable replacement policies;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terminate, allow to lapse or expire, suspend, modify or otherwise take any step to limit the effectiveness or validity of, or fail to maintain as valid and in full force and effect, any material Governmental Authorization;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other than as expressly required by the certificate of incorporation and bylaws and other charter and organizational documents of the Company or by applicable Law, convene any special meeting (or any adjournment or postponement thereof) of the stockholders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enter into financial swaps, futures or options involving an interest rate, foreign exchange or commodity, or issue or sell any debt securities or any rights to acquire debt securities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enter into, amend or modify in any material respect, waive any rights under, terminate, replace or release, allow to expire, fail to renew, settle or compromise any material claim, liability or obligation under, any Material Contract outside of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make any material change in or to the regular price, credit or distribution policies of the Company Product outside of the ordinary course of business consistent with past practice, or engage in any other activity or practice not consistent with past practice, that would reasonably be considered “channel stuffing”, “trade loading” or that reasonably would be expected to result in an increase, temporary or otherwise, in the demand for inventories of the Company Product but not the use of such inventory;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grant to any Person any exclusive right to distribute or commercialize any Company Product in any geographic area or territory;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sublease or license any portion of any Leased Real Property or assign any interest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any new Contract related to, or otherwise commit to undertake, any clinical trials;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implement, commence or effect any (A) transfer of manufacturing, production, packaging, labeling, testing or other material operations with respect to any Company Product to any other facility or site (or termination of any such activities at any existing facility or site) or (B) transfer, conversion, migration or replacement of any Acquired Company’s enterprise resource planning systems;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grant to any Person any material refund, credit, discount, rebate or allowance with respect to any Company Product outside of the ordinary course of business consistent with past practice;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any of, or agree or commit to take, any of the actions described in clauses (i) through (xxviii) of this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(i) nothing contained herein shall give to Parent or Purchaser, directly or indirectly, rights to control or direct the operations of the Company and (ii) the Company shall exercise, consistent with the terms and conditions hereof, complete control and supervision of its and its Subsidiaries’ respective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No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permitted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during the Pre-Closing Period, the Company shall not, and shall cause its Subsidiaries and its and their respective Representatives not to, directly or indirectly, (i) solicit, initiate, seek or knowingly facilitate, assist or encourage (including by way of furnishing non-public information) the making of an Acquisition Proposal or any inquiry, proposal or offer that would reasonably be expected to lead to an Acquisition Proposal, (ii) engage in or otherwise participate in any discussions (except to notify a Person that makes any inquiry, proposal or offer with respect to an Acquisition Proposal of the existence of the provisions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negotiations regarding, or furnish to any other Person (other than Parent and its Affiliates and its and their Representatives) any non-public information relating to, or provide access to the business, properties, assets, books, records or personnel of, any of the Acquired Companies, in any such case in connection with or for the purpose of soliciting, initiating, seeking, knowingly facilitating, assisting or encouraging, an Acquisition Proposal, or any inquiry, proposal or offer that would reasonably be expected to lead to an Acquisition Proposal, (iii) adopt, approve or enter into any letter of intent, acquisition agreement, agreement in principle or other Contract with respect to an Acquisition Proposal, (iv) waive or release any Person from, or fail to use reasonable best efforts to enforce, any standstill agreement or any standstill provisions of any Contract entered into in respect of an Acquisition Proposal or any inquiry, proposal or offer that would reasonably be expected to lead to an Acquisition Proposal or (v) resolve or agree to do any of the foregoing. For the avoidance of doubt, the Company Board may take, or omit to take, any of the actions contemplated by clause (iv)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in the event that the Company determines in good faith, after consultation with the Company’s financial advisors and outside legal counsel, that the failure to do so would reasonably be likely to be inconsistent with the fiduciary duties of the Company Board under applicable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promptly (and in any event within twenty-four (24) hours) notifies Parent in writing of any such waiver or release. Immediately following the execution and delivery of this Agreement, the Company shall, and shall cause its Subsidiaries and its and their Representatives to, (A) cease and cause to be terminated any solicitation and any and all existing discussions, negotiations or communications with any Person (other than Parent and its Affiliates and its and their Representatives) conducted heretofore with respect to, or which would reasonably be expected to lead to, any Acquisition Proposal, and (B) terminate access by any Person (other than Parent, Purchaser, the Company or any of their respective Affiliates or Representatives) to any physical or electronic data room relating to any potential Acquisition Proposal. Promptly following the execution and delivery of this Agreement (and in any event within 24 hours thereafter), the Company shall, and shall cause its Subsidiaries and its and their respective Representatives to, request, in writing, the return or destruction of all confidential information previously furnished or made available to any Person (other than Parent and its Affiliates and its and their Representatives). For the avoidance of doubt, any violation of the restrictions set forth in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by any Subsidiary of the Company or any Representative of any Acquired Company shall be deemed to be a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limitations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if at any time on or after the Agreement Date and prior to the Offer Acceptance Time, the Company or any of its Representatives receives an unsolicited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written Acquisition Proposal from any Person or group of Persons, which Acquisition Proposal was made on or after the Agreement Date and did not result from or arise out of any breach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if the Company Board determines in good faith, after consultation with the Company’s financial advisors and outside legal counsel, that (i) such Acquisition Proposal constitutes or would reasonably be expected to lead to a Superior Offer (and the Company provides Parent with written notice of this determination) and (ii) the failure to take the actions referred to in clause (A) or (B) below would reasonably be expected to be inconsistent with the fiduciary duties of the Company Board under applicable Law, then the Company and its Representatives may (A) furnish, pursuant to (but only pursuant to) an Acceptable Confidentiality Agreement, information (including non-public information) with respect to the Company to the Person or group of Persons who has made such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substantially concurrently provide or make available to Parent any information concerning the Company that is provided to any Person given such access which was not previously provided to Parent or its Representatives and (B) engage in or otherwise participate in discussions or negotiations with the Person or group of Persons making such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Agreement Date, the Company shall (i) promptly (and in any event within 24 hours after receipt thereof) notify Parent of any inquiry, proposal or offer with respect to, or that would reasonably be expected to lead to, an Acquisition Proposal, or any request for information concerning the Company from any Person or group who have made, or would reasonably be expected to make, an Acquisition Proposal, in each case, which are received by the Company or any of its Representatives, including the identity of the Person or group of Persons making such Acquisition Proposal, request, inquiry, proposal or offer, (ii) provide to Parent a summary of the available material terms and conditions and, solely to the extent actually in the Company’s or the Company’s Representatives’ possession or control, copies of any such Acquisition Proposal or any such inquiry, proposal or offer, including complete copies of any written agreements and financing documentation relating to any such Acquisition Proposal or any such inquiry, proposal or offer (and any other documentation or written or electronic materials submitted, received, shared or otherwise exchanged in respect thereof), (iii) keep Parent reasonably informed of any material developments, discussions or negotiations (including any amendments or proposed amendments to any material terms or conditions) regarding any such Acquisition Proposal or any such inquiry, proposal or offer on a prompt and timely basis, and (iv) upon the written request of Parent, reasonably inform Parent of the status and material terms (including any price or similar economic terms) of any such Acquisition Proposal or any such inquiry, proposal or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Agreement, including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shall restrict the Company from (i) taking and disclosing to the stockholders of the Company a position contemplated by Rule 14e-2(a), Rule 14d-9 or Item 1012(a) of Regulation M-A promulgated under the Exchange Act, (ii) making any “stop, look and listen” communication pursuant to Rule 14d-9(f) promulgated under the Exchange Act or (iii) making any legally required disclosure to the stockholders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such disclosure, to the extent related to an Acquisition Proposal, includes an express reaffirmation of the Company Board Recommendation), and none of the foregoing actions shall be deemed to constitute a Company Adverse Change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7</w:t>
      </w:r>
      <w:r>
        <w:rPr>
          <w:rFonts w:ascii="Times New Roman;Times;Serif" w:hAnsi="Times New Roman;Times;Serif"/>
          <w:b w:val="false"/>
          <w:i w:val="false"/>
          <w:caps w:val="false"/>
          <w:smallCaps w:val="false"/>
          <w:sz w:val="20"/>
        </w:rPr>
        <w:br/>
        <w:br/>
        <w:t>ADDITIONAL COVENANTS OF THE PARTIES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Company 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the Company hereby consents to the inclusion of a description of the Company Board Recommendation in the Offer Documents. During the Pre-Closing Period, neither the Company Board nor any committee thereof shall (i)(A) withdraw or withhold (or modify, change or qualify in a manner adverse to Parent or Purchaser), or publicly propose to withdraw or withhold (or modify, change or qualify in a manner adverse to Parent or Purchaser), the Company Board Recommendation or (B) fail to include the Company Board Recommendation in the Schedule 14D-9 when mailed, (C) adopt, approve, recommend or declare advisable, or publicly propose to adopt, approve, recommend or declare advisable, any Acquisition Proposal, (D) approve, recommend or enter into, or propose publicly to approve, recommend or enter into, any letter of intent, acquisition agreement, agreement in principle or other Contract relating to or providing for any Acquisition Proposal, (E) fail to publicly reaffirm the Company Board Recommendation within five (5) Business Days of Parent’s written request to do so following the public announcement of any Acquisition Proposal (or any material amendment to any Acquisition Proposal), (F) in the case of a tender offer or exchange offer subject to Regulation 14D under the Exchange Act, fail to recommend, in a Solicitation/Recommendation Statement on Schedule 14D-9, rejection of such tender offer or exchange offer within ten (10) Business Days of the commencement of such tender offer or exchange offer or (G) resolve or agree to do any of the foregoing (any action described in this clause (i) being referred to as a “</w:t>
      </w:r>
      <w:r>
        <w:rPr>
          <w:rFonts w:ascii="Times New Roman;Times;Serif" w:hAnsi="Times New Roman;Times;Serif"/>
          <w:b w:val="false"/>
          <w:i w:val="false"/>
          <w:caps w:val="false"/>
          <w:smallCaps w:val="false"/>
          <w:sz w:val="20"/>
          <w:u w:val="single"/>
        </w:rPr>
        <w:t>Company Adverse Change Recommendation</w:t>
      </w:r>
      <w:r>
        <w:rPr>
          <w:rFonts w:ascii="Times New Roman;Times;Serif" w:hAnsi="Times New Roman;Times;Serif"/>
          <w:b w:val="false"/>
          <w:i w:val="false"/>
          <w:caps w:val="false"/>
          <w:smallCaps w:val="false"/>
          <w:sz w:val="20"/>
        </w:rPr>
        <w:t>”) or (ii) adopt, approve, recommend or declare advisable, or propose to adopt, approve, recommend or declare advisable, enter into or allow any Acquired Company to execute or enter into any Contract (A) with respect to any Acquisition Proposal or (B) requiring, or that would reasonably be expected to cause, the Company to abandon, materially delay, terminate or fail to consummate the Transactions (other than an Acceptable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in this Agreement, at any time prior to accepting for payment such number of Shares validly tendered and not validly withdrawn pursuant to the Offer as satisfies the Minimum Condition (the “</w:t>
      </w:r>
      <w:r>
        <w:rPr>
          <w:rFonts w:ascii="Times New Roman;Times;Serif" w:hAnsi="Times New Roman;Times;Serif"/>
          <w:b w:val="false"/>
          <w:i w:val="false"/>
          <w:caps w:val="false"/>
          <w:smallCaps w:val="false"/>
          <w:sz w:val="20"/>
          <w:u w:val="single"/>
        </w:rPr>
        <w:t>Offer Acceptance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(which Acquisition Proposal did not result from or arise out of a breach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from any Person that has not been withdrawn and, after consultation with the Company’s financial advisors and outside legal counsel, the Company Board shall have determined in good faith that such Acquisition Proposal is a Superior Offer, (x) the Company Board may make a Company Adverse Change Recommendation, or (y) the Company may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to enter into a Specified Agreement with respect to such Superior Offer, in each case, if and only if: (A) the Company Board determines in good faith, after consultation with the Company’s financial advisors and outside legal counsel, that the failure to do so would reasonably be expected to be inconsistent with the fiduciary duties of the Company Board under applicable Law; (B) the Company shall have given Parent prior written notice of its intention to consider making a Company Adverse Change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at least four (4) Business Days prior to making any such Company Adverse Change Recommendation or termination (a “</w:t>
      </w:r>
      <w:r>
        <w:rPr>
          <w:rFonts w:ascii="Times New Roman;Times;Serif" w:hAnsi="Times New Roman;Times;Serif"/>
          <w:b w:val="false"/>
          <w:i w:val="false"/>
          <w:caps w:val="false"/>
          <w:smallCaps w:val="false"/>
          <w:sz w:val="20"/>
          <w:u w:val="single"/>
        </w:rPr>
        <w:t>Determination Notice</w:t>
      </w:r>
      <w:r>
        <w:rPr>
          <w:rFonts w:ascii="Times New Roman;Times;Serif" w:hAnsi="Times New Roman;Times;Serif"/>
          <w:b w:val="false"/>
          <w:i w:val="false"/>
          <w:caps w:val="false"/>
          <w:smallCaps w:val="false"/>
          <w:sz w:val="20"/>
        </w:rPr>
        <w:t xml:space="preserve">”) (which notice shall not constitute a Company Adverse Change Recommendation); and (C)(1) the Company shall have provided to Parent all the material terms and conditions of the Acquisition Proposal and all other information to be provided in accordance with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including copies of the definitive agreements and other applicable transaction documentation (including financing documentation) relating to such Acquisition Proposal, (2) the Company shall have given Parent four (4) Business Days after Parent’s receipt of the Determination Notice to propose revisions to the terms of this Agreement or make another proposal, so that such Acquisition Proposal would cease to constitute a Superior Offer, and, to the extent requested by Parent, shall have negotiated in good faith with Parent and its Representatives with respect to such proposed revisions or other proposal, if any, and (3) at the end of such four (4) Business Day period, after consultation with the Company’s financial advisors and outside legal counsel, the Company Board shall have determined in good faith, taking into account any revisions to the terms of this Agreement or other proposal made by Parent, that such Acquisition Proposal continues to constitute a Superior Offer and that the failure to make the Company Adverse Change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would continue to reasonably be expected to be inconsistent with the fiduciary duties of the Company Board under applicable Law. With respect to </w:t>
      </w:r>
      <w:r>
        <w:rPr>
          <w:rFonts w:ascii="Times New Roman;Times;Serif" w:hAnsi="Times New Roman;Times;Serif"/>
          <w:b w:val="false"/>
          <w:i w:val="false"/>
          <w:caps w:val="false"/>
          <w:smallCaps w:val="false"/>
          <w:sz w:val="20"/>
          <w:u w:val="single"/>
        </w:rPr>
        <w:t>Section 7.1(b)(i)(C)</w:t>
      </w:r>
      <w:r>
        <w:rPr>
          <w:rFonts w:ascii="Times New Roman;Times;Serif" w:hAnsi="Times New Roman;Times;Serif"/>
          <w:b w:val="false"/>
          <w:i w:val="false"/>
          <w:caps w:val="false"/>
          <w:smallCaps w:val="false"/>
          <w:sz w:val="20"/>
        </w:rPr>
        <w:t xml:space="preserve">, if there are any material amendments, revisions or changes to the terms of any such Superior Offer, the Company shall notify Parent of each such material amendment, revision or change, and the then-remaining portion of such four (4) Business Day period shall be extended by two (2) Business Days from the time that Parent receives such notification;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if no portion of such four (4) Business Day period remains, a new three (3) Business Day period shall commence as a result of any such material amendment, revision or 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financial advisors and outside legal counsel, that the failure to do so would reasonably be expected to be inconsistent with the fiduciary duties of the Company Board under applicable Law; (B) the Company shall have given Parent a Determination Notice at least four (4) Business Days prior to making any such Company Adverse Change Recommendation; and (C)(1) the Company shall have specified the Change in Circumstance in reasonable detail, (2) Parent shall have four (4) Business Days after the Determination Notice to propose revisions to the terms of this Agreement or make another proposal so that such Change in Circumstance would no longer necessitate a Company Adverse Change Recommendation, and, to the extent requested by Parent, shall have negotiated in good faith with Parent with respect to such proposed revisions or other proposal, if any, and (3) at the end of such four (4) Business Day period, the Company Board, after consultation with the Company’s financial advisors and outside legal counsel, taking into account the amendments proposed to this Agreement and the Transactions by Parent, if any, shall have determined in good faith that the failure to make the Company Adverse Change Recommendation in response to such Change in Circumstance would reasonably be expected to be inconsistent with the fiduciary duties of the Company Board under applicable Law. With respect to </w:t>
      </w:r>
      <w:r>
        <w:rPr>
          <w:rFonts w:ascii="Times New Roman;Times;Serif" w:hAnsi="Times New Roman;Times;Serif"/>
          <w:b w:val="false"/>
          <w:i w:val="false"/>
          <w:caps w:val="false"/>
          <w:smallCaps w:val="false"/>
          <w:sz w:val="20"/>
          <w:u w:val="single"/>
        </w:rPr>
        <w:t>Section 7.1(b)(ii)(C)</w:t>
      </w:r>
      <w:r>
        <w:rPr>
          <w:rFonts w:ascii="Times New Roman;Times;Serif" w:hAnsi="Times New Roman;Times;Serif"/>
          <w:b w:val="false"/>
          <w:i w:val="false"/>
          <w:caps w:val="false"/>
          <w:smallCaps w:val="false"/>
          <w:sz w:val="20"/>
        </w:rPr>
        <w:t>, if there are any material changes to the facts and circumstances relating to such Change in Circumstance, the Company shall notify Parent of each such material change and the applicable four (4) Business Day period shall be extended until at least three (3) Business Days after the time that Parent receives notification from the Company of each such material 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in this Agreement, each of the Parties shall use its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to consummate and make effective the Transactions as soon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an action or proceeding by, any Governmental Body in connection with any Antitrust Law; (ii) the obtaining of all necessary consents, authorizations, approvals or waivers from third parties; and (iii) the execution and delivery of any additional instruments necessary to consummate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way of illustration and not limitation, the Parties agree to promptly take, and cause their Affiliates to take, all actions and steps requested or required by any Governmental Body as a condition to granting any consent, permit, authorization, waiver, clearance or approval, and to cause the prompt expiration or termination of any applicable waiting period and to resolve objections, if any, of the FTC or DOJ, or other Governmental Bodies of any other jurisdiction for which consents, permits, authorizations, waivers, clearances, approvals and expirations or terminations of waiting periods are sought with respect to the Transactions, so as to obtain such consents, permits, authorizations, waivers, clearances, approvals or expiration or termination of the waiting period under the HSR Act or other Antitrust Laws, and to avoid the commencement of a lawsuit by the FTC, the DOJ or other Governmental Bodies under Antitrust Laws, and to avoid the entry of, or to effect the dissolution of, any Order in any Legal Proceeding that would otherwise have the effect of preventing the Closing or materially delaying the Offer Acceptance Time or the Closing or delaying the Offer Acceptance Time beyond the Expiration Date, including (i) negotiating, committing to and effecting, by consent decree, hold separate order or otherwise, the sale, lease, license, divestiture or disposition of any assets, rights, product lines, or businesses of the Company, Parent or any of their respective Subsidiaries, (ii) terminating existing relationships, contractual rights or obligations of the Company, Parent or any of their respective Subsidiaries, (iii) terminating any venture or other arrangement, (iv) creating any relationship, contractual rights or obligations of the Company, Parent or any of their respective Subsidiaries, (v) effectuating any other change or restructuring of the Company, Parent or any of their respective Subsidiaries and (vi) otherwise taking or committing to take any actions with respect to the businesses, product lines or assets of the Company, Parent or any of their respective Subsidiaries (any of the foregoing clauses (i) through (vi),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nothing in this Agreement (including this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shall require Parent or its Affiliates to take or agree to take any Remedial Action that (A) would require the sale, lease, license, divestiture or disposition of, or the holding separate of, any product, product candidate, therapy or medical device set forth on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of the Company Disclosure Schedule or any material rights relating thereto, (B) would be material to the business of Parent and its Affiliates (including the Acquired Companies), taken as a whole, measured relative to the size and scale of the Acquired Companies, taken as a whole, as of the Agreement Date, or (C) would reasonably be expected to result in a material impairment to the overall benefits expected to be realized by Parent from the consummation of the Transactions (any such requirement in clauses (A), (B) or (C), a “</w:t>
      </w:r>
      <w:r>
        <w:rPr>
          <w:rFonts w:ascii="Times New Roman;Times;Serif" w:hAnsi="Times New Roman;Times;Serif"/>
          <w:b w:val="false"/>
          <w:i w:val="false"/>
          <w:caps w:val="false"/>
          <w:smallCaps w:val="false"/>
          <w:sz w:val="20"/>
          <w:u w:val="single"/>
        </w:rPr>
        <w:t>Burdensome Condition</w:t>
      </w:r>
      <w:r>
        <w:rPr>
          <w:rFonts w:ascii="Times New Roman;Times;Serif" w:hAnsi="Times New Roman;Times;Serif"/>
          <w:b w:val="false"/>
          <w:i w:val="false"/>
          <w:caps w:val="false"/>
          <w:smallCaps w:val="false"/>
          <w:sz w:val="20"/>
        </w:rPr>
        <w:t xml:space="preserve">”). Nothing in this Agreement shall require any Party or its Affiliates to take or commit to take any Remedial Action unless such Remedial Action is conditioned on the occurrence of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so requested by Parent, the Company shall agree to take any Remedial Action that is conditioned upon the occurrence of the Closing. The Company shall not, and shall cause its Subsidiaries not to, agree or proffer to take any Remedial Action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this Agreement, each of the Parties shall (and shall cause their respective Affiliates, if applicable, to): (i) promptly, but in no event later than fifteen (15) Business Days after the Agreement Date unless otherwise agreed to in writing by Parent and the Company, make an appropriate filing of all Notification and Report forms as required by the HSR Act and applicable state Antitrust Laws with respect to the Transactions and (ii) cooperate with each other in determining whether, and promptly preparing and making, any other filings or notifications or other consents required to be made with, or obtained from, any other Governmental Bodies in connection with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the generality of anything contained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during the Pre-Closing Period, if Parent and the Company disagree with respect to strategy, Parent shall have the right to direct and control all strategy in connection with obtaining any consents, permits, authorizations, waivers, clearances, approvals or expiration or termination of the waiting period under the HSR Act or other Antitrust Law, including in any Legal Proceeding initiated by any Governmental Body seeking any Order which would have the effect of preventing or delaying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Parent nor the Company shall enter into, amend or extend any timing agreement with any Governmental Body in connection with the Transactions without the prior written consent of the other Party (not to be unreasonably withheld, conditioned or delayed). Subject to the immediately preceding sentence, each of the Company and Parent (on its and Purchaser’s behalf) shall use its reasonable best efforts to (i) reasonably cooperate in all respects and consult with each other in connection with any filing or submission in connection with any investigation or other inquiry, including allowing the other Party to have a reasonable opportunity to review in advance and comment on drafts of filings and submissions and providing the other Party with any information that may be necessary to prepare any such filings and submissions, (ii) give the other Party prompt notice of the making or commencement of any request, inquiry, investigation, action or Legal Proceeding brought by a Governmental Body or brought by a third party before any Governmental Body, in each case, with respect to the Transactions, (iii) keep the other Party promptly informed as to the status of any such request, inquiry, investigation, action or Legal Proceeding, (iv) promptly inform the other Party of any communication to or from the FTC, DOJ or any other Governmental Body in connection with any such request, inquiry, investigation, action or Legal Proceeding, (v) promptly furnish to the other Party copies of documents provided to or received from any Governmental Body in connection with any such request, inquiry, investigation, action or Legal Proceeding, (vi) consult in advance and cooperate with the other Party and consider in good faith the views of the other Party in connection with any substantive communication, analysis, appearance, presentation, memorandum, brief, argument, opinion or proposal to be made or submitted in connection with any such request, inquiry, investigation, action, filing or Legal Proceeding, and (vii) except as may be prohibited by any Governmental Body or by any Law, in connection with any such request, inquiry, investigation, action or Legal Proceeding in respect of the Transactions, provide advance notice of and permit authorized Representatives of the other Party to be present at each meeting or conference, including any virtual, video or telephonic meetings and discussions, relating to such request, inquiry, investigation, action or Legal Proceeding and have access to and be consulted in advance in connection with any argument, opinion or proposal to be made or submitted to any Governmental Body in connection with such request, inquiry, investigation, action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materials required to be provided pursuant to this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 xml:space="preserve"> may be redacted (A) to remove references concerning the valuation of the Company or any of its Subsidiaries or assets, (B) as necessary to comply with contractual arrangements, and (C) as necessary to address reasonable privilege concerns. Each Party shall supply as promptly as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received by any Party or any of their respective Subsidiaries from any Governmental Body in connection with such applications or filings for the transactions contemplated by this Agreement. All filing fees under the HSR Act and for any filings required under applicable state or foreign Antitrust Laws shall be borne 50% by Parent and 50%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Purchaser and Parent shall not, before the Closing, permit any of their Subsidiaries to, directly or indirectly, acquire or agree to acquire any assets, business or equity of, whether by merger, consolidation, purchasing the assets of or equity in, or licensing of the assets of, any Person, which would result in Parent owning, directly or indirectly, any product or product candidate that competes with any Company Product, in each case, if the entering into of an agreement relating to or the consummation of such acquisition would, or would reasonably be expected to, prevent or materially delay or materially impair the ability of the Parties to obtain the expiration or termination of any waiting period applicable to the Transactions under the HSR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Continuing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agrees that from and after the Effective Time, Parent shall assume and honor, or cause to be assumed and honored, (a) all severance and employment agreements or arrangements for all Continuing Employees, in each case, in accordance with their terms as in effect immediately prior to the Effective Time and (b) any amendments to the terms of the 2026 Corporate Annual Bonus Program and Q4 2026 Incentive Compensation Plans and any determinations made by the Company Board (or any authorized committee thereof) thereunder prior to the Closing in accordance with Section 6.2 of the Company Disclosure Schedule. For a period of one (1) year following the Effective Time, Parent shall provide, or cause to be provided, to each Continuing Employee (i) base salary (or base wages, as the case may be) and short-term cash incentive compensation opportunities (including annual bonuses and commission opportunities, but excluding long-term cash incentive opportunities) that are no less favorable than the base salary (or base wages, as the case may be) and short-term cash incentive compensation opportunities provided to such Continuing Employee by the Acquired Companies immediately prior to the Agreement Date and (ii) other employee benefits (including severance benefits and other health and welfare benefits, but excluding any equity or equity-based compensation, nonqualified deferred compensation or change of control, transaction or retention awards) that are substantially comparable in the aggregate to the benefits (including severance benefits and other health and welfare benefits) provided to such Continuing Employee by the Acquired Companies immediately prior to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and Affiliates (including the Surviving Corporation) will treat, and cause each benefit plan, program, practice, policy and arrangement maintained by Parent or any of its Subsidiaries or Affiliates (including the Surviving Corporation) following the Closing and in which any Continuing Employee (or the spouse, domestic partner or any dependent of any Continuing Employee) participates or is eligible to participate (each, a “</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to treat, for all purposes, including determining eligibility to participate, vesting, and benefit accrual and level of benefits (but not for purposes of benefit accruals under a Parent Plan that is a defined benefit plan within the meaning of Section 3(35) of ERISA), all service with the Acquired Companies and their Affiliates as service with Parent and its Subsidiaries and Affiliates (or predecessor employers to the extent that any Acquired Company, any of its Affiliates, or any Employee Plan provides past service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service need not be taken into account to the extent it would result in duplication of benefits or compensation or was not taken into account for such purposes under the corresponding Employee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its Subsidiaries and Affiliates (including the Surviving Corporation) will use reasonable best efforts to cause each Parent Plan that is a welfare plan, within the meaning of Section 3(1) of ERISA, (i) to waive any and all eligibility waiting periods, actively-at-work requirements, evidence of insurability requirements, pre-existing condition limitations and other exclusions and limitations with respect to the Continuing Employees and their spouses, domestic partners and dependents to the extent waived, satisfied or not applicable under the corresponding Employee Plan, and (ii) to recognize for each Continuing Employee for purposes of applying annual deductible, co-payment and out-of-pocket maximums under such Parent Plan any deductible, co-payment and out-of-pocket expenses paid by such Continuing Employee and his or her spouse, domestic partner and dependents under the corresponding Employee Plan during the plan year of such Employee Plan in which occurs the later of the Effective Time and the date on which such Continuing Employee begins participating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any accrued but unused personal, sick or vacation time to which any Continuing Employee is entitled pursuant to the personal, sick or vacation policies applicable to such Continuing Employee immediately prior to the Effective Time, Parent shall, or shall cause the Surviving Corporation to and instruct its Affiliates to, as applicable (and without duplication of benefits), assume the liability for such accrued personal, sick or vacation time and allow such Continuing Employee to use such accrued personal, sick or vacation time in accordance with the practice and policies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Unless otherwise requested in writing by Parent no later than fifteen (15) days prior to the Effective Time, the Company Board (or the appropriate committee thereof) shall adopt resolutions (the form and substance of which shall be subject to reasonable review and comment by Parent) terminating any Employee Plan qualified under Section 401(a) of the Code and containing a Section 401(k) cash or deferred arrangement, such termination to be effective as of the day prior to the Effective Time and contingent upon the occurrence of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remain obligated to make true-up matching contributions for the plan year in which such Employee Plan terminates. The Company shall provide to Parent, prior to the Effective Time, a copy of such resolutions as adopted. If such Employee Plan is terminated, the Continuing Employees shall be eligible to participate, effective as soon as reasonably practicable (and, in any event, within thirty (30) days) following the Effective Time, in a 401(k) plan sponsored or maintained by Parent or one of its Subsidiaries (a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The Company and Parent shall take any and all actions as may be required, including amendments to the Parent 401(k) Plan, to permit the Continuing Employees who are then actively employed to make rollover contributions to the Parent 401(k) Plan of “eligible rollover distributions” (within the meaning of Section 401(a)(31) of the Code and specifically including any outstanding participant loans) in the form of cash, notes (in the case of loans) or a combination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are solely for the benefit of the Parties to this Agreement, and no provision of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is intended to, or shall, constitute the establishment or adoption of, or an amendment to, or limit the Acquired Companies’ ability to amend or terminate any employee benefit plan for purposes of ERISA or otherwise and no current or former employee, independent contractor or any other individual associated therewith shall be regarded for any purpose as a third-party beneficiary of this Agreement or have the right to enforce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Indemnification of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rights to indemnification, advancement of expenses and exculpation by the Company existing in favor of those Persons who are directors and officers of the Company or any of its Subsidiaries as of the Agreement Date or have been directors and officers of the Company or any of its Subsidiaries in the past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xml:space="preserve">”) for their acts and omissions occurring prior to the Effective Time, as provided in the certificate of incorporation and bylaws of the Company (in each case, as in effect as of the Agreement Date) and as provided in the indemnification agreements between the Company or any of its Subsidiaries and said Indemnified Persons in the forms made available by the Company to Parent or Parent’s Representatives prior to the Agreement Date, shall survive the Merger and shall not be amended, repealed or otherwise modified in any manner that would adversely affect the rights thereunder of such Indemnified Persons, and Parent shall cause the Surviving Corporation and its successors and assigns to maintain and comply with such rights to the fullest extent available under Delaware Law for a period of six (6) years from the Effective Time, and any claim made pursuant to such rights within such six (6)-year period shall continue to be subject to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and the rights provided under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until disposition of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Effective Time until the sixth (6th) anniversary of the date on which the Effective Time occurs, the Surviving Corporation (together with its successors and assigns, the “</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xml:space="preserve">”) shall, and Parent shall cause the Surviving Corporation to, to the fullest extent permitted under applicable Laws, indemnify and hold harmless each Indemnified Person in his or her capacity as an officer or director of the Company against all losses, claims, damages, liabilities, fees, expenses, judgments or fines incurred by such Indemnified Person as an officer or director of the Company in connection with any pending or threatened Legal Proceeding based on or arising out of,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sixth (6th) anniversary of the date on which the Effective Time occurs, the Indemnifying Parties shall also, to the fullest extent permitted under applicable Laws,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the Effective Time until the sixth (6th) anniversary of the Effective Time, the Surviving Corporation shall maintain, and Parent shall cause the Surviving Corporation to maintain, in effect, directors’ and officers’ liability insurance, providing coverage no less favorable to the insureds than the policy maintained by the Company as of the Agreement Date for the benefit of the Indemnified Persons who are currently covered by such existing policy with respect to their acts and omissions occurring prior to the Effective Time in their capacities as directors and officers of the Company (as applicable), including terms with respect to coverage, deductibles (or retentions) and amounts no less favorable than the current policy;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or prior to the Effective Time, the Company shall (through a nationally recognized insurance broker approved by Parent (such approval not to be unreasonably withheld, conditioned or delayed)) purchase a six (6)-year “tail” policy for the existing policy effective as of the Effective Time and such “tail policy” shall be deemed to satisfy all obligations to obtain or maintain insurance pursuant to this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no event shall the Company be required to expend aggregate premiums in excess of 300% of the annual premium currently payable by the Company with respect to such current policy, it being understood that if the aggregate premiums payable for such insurance coverage exceed such amount, the Company shall obtain a policy with the greatest coverage available for a cost equal to such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the Surviving Corporation or any of its successors or assigns (i) consolidates with or merges into any other Person and shall not be the continuing or surviving Entity of such consolidation or merger or (ii) transfers all or substantially all of its properties and assets to any Person, then, and in each such case, proper provision shall be made to ensure that the successors and assigns of the Surviving Corporation assume the obligations set forth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survive the acceptance of Shares for payment pursuant to the Offer and the consummation of the Merger and are (i) intended to be for the benefit of, and shall be enforceable by, each of the Indemnified Persons and their successors, assigns and heirs and (ii) in addition to, and not in substitution for, any other rights to indemnification or contribution that any such Person may have by contract or otherwise.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may not be amended, altered or repealed after the Offer Acceptance Time in such a manner as to adversely affect the rights of any Indemnified Person or any of their successors, assigns or heirs without the prior written consent of the affected Indemnified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Securityholder Litigation</w:t>
      </w:r>
      <w:r>
        <w:rPr>
          <w:rFonts w:ascii="Times New Roman;Times;serif" w:hAnsi="Times New Roman;Times;serif"/>
          <w:b w:val="false"/>
          <w:i w:val="false"/>
          <w:caps w:val="false"/>
          <w:smallCaps w:val="false"/>
          <w:sz w:val="20"/>
        </w:rPr>
        <w:t>. The Company shall promptly notify Parent of any Legal Proceeding commenced against any Acquired Company or its directors or officers relating to the Transactions. The Company shall give Parent (a) the opportunity to participate (at Parent’s expense) in the defense of such Legal Proceeding, (b) the right to review and comment on all material filings or responses to be made by the Company in connection with such Legal Proceeding, and (c) the right to consult on any proposed settlement with respect to such Legal Proceeding, and the Company shall in good faith take such comments and consultation into account. No such settlement shall be agreed to without Parent’s prior written consent (such consent not to be unreasonably withheld, conditioned or delayed) and no Acquired Company shall waive, release or assign any material claims or rights in connection with any such Legal Proceeding. The Company will keep Parent reasonably informed on a prompt and timely basis with respect to the status of and developments with respect to any such Legal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Without limitation or contravention of the provisions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and subject to the terms and conditions of this Agreement, Parent and the Company shall use their respective reasonable best efforts to take, or cause to be taken, all actions necessary to consummate the Offer and the Merger and make effective the other Transactions. Without limiting the generality of the foregoing, subject to the terms and conditions of this Agreement, each Party will use its reasonable best efforts to (a) make all filings (if any) and give all notices (if any) required to be made and given by such Party pursuant to any Material Contract in connection with the Offer and the Merger and the other Transactions, (b) seek each Consent (if any) required to be obtained pursuant to any Material Contract by such Party in connection with the Transactions to the extent requested in writing by Parent and (c) seek to lift any restraint, injunction or other legal bar to the Offer, the Merger or the other Transactions brought by any third party against such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Public Announcements; Disclosure</w:t>
      </w:r>
      <w:r>
        <w:rPr>
          <w:rFonts w:ascii="Times New Roman;Times;serif" w:hAnsi="Times New Roman;Times;serif"/>
          <w:b w:val="false"/>
          <w:i w:val="false"/>
          <w:caps w:val="false"/>
          <w:smallCaps w:val="false"/>
          <w:sz w:val="20"/>
        </w:rPr>
        <w:t xml:space="preserve">. The initial press release relating to this Agreement shall be a joint press release issued by the Company and Parent, and thereafter, Parent and the Company shall consult with each other before issuing any further press release(s) or otherwise making any public statement (to the extent not previously issued or made in accordance with this Agreement) with respect to the Offer, the Merger, this Agreement or any of the other Transactions and shall not issue any such press release or public statement without the other Party’s written consent (which shall not be unreasonably withheld, conditioned or delayed). Notwithstanding the foregoing: (a) each Party may, without such consultation or consent, make any public statement in communications with, or in response to questions from, the press, analysts, investors or those attending industry conferences, so long as such statements are consistent with previous press releases, public disclosures or public statements made jointly by the Parties (or individually, if approved by the other Party); (b) subject to any other applicable terms of this Agreement, each Party may make any disclosures, without the other Party’s prior written consent (but with prior notice), in the Company SEC Documents or in Parent’s filings pursuant to the Exchange Act, as applicable, as may be required by applicable federal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Party shall provide the other Party with a draft of, and a reasonable opportunity to review and comment on, any such disclosure, and shall consider in good faith any comments of the other Party; (c) a Party may, without the prior consent of the other Party but subject to giving advance notice to the other Party, issue any such press release or make any such public announcement or statement as may be required by any applicable Law; and (d) the Company need not consult with Parent in connection with such portion of any press release, public statement or filing to be issued or made pursuant to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with respect to Company Adverse Change Recommendation made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If any Takeover Law may become, or may purport to be, applicable to the Offer, the Merger or any of the other Transactions, each of Parent and the Company and their respective boards of directors shall grant such approvals and take such actions as are necessary so that the Offer, the Merger and the other Transactions may be consummated as promptly as practicable on the terms and conditions contemplated hereby and otherwise act to lawfully eliminate the effect of any Takeover Law on any of the Offer, the Merger or the other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The Company, and the Company Board, shall, to the extent necessary, take appropriate action, prior to or as of the Offer Acceptance Time, to approve, for purposes of Section 16(b) of the Exchange Act, the disposition and cancellation or deemed disposition and cancellation of the Shares and Company Stock Awards in the Transactions by applicable Section 16 individuals and to cause such dispositions or cancellations to be exempt under Rule 16b-3 promulgated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Rule 14d-10 Matters</w:t>
      </w:r>
      <w:r>
        <w:rPr>
          <w:rFonts w:ascii="Times New Roman;Times;serif" w:hAnsi="Times New Roman;Times;serif"/>
          <w:b w:val="false"/>
          <w:i w:val="false"/>
          <w:caps w:val="false"/>
          <w:smallCaps w:val="false"/>
          <w:sz w:val="20"/>
        </w:rPr>
        <w:t>. Prior to the Offer Acceptance Time and to the extent permitted by applicable Laws, the compensation committee of the Company Board shall approve, as an “employment compensation, severance or other employee benefit arrangement” within the meaning of Rule 14d-10(d)(2) under the Exchange Act, each agreement, arrangement or understanding between the Company or any of its Affiliates and any of the officers, directors or employees of the Company that are effective as of the Agreement Date or are entered into after the Agreement Date and prior to the Offer Acceptance Time pursuant to which compensation is paid to such officer, director or employee and shall take all other action reasonably necessary to satisfy the requirements of the non-exclusive safe harbor set forth in Rule 14d-10(d)(2)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Purchaser Stockholder Consent</w:t>
      </w:r>
      <w:r>
        <w:rPr>
          <w:rFonts w:ascii="Times New Roman;Times;serif" w:hAnsi="Times New Roman;Times;serif"/>
          <w:b w:val="false"/>
          <w:i w:val="false"/>
          <w:caps w:val="false"/>
          <w:smallCaps w:val="false"/>
          <w:sz w:val="20"/>
        </w:rPr>
        <w:t>. Immediately following the execution of this Agreement, Parent shall execute and deliver, in accordance with Section 228 of the DGCL and in its capacity as the sole stockholder of Purchaser, a written consent adopting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Stock Exchange Delisting; Deregistration</w:t>
      </w:r>
      <w:r>
        <w:rPr>
          <w:rFonts w:ascii="Times New Roman;Times;serif" w:hAnsi="Times New Roman;Times;serif"/>
          <w:b w:val="false"/>
          <w:i w:val="false"/>
          <w:caps w:val="false"/>
          <w:smallCaps w:val="false"/>
          <w:sz w:val="20"/>
        </w:rPr>
        <w:t>. Prior to the Closing Date, the Company shall cooperate with Parent and use its reasonable best efforts to take, or cause to be taken, all actions, and do or cause to be done all things, reasonably necessary, proper or advisable on its part under applicable Laws and rules and policies of Nasdaq to enable the delisting by the Surviving Corporation of the Shares from Nasdaq and the deregistration of the Shares under the Exchange Act as promptly as practicable after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The Company shall, and shall cause its Representatives to, use reasonable best efforts to deliver to Parent, at least three (3) Business Days prior to the Closing Date, executed customary payoff letters from each holder of Indebtedness set forth in </w:t>
      </w:r>
      <w:r>
        <w:rPr>
          <w:rFonts w:ascii="Times New Roman;Times;serif" w:hAnsi="Times New Roman;Times;serif"/>
          <w:b w:val="false"/>
          <w:i w:val="false"/>
          <w:caps w:val="false"/>
          <w:smallCaps w:val="false"/>
          <w:sz w:val="20"/>
          <w:u w:val="single"/>
          <w:shd w:fill="FFFFFF" w:val="clear"/>
        </w:rPr>
        <w:t>Section 7.13</w:t>
      </w:r>
      <w:r>
        <w:rPr>
          <w:rFonts w:ascii="Times New Roman;Times;serif" w:hAnsi="Times New Roman;Times;serif"/>
          <w:b w:val="false"/>
          <w:i w:val="false"/>
          <w:caps w:val="false"/>
          <w:smallCaps w:val="false"/>
          <w:sz w:val="20"/>
          <w:shd w:fill="FFFFFF" w:val="clear"/>
        </w:rPr>
        <w:t xml:space="preserve"> of the Company Disclosure Schedule, each of which shall (a) set forth the amount required to pay in full the applicable Indebtedness as of the Closing (collectively, the “</w:t>
      </w:r>
      <w:r>
        <w:rPr>
          <w:rFonts w:ascii="Times New Roman;Times;serif" w:hAnsi="Times New Roman;Times;serif"/>
          <w:b w:val="false"/>
          <w:i w:val="false"/>
          <w:caps w:val="false"/>
          <w:smallCaps w:val="false"/>
          <w:sz w:val="20"/>
          <w:u w:val="single"/>
          <w:shd w:fill="FFFFFF" w:val="clear"/>
        </w:rPr>
        <w:t>Payoff Amounts</w:t>
      </w:r>
      <w:r>
        <w:rPr>
          <w:rFonts w:ascii="Times New Roman;Times;serif" w:hAnsi="Times New Roman;Times;serif"/>
          <w:b w:val="false"/>
          <w:i w:val="false"/>
          <w:caps w:val="false"/>
          <w:smallCaps w:val="false"/>
          <w:sz w:val="20"/>
          <w:shd w:fill="FFFFFF" w:val="clear"/>
        </w:rPr>
        <w:t>”) and (b) provide that, upon payment in full of the applicable Payoff Amount, all Encumbrances securing such Indebtedness with respect to the assets of the Company and the Subsidiaries of the Company shall be terminated and of no further force and effect. Parent shall pay, or shall cause one or more of its Subsidiaries to pay, the Payoff Amounts in full on behalf of the Company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Company Convertible Notes; Capped Call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the time periods required by the terms of the Indenture, the Company shall take all actions required by, or reasonably requested by Parent pursuant to, the Indenture and applicable Law to be performed by the Company at or prior to the Effective Time as a result of the execution and delivery of this Agreement or the consummation of the Transactions, including the giving of any notices that may be required or reasonably requested by Parent and delivery to the trustee, noteholders or other applicable Persons, as applicable, of any documents or instruments required or reasonably requested by Parent to be delivered at or prior to the Effective Time to such trustee, noteholders or other applicable Persons, in each case in connection with the execution and delivery of this Agreement, the Transactions or as otherwise required by, or reasonably requested by Parent pursuant to, the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provide Parent and its legal counsel with a reasonable opportunity to review and comment on any such documents or instruments prior to their delivery to the trustee, noteholders or other applicable Persons, as applicable, and shall consider in good faith any comments provided by Parent and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reasonable best efforts to cooperate with Parent in seeking to enter into arrangements with the Capped Call Counterparties to cause the Capped Call Transactions to be exercised, settled, canceled or otherwise terminated as of the Effective Time and to enter into any documentation required to effect the foregoing. The Company shall promptly provide Parent with copies of any notices or other written communications received from any Capped Call Counterparty with respect to the Capped Call Transactions, keep Parent reasonably informed of all related discussions and negotiations and provide Parent and its legal counsel with a reasonable opportunity to participate in such discussions and negotiations. The Company shall also provide Parent and its legal counsel with a reasonable opportunity to review and comment on any proposed written response to any notice or other document received from any Capped Call Counterparty with respect to the Capped Call Transactions and shall promptly respond to any reasonable questions from, and reflect any reasonable comments provided by, Parent or its legal counsel prior to delivering any such response.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the prior written consent of Parent (which consent shall not be unreasonably withheld, conditioned or delayed), the Company shall not, and shall cause its Representatives not to, (i) amend, modify or otherwise change the terms of the Capped Call Documentation or (ii) exercise any right, or enter into any agreement, to terminate or trigger an early settlement of any Capped Call Transaction, including with respect to the form of consideration payable in connection with any such early settlement. Nothing in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shall require the Company to (A) other than as required under the Capped Call Transactions, pay any fees, incur or reimburse any costs or expenses or make any payment in connection with the Capped Call Transactions prior to the Effective Time, (B) enter into any instrument or agreement, or effect any settlement or termination, that is effective prior to the Effective Time or (C) refrain from delivering, or delay the delivery of, any notice required by the Capped Call Documentation;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provide Parent and its legal counsel with a reasonable opportunity to review and comment on such notice in accordance with </w:t>
      </w:r>
      <w:r>
        <w:rPr>
          <w:rFonts w:ascii="Times New Roman;Times;Serif" w:hAnsi="Times New Roman;Times;Serif"/>
          <w:b w:val="false"/>
          <w:i w:val="false"/>
          <w:caps w:val="false"/>
          <w:smallCaps w:val="false"/>
          <w:sz w:val="20"/>
          <w:u w:val="single"/>
        </w:rPr>
        <w:t>Section 7.14(b)</w:t>
      </w:r>
      <w:r>
        <w:rPr>
          <w:rFonts w:ascii="Times New Roman;Times;Serif" w:hAnsi="Times New Roman;Times;Serif"/>
          <w:b w:val="false"/>
          <w:i w:val="false"/>
          <w:caps w:val="false"/>
          <w:smallCaps w:val="false"/>
          <w:sz w:val="20"/>
        </w:rPr>
        <w:t>. For the avoidance of doubt, the Company and Parent acknowledge that the execution and delivery of this Agreement and the announcement and consummation of the Transactions may give the applicable counterparties to the Capped Call Documentation the discretion to modify the terms of the Capped Call Transactions or to cause early termination thereof, in each case to the extent provided in the Capped Call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Maintenance of Audit Access</w:t>
      </w:r>
      <w:r>
        <w:rPr>
          <w:rFonts w:ascii="Times New Roman;Times;Serif" w:hAnsi="Times New Roman;Times;Serif"/>
          <w:b w:val="false"/>
          <w:i w:val="false"/>
          <w:caps w:val="false"/>
          <w:smallCaps w:val="false"/>
          <w:sz w:val="20"/>
        </w:rPr>
        <w:t>. Throughout the term of the Flexion CVR Agreement, Parent shall, and shall cause its Subsidiaries to, comply with the terms of Section 4.5(a) of the Flexion CVR Agreement, including by permitting the Independent Accountant (as defined therein) access to certain books and records in accordance with Section 4.5(a) of the Flexion CVR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to the extent permissible under applicable Laws (including Antitrust Laws), the Company shall use reasonable best efforts to initiate discussions with the counterparties to the Contracts set forth on </w:t>
      </w:r>
      <w:r>
        <w:rPr>
          <w:rFonts w:ascii="Times New Roman;Times;Serif" w:hAnsi="Times New Roman;Times;Serif"/>
          <w:b w:val="false"/>
          <w:i w:val="false"/>
          <w:caps w:val="false"/>
          <w:smallCaps w:val="false"/>
          <w:sz w:val="20"/>
          <w:u w:val="single"/>
        </w:rPr>
        <w:t>Section 7.16(a)</w:t>
      </w:r>
      <w:r>
        <w:rPr>
          <w:rFonts w:ascii="Times New Roman;Times;Serif" w:hAnsi="Times New Roman;Times;Serif"/>
          <w:b w:val="false"/>
          <w:i w:val="false"/>
          <w:caps w:val="false"/>
          <w:smallCaps w:val="false"/>
          <w:sz w:val="20"/>
        </w:rPr>
        <w:t xml:space="preserve"> of the Company Disclosure Schedule regarding potential renewals or extensions of such Contracts and enter into such renewals or extensions. Subject to applicable Law, the Company shall reasonably consult with Parent regarding such discussions, including the terms of any proposed renewal or extension, and keep Parent reasonably informed of the status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the Company shall use reasonable best efforts to make available to Parent and its Representatives accurate and complete copies of (i) all clinical and preclinical data relating to any Company Product not previously made available to Parent and (ii) all written correspondence between any Acquired Company and the applicable Governmental Bodies relating to any Company Product, in the case of each of clauses (i) and (ii), promptly after such information or correspondence is received or obtained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7.16(b)</w:t>
      </w:r>
      <w:r>
        <w:rPr>
          <w:rFonts w:ascii="Times New Roman;Times;Serif" w:hAnsi="Times New Roman;Times;Serif"/>
          <w:b w:val="false"/>
          <w:i w:val="false"/>
          <w:caps w:val="false"/>
          <w:smallCaps w:val="false"/>
          <w:sz w:val="20"/>
        </w:rPr>
        <w:t xml:space="preserve"> shall require the Company to disclose any information to Parent or its Representatives to the extent such disclosure would (A) jeopardize any attorney-client or other legal privilege or (B) contravene any applicable Law (including Antitrust Law) or any binding confidentiality agreement to which any Acquired Company is a party (so long as, in the case of each of clauses (A) and (B), the Company has reasonably cooperated with Parent to permit such inspection of or to disclose such information to the maximum extent possible in a manner that does not waive such privilege with respect thereto or contravene any applicable Law or any such confidentiality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Pre-Closing Period, to the extent permissible under applicable Laws (including Antitrust Laws), the Company shall, and shall direct its Representatives to, consult in good faith with Parent in advance of any announcement or other public communication regarding any clinical or preclinical trial data relating to any Company Product, and consider in good faith any comments provided by Parent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8</w:t>
      </w:r>
      <w:r>
        <w:rPr>
          <w:rFonts w:ascii="Times New Roman;Times;Serif" w:hAnsi="Times New Roman;Times;Serif"/>
          <w:b w:val="false"/>
          <w:i w:val="false"/>
          <w:caps w:val="false"/>
          <w:smallCaps w:val="false"/>
          <w:sz w:val="20"/>
        </w:rPr>
        <w:br/>
        <w:br/>
        <w:t>CONDITIONS PRECEDENT TO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effect the Merger are subject to the satisfaction, at or prior to the Closing, of each of the following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There shall not have been issued by any court or other Governmental Body of competent jurisdiction and remain in effect any temporary, preliminary or permanent Order preventing the consummation of the Merger, nor shall any Law (other than any Antitrust Law) or Order have been promulgated, entered, enforced, enacted, issued or deemed applicable to the Merger by any Governmental Body of competent jurisdiction and remain in effect (any such Law or Order, a “</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which directly or indirectly prohibits or makes illegal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Consummation of Offer</w:t>
      </w:r>
      <w:r>
        <w:rPr>
          <w:rFonts w:ascii="Times New Roman;Times;Serif" w:hAnsi="Times New Roman;Times;Serif"/>
          <w:b w:val="false"/>
          <w:i w:val="false"/>
          <w:caps w:val="false"/>
          <w:smallCaps w:val="false"/>
          <w:sz w:val="20"/>
        </w:rPr>
        <w:t>. Purchaser (or Parent on Purchaser’s behalf) shall have accepted for payment all of the Shares validly tendered pursuant to the Offer and not validly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9</w:t>
      </w:r>
      <w:r>
        <w:rPr>
          <w:rFonts w:ascii="Times New Roman;Times;Serif" w:hAnsi="Times New Roman;Times;Serif"/>
          <w:b w:val="false"/>
          <w:i w:val="false"/>
          <w:caps w:val="false"/>
          <w:smallCaps w:val="false"/>
          <w:sz w:val="20"/>
        </w:rPr>
        <w:br/>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Offer and the Merger may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Offer Acceptance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Parent 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Offer Acceptance Time shall not have occurred on or before midnight, Eastern Time, on April 8, 2027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(i), if on April 8, 2027 all of the Offer Conditions, other than (A) the condition in clause (e)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(B) the condition in clause (g)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(solely to the extent the applicable Legal Restraint arises under Antitrust Law), (C) the condition in clause (h)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and (D) those conditions that by their nature are to be satisfied at the time that the Offer expires (but provided, in the case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that such conditions shall then be capable of being satisfied if the Offer Acceptance Time were to take place on such date), shall have been satisfied or waived by Parent, then the End Date shall automatically be extended until July 8, 2027 (and all references to the End Date herein, including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shall be deemed to be references to July 8, 2027);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neither Parent nor the Company shall be permitted to terminate this Agreement pursuant to this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in the event that such Party’s material breach of any provision of this Agreement shall have been the cause of, or resulted in, the Offer Acceptance Time not occurring on or prior to the End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court or other Governmental Body of competent jurisdiction shall have issued an Order, having the effect of permanently restraining, enjoining or otherwise prohibiting the acceptance for payment of Shares pursuant to the Offer or the Merger or making consummation of the Offer or the Merger illegal, which Order shall be final and nonappealable;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neither Parent nor the Company shall be permitted to terminate this Agreement pursuant to this </w:t>
      </w:r>
      <w:r>
        <w:rPr>
          <w:rFonts w:ascii="Times New Roman;Times;Serif" w:hAnsi="Times New Roman;Times;Serif"/>
          <w:b w:val="false"/>
          <w:i w:val="false"/>
          <w:caps w:val="false"/>
          <w:smallCaps w:val="false"/>
          <w:sz w:val="20"/>
          <w:u w:val="single"/>
        </w:rPr>
        <w:t>Section 9.1(b)(ii)</w:t>
      </w:r>
      <w:r>
        <w:rPr>
          <w:rFonts w:ascii="Times New Roman;Times;Serif" w:hAnsi="Times New Roman;Times;Serif"/>
          <w:b w:val="false"/>
          <w:i w:val="false"/>
          <w:caps w:val="false"/>
          <w:smallCaps w:val="false"/>
          <w:sz w:val="20"/>
        </w:rPr>
        <w:t xml:space="preserve"> in the event that such Party’s material breach of any provision of this Agreement shall have been the cause of, or resulted in, the issuance of such final and nonappealable Order;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at any time prior to the Offer Acceptance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Board shall have effected a Company Adverse Change Recommendation;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contained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or failure to perform any covenant or obligation in this Agreement on the part of the Company shall have occurred such that the conditions set forth in clause (b) (</w:t>
      </w:r>
      <w:r>
        <w:rPr>
          <w:rFonts w:ascii="Times New Roman;Times;Serif" w:hAnsi="Times New Roman;Times;Serif"/>
          <w:b w:val="false"/>
          <w:i/>
          <w:caps w:val="false"/>
          <w:smallCaps w:val="false"/>
          <w:sz w:val="20"/>
        </w:rPr>
        <w:t>Representations and Warranties of the Company</w:t>
      </w:r>
      <w:r>
        <w:rPr>
          <w:rFonts w:ascii="Times New Roman;Times;Serif" w:hAnsi="Times New Roman;Times;Serif"/>
          <w:b w:val="false"/>
          <w:i w:val="false"/>
          <w:caps w:val="false"/>
          <w:smallCaps w:val="false"/>
          <w:sz w:val="20"/>
        </w:rPr>
        <w:t>) or clause (c)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would not be satisfied and cannot be cured by the Company by the End Date, or if capable of being cured, shall not have been cured within thirty (30) days of the date on which Parent gives the Company written notice of such breach or failure to perform;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if either Parent or Purchaser is then in material breach of any representation, warranty, covenant or obligation hereunder;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at any time prior to the Offer Acceptance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order to accept a Superior Offer and enter into a binding written definitive acquisition agreement providing for the consummation of a transaction constituting a Superior Offer (a “</w:t>
      </w:r>
      <w:r>
        <w:rPr>
          <w:rFonts w:ascii="Times New Roman;Times;Serif" w:hAnsi="Times New Roman;Times;Serif"/>
          <w:b w:val="false"/>
          <w:i w:val="false"/>
          <w:caps w:val="false"/>
          <w:smallCaps w:val="false"/>
          <w:sz w:val="20"/>
          <w:u w:val="single"/>
        </w:rPr>
        <w:t>Specified Agreement</w:t>
      </w:r>
      <w:r>
        <w:rPr>
          <w:rFonts w:ascii="Times New Roman;Times;Serif" w:hAnsi="Times New Roman;Times;Serif"/>
          <w:b w:val="false"/>
          <w:i w:val="false"/>
          <w:caps w:val="false"/>
          <w:smallCaps w:val="false"/>
          <w:sz w:val="20"/>
        </w:rPr>
        <w:t xml:space="preserve">”) if the Company has complied in all material respects with the notice, negotiation and other requirements of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xml:space="preserve"> and the Company, prior to or concurrently with such termination, pays to Parent the Termination Fee;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contained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of this Agreement or failure to perform any covenant or obligation in this Agreement on the part of Parent or Purchaser shall have occurred, in each case if such breach or failure would reasonably be expected to prevent Parent or Purchaser from consummating the Transactions and such breach or failure cannot be cured by Parent or Purchaser, as applicable, by the End Date, or if capable of being cured, shall not have been cured within thirty (30) days of the date the Company gives Parent written notice of such breach or failure to perform;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Company shall not have the right to terminate this Agreement pursuant to this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if the Company is then in material breach of any representation, warranty, covenant or obligation hereunder;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that (i) Purchaser shall have failed to commence (within the meaning of Rule 14d-2 under the Exchange Act) the Offer within the period specified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or (ii) Purchaser shall have failed to purchase all Shares validly tendered (and not validly withdrawn) when required to do so in accordance with the terms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permitted to terminate this Agreement pursuant to this </w:t>
      </w:r>
      <w:r>
        <w:rPr>
          <w:rFonts w:ascii="Times New Roman;Times;Serif" w:hAnsi="Times New Roman;Times;Serif"/>
          <w:b w:val="false"/>
          <w:i w:val="false"/>
          <w:caps w:val="false"/>
          <w:smallCaps w:val="false"/>
          <w:sz w:val="20"/>
          <w:u w:val="single"/>
        </w:rPr>
        <w:t>Section 9.1(d)(iii)</w:t>
      </w:r>
      <w:r>
        <w:rPr>
          <w:rFonts w:ascii="Times New Roman;Times;Serif" w:hAnsi="Times New Roman;Times;Serif"/>
          <w:b w:val="false"/>
          <w:i w:val="false"/>
          <w:caps w:val="false"/>
          <w:smallCaps w:val="false"/>
          <w:sz w:val="20"/>
        </w:rPr>
        <w:t xml:space="preserve"> in the event that Purchaser’s failure to commence the Offer is primarily due to the Company’s material breach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written notice thereof shall be given to the other Party or Parties, specifying the provision hereof pursuant to which such termination is made, and this Agreement shall be of no further force or effect and there shall be no liability on the part of Parent, Purchaser or the Company or their respective directors, officers and Affiliates following any such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shall survive the termination of this Agreement and shall remain in full force and effect, (b) the Confidentiality Agreement shall survive the termination of this Agreement and shall remain in full force and effect in accordance with its terms, and (c) the termination of this Agreement shall not relieve any Party from any claim, liability or damages to the other in respect of any fraud or Willful Breach of this Agreement prior to such termination. Nothing shall limit or prevent any Party from exercising any rights or remedies it may have under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in lieu of terminating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Expenses;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all fees and expenses incurred in connection with this Agreement and the Transactions shall be paid by the Party incurring such expenses, whether or not the Offer and the Merger are consummated.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is terminated by the Company in accordance with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Agreement is terminated by Parent in accordance with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(x) this Agreement is terminated pursuant to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(y) after the Agreement Date and prior to such termination, there shall have been made known, proposed or communicated to the Company Board, or been publicly disclosed, an Acquisition Proposal and such Acquisition Proposal shall not have been withdrawn (or, if such Acquisition Proposal was publicly disclosed, publicly withdrawn) prior to the time of the termination of this Agreement and (z) within twelve (12) months of such termination, the Company shall have either (1) consummated any Acquisition Proposal or (2) entered into any definitive agreement in respect of any Acquisition Proposal (which Acquisition Proposal is subsequently consummated, whether during or following such twelve (12) month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this clause (z) the references to “20%” and “80%” in the definition of “Acquisition Proposal” shall be deemed to be references to “50%”);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any such event under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the Company shall pay, or shall cause to be paid, to Parent the Termination Fee by wire transfer of same day funds to an account designated in writing by Parent (A) in the case of </w:t>
      </w:r>
      <w:r>
        <w:rPr>
          <w:rFonts w:ascii="Times New Roman;Times;Serif" w:hAnsi="Times New Roman;Times;Serif"/>
          <w:b w:val="false"/>
          <w:i w:val="false"/>
          <w:caps w:val="false"/>
          <w:smallCaps w:val="false"/>
          <w:sz w:val="20"/>
          <w:u w:val="single"/>
        </w:rPr>
        <w:t>Section 9.3(b)(i)</w:t>
      </w:r>
      <w:r>
        <w:rPr>
          <w:rFonts w:ascii="Times New Roman;Times;Serif" w:hAnsi="Times New Roman;Times;Serif"/>
          <w:b w:val="false"/>
          <w:i w:val="false"/>
          <w:caps w:val="false"/>
          <w:smallCaps w:val="false"/>
          <w:sz w:val="20"/>
        </w:rPr>
        <w:t xml:space="preserve">, prior to or concurrently with the termination of this Agreement, (B) in the case of </w:t>
      </w:r>
      <w:r>
        <w:rPr>
          <w:rFonts w:ascii="Times New Roman;Times;Serif" w:hAnsi="Times New Roman;Times;Serif"/>
          <w:b w:val="false"/>
          <w:i w:val="false"/>
          <w:caps w:val="false"/>
          <w:smallCaps w:val="false"/>
          <w:sz w:val="20"/>
          <w:u w:val="single"/>
        </w:rPr>
        <w:t>Section 9.3(b)(ii)</w:t>
      </w:r>
      <w:r>
        <w:rPr>
          <w:rFonts w:ascii="Times New Roman;Times;Serif" w:hAnsi="Times New Roman;Times;Serif"/>
          <w:b w:val="false"/>
          <w:i w:val="false"/>
          <w:caps w:val="false"/>
          <w:smallCaps w:val="false"/>
          <w:sz w:val="20"/>
        </w:rPr>
        <w:t xml:space="preserve">, within two (2) Business Days after such termination or (C) in the case of </w:t>
      </w:r>
      <w:r>
        <w:rPr>
          <w:rFonts w:ascii="Times New Roman;Times;Serif" w:hAnsi="Times New Roman;Times;Serif"/>
          <w:b w:val="false"/>
          <w:i w:val="false"/>
          <w:caps w:val="false"/>
          <w:smallCaps w:val="false"/>
          <w:sz w:val="20"/>
          <w:u w:val="single"/>
        </w:rPr>
        <w:t>Section 9.3(b)(iii)</w:t>
      </w:r>
      <w:r>
        <w:rPr>
          <w:rFonts w:ascii="Times New Roman;Times;Serif" w:hAnsi="Times New Roman;Times;Serif"/>
          <w:b w:val="false"/>
          <w:i w:val="false"/>
          <w:caps w:val="false"/>
          <w:smallCaps w:val="false"/>
          <w:sz w:val="20"/>
        </w:rPr>
        <w:t>, within two (2) Business Days after the consummation of the Acquisition Proposal referred to in clause (z) above. Notwithstanding any provision of this Agreement to the contrary, the Parties agree that in no event shall the Company be required to pay the Termination Fee on more than one occasion. As used herein,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means a cash amount equal to $62,000,000.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of this Agreement to the contrary, including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Parent’s right to receive payment from the Company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shall be the sole and exclusive remedy of Parent, Purchaser or any of their respective Affiliates and Representatives against the Company, its Subsidiaries and any of their respective former, current or future officers, directors, partners, stockholders, optionholders, managers, members, Affiliates or Representatives (collectively, “</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xml:space="preserve">”) in any circumstance in which the Termination Fee becomes due and payable and is paid to Parent, and upon payment in full of such amount, none of the Company Related Parties shall have any further liability or obligation relating to, arising out of, or in connection with, this Agreement or the Transactions;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shall limit the rights of Parent or Purchaser under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in the case of fraud or Willful Breach. Accordingly, if the Company fails to timely pay any amount due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in order to obtain the payment, Parent commences a Legal Proceeding which results in a judgment against the Company, the Company shall pay Parent its reasonable and documented costs and expenses (including reasonable and documented attorneys’ fees) in connection with such Legal Proceeding, together with interest on such amount at a rate equal to the sum of (i) the prime rate as published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on the date such payment was required to be made and (ii) two (2) percent, with such interest accruing on such amount from the date such payment was required to be made through the date such payment was actually received by Parent or its designee. For the avoidance of doubt, Parent or Purchaser may seek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the payment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but in no event shall Parent or Purchaser be entitled to both (i) equitable relief ordering the Company to consummate the Transactions in accordance with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and (ii) the payment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10</w:t>
      </w:r>
      <w:r>
        <w:rPr>
          <w:rFonts w:ascii="Times New Roman;Times;Serif" w:hAnsi="Times New Roman;Times;Serif"/>
          <w:b w:val="false"/>
          <w:i w:val="false"/>
          <w:caps w:val="false"/>
          <w:smallCaps w:val="false"/>
          <w:sz w:val="20"/>
        </w:rPr>
        <w:b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Prior to the Offer Acceptance Time, subject to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this Agreement may be amended only with the approval of the Company Board and Parent. This Agreement may not be amended except by an instrument in writing signed on behalf of each of the Parties. Notwithstanding the foregoing, there shall be made no amendment, modification or supplement to this Agreement after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 Survival</w:t>
      </w:r>
      <w:r>
        <w:rPr>
          <w:rFonts w:ascii="Times New Roman;Times;serif" w:hAnsi="Times New Roman;Times;serif"/>
          <w:b w:val="false"/>
          <w:i w:val="false"/>
          <w:caps w:val="false"/>
          <w:smallCaps w:val="false"/>
          <w:sz w:val="20"/>
        </w:rPr>
        <w:t>. None of the representations or warranties in this Agreement or in any certificate, instrument or document delivered pursuant to this Agreement will survive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 xml:space="preserve">. This Agreement (including the exhibits, annexes, schedules and instruments referred to herein) constitutes the entire agreement and supersedes all contemporaneous and prior agreements and understandings, both written and oral, among or between any of the Parties, with respect to the subject matter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Confidentiality Agreement shall not be superseded and shall remain in full force and effect;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Effective Time occurs, the Confidentiality Agreement shall automatically terminate and be of no further force and effect. The Company Disclosure Schedule is “facts ascertainable” as such term is used in Section 251(b) of the DGCL, and does not form part of this Agreement but instead operates upon the terms of this Agreement as provided herein. Notwithstanding anything to the contrary in this Agreement, the Company Disclosure Schedule shall not be deemed a part of this Agreement as provided in Section 268(b) of the DGCL. This Agreement may be executed in several counterparts, each of which shall be deemed an original and all of which shall constitute one and the same instrument. The exchange of a fully executed Agreement (in counterparts or otherwise) in pdf, DocuSign or similar format and transmitted by facsimile or email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Applicable Laws; Jurisdiction; Specific Performance;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be governed by, and construed in accordance with, the Laws of the State of Delaware, regardless of the Laws that might otherwise govern under applicable principles of conflicts of Laws thereof. In any action or proceeding arising out of, relating to or in connection with this Agreement or any of the Transactions: (i) each of the Parties irrevocably and unconditionally consents and submits to the exclusive jurisdiction and venue of the Court of Chancery of the State of Delaware and any state appellate court therefrom or, if such court lacks subject matter jurisdiction, the United States District Court sitting in New Castle County in the State of Delaware (it being agreed that the consents to jurisdiction and venue set forth in this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shall not constitute general consents to service of process in the State of Delaware and shall have no effect for any purpose except as provided in this paragraph and shall not be deemed to confer rights on any Person other than the Parties);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Each of the Parties hereby irrevocably and unconditionally waives any objection to the laying of venue of any action, suit or proceeding arising out of this Agreement or the Transactions in the Court of Chancery of the State of Delaware and any state appellate court therefrom or, if such court lacks subject matter jurisdiction, the United States District Court sitting in New Castle County in the State of Delaware, and hereby further irrevocably and unconditionally waives and agrees not to plead or claim in any such court that any such action, suit or proceeding brought in any such court has been brought in an inconvenient forum (including any claim based on the doctrine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or any similar doctrine). The Parties agree that a final judgment in any such action or proceeding shall be conclusive and may be enforced in other jurisdictions by suit on the judgment or in any other manner provided by applicable Laws;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the foregoing shall restrict any Party’s rights to seek any post-judgment relief regarding, or any appeal from, such final trial court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damage for which monetary damages, even if available, would not be an adequate remedy, would occur in the event that the Parties do not perform their obligations under the provisions of this Agreement in accordance with their specified terms or otherwise breach such provisions. Subject to the terms and conditions of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the Parties acknowledge and agree that (i) the Parties shall be entitled to an injunction or injunctions, specific performance, or other equitable relief, to prevent breaches of this Agreement and to enforce specifically the terms and provisions hereof in the courts described in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(ii) the provisions set forth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 except with respect to monetary damages, are not intended to and do not adequately compensate for the harm that would result from a breach of this Agreement, and (B) shall not be construed to diminish or otherwise impair in any respect any Party’s right to specific enforcement and (iii) the right of specific performance is an integral part of the Transactions and without that right, neither the Company nor Parent nor Purchaser would have entered into this Agreement.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shall not be required to provide any bond or other security in connection with the seeking of any such injunction or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ACKNOWLEDGES AND AGREES THAT ANY CONTROVERSY THAT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neither this Agreement nor any of the rights hereunder may be assigned without the prior written consent of the other Parties, and any attempted assignment of this Agreement or any of such rights without such consent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except that Parent or Purchaser may assign its rights under this Agreement to any wholly owned Subsidiary so long as Parent provides the Company with prior written notice of such assignment and such assignment does not impede or delay the consummation of the Transactions or otherwise impede the rights of the stockholders of the Company under this Agreement, it being further understood and agreed that no such assignment, transfer or pledge permitted pursuant to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shall relieve Parent or Purchaser of its obligations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any right, benefit or remedy of any nature whatsoever under or by reason of this Agreement; except for: (a) if the Offer Acceptance Time occurs (i) the right of the Company’s stockholders to receive the Offer Price or Merger Consideration, as applicable, and (ii) the right of the holders of Company Stock Awards, Company LTIP Awards and Company Restricted Cash Awards to receive the amounts payable pursuant to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(b) each Indemnified Person as set forth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(c) the limitations on liability of the Company Related Parties as set forth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Notwithstanding the foregoing, the Parties hereby agree that the Company shall have the right, in accordance with and to the fullest extent permitted by Section 261(a) of the DGCL, as representative on behalf of the Company’s stockholders, to pursue, through a Legal Proceeding brought by the Company, claims for damages from Parent in the event of fraud or Willful Breach by Parent or Purchaser, in which event the damages recoverable by the Company for itself and on behalf of the holders of Shares may, to the fullest extent permitted by Section 261(a)(1) of the DGCL, include, to the extent awarded by a court of competent jurisdiction, damages based on the loss of the economic benefit of the Transactions that would have been recoverable under the circumstances of such breach by such holders of Shares if all such holders brought an action against Parent and were recognized as third-party beneficiaries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in no event shall any holder of Shares be entitled to pursue such damages directly on his, her or its own behalf, and (B) the Company may retain, without distribution to the Company's stockholders, any damages received. The representations and warranties in this Agreement are the product of negotiations among the Parties and are for the sole benefit of the Parties and the Parties acknowledge and agree that,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delivered, given and received (a) upon receipt when delivered by hand, (b) two (2) Business Days after being sent by registered mail or by courier or express delivery service with a copy by email, (c) if sent by email transmission prior to 5:00 p.m. recipient’s local time, upon transmission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bounceback or similar “undeliverable” message is received by such sender) or (d) if sent by email transmission after 5:00 p.m. recipient’s local time, the Business Day following the date of transmission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bounceback or similar “undeliverable” message is received by such sender);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notice or other communication is sent to the physical address or email address, as applicable, set forth beneath the name of such Party below (or to such other physical address or email address as such Party shall have specified in a written notice given to the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Purchaser (or following the Effective Time,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Mylan Blvd.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Canonsburg, PA 15317</w:t>
      </w:r>
    </w:p>
    <w:tbl>
      <w:tblPr>
        <w:tblW w:w="4765" w:type="dxa"/>
        <w:jc w:val="left"/>
        <w:tblInd w:w="0" w:type="dxa"/>
        <w:tblLayout w:type="fixed"/>
        <w:tblCellMar>
          <w:top w:w="0" w:type="dxa"/>
          <w:left w:w="0" w:type="dxa"/>
          <w:bottom w:w="0" w:type="dxa"/>
          <w:right w:w="0" w:type="dxa"/>
        </w:tblCellMar>
      </w:tblPr>
      <w:tblGrid>
        <w:gridCol w:w="875"/>
        <w:gridCol w:w="3890"/>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Matthew J. Maletta, Chief Legal Officer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3890"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br/>
        <w:t>Two Manhattan West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Ninth Avenue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City, NY 10001</w:t>
      </w:r>
    </w:p>
    <w:tbl>
      <w:tblPr>
        <w:tblW w:w="3205" w:type="dxa"/>
        <w:jc w:val="left"/>
        <w:tblInd w:w="0" w:type="dxa"/>
        <w:tblLayout w:type="fixed"/>
        <w:tblCellMar>
          <w:top w:w="0" w:type="dxa"/>
          <w:left w:w="0" w:type="dxa"/>
          <w:bottom w:w="0" w:type="dxa"/>
          <w:right w:w="0" w:type="dxa"/>
        </w:tblCellMar>
      </w:tblPr>
      <w:tblGrid>
        <w:gridCol w:w="980"/>
        <w:gridCol w:w="2225"/>
      </w:tblGrid>
      <w:tr>
        <w:trPr/>
        <w:tc>
          <w:tcPr>
            <w:tcW w:w="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I. Greene</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Aaron M. Gruber</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M. Wark</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mgreene@cravath.com</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agruber@cravath.com</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awark@cravath.com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BioSciences, Inc.</w:t>
        <w:br/>
        <w:t>1 Sylvan Way, Suite 300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Parsippany, NJ 07054</w:t>
      </w:r>
    </w:p>
    <w:tbl>
      <w:tblPr>
        <w:tblW w:w="5920" w:type="dxa"/>
        <w:jc w:val="left"/>
        <w:tblInd w:w="0" w:type="dxa"/>
        <w:tblLayout w:type="fixed"/>
        <w:tblCellMar>
          <w:top w:w="0" w:type="dxa"/>
          <w:left w:w="0" w:type="dxa"/>
          <w:bottom w:w="0" w:type="dxa"/>
          <w:right w:w="0" w:type="dxa"/>
        </w:tblCellMar>
      </w:tblPr>
      <w:tblGrid>
        <w:gridCol w:w="875"/>
        <w:gridCol w:w="5045"/>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5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Anthony Molloy, Chief Legal &amp; Compliance Officer</w:t>
            </w:r>
          </w:p>
        </w:tc>
      </w:tr>
      <w:tr>
        <w:trPr/>
        <w:tc>
          <w:tcPr>
            <w:tcW w:w="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5045"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Ashurst Perkins Coie</w:t>
        <w:br/>
        <w:t>1900 Sixteenth Street, Suite 1400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bl>
      <w:tblPr>
        <w:tblW w:w="4075" w:type="dxa"/>
        <w:jc w:val="left"/>
        <w:tblInd w:w="0" w:type="dxa"/>
        <w:tblLayout w:type="fixed"/>
        <w:tblCellMar>
          <w:top w:w="0" w:type="dxa"/>
          <w:left w:w="0" w:type="dxa"/>
          <w:bottom w:w="0" w:type="dxa"/>
          <w:right w:w="0" w:type="dxa"/>
        </w:tblCellMar>
      </w:tblPr>
      <w:tblGrid>
        <w:gridCol w:w="875"/>
        <w:gridCol w:w="3200"/>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Jason Day</w:t>
            </w:r>
          </w:p>
        </w:tc>
      </w:tr>
      <w:tr>
        <w:trPr/>
        <w:tc>
          <w:tcPr>
            <w:tcW w:w="8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Beuche</w:t>
            </w:r>
          </w:p>
        </w:tc>
      </w:tr>
      <w:tr>
        <w:trPr/>
        <w:tc>
          <w:tcPr>
            <w:tcW w:w="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3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Jason.Day@ashurstperkins.com</w:t>
            </w:r>
          </w:p>
        </w:tc>
      </w:tr>
      <w:tr>
        <w:trPr/>
        <w:tc>
          <w:tcPr>
            <w:tcW w:w="8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Jeff.Beuche@ashurstperkins.com</w:t>
            </w:r>
          </w:p>
        </w:tc>
      </w:tr>
    </w:tbl>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other provision of this Agreement is invalid, illegal, or incapable of being enforced by any rule of law or public policy, the remaining provisions of this Agreement will be enforced so as to conform to the original intent of the Parties as closely as possible such that the Transactions are fulfilled to the fullest extent possible.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Obligation of Parent</w:t>
      </w:r>
      <w:r>
        <w:rPr>
          <w:rFonts w:ascii="Times New Roman;Times;serif" w:hAnsi="Times New Roman;Times;serif"/>
          <w:b w:val="false"/>
          <w:i w:val="false"/>
          <w:caps w:val="false"/>
          <w:smallCaps w:val="false"/>
          <w:sz w:val="20"/>
        </w:rPr>
        <w:t>. Parent shall ensure that Purchaser duly performs, satisfies and discharges on a timely basis each of the covenants, obligations and liabilities applicable to Purchaser under this Agreement, and Parent shall be jointly and severally liable with Purchaser for the due and timely performance and satisfaction of each of said covenants, obligations and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value-added and other similar Taxes and fees incurred in connection with this Agreement and the Transactions shall be paid by Parent and Purchaser when due and payable. The Company shall cooperate with Purchaser and Parent in preparing, executing and filing any Tax Returns with respect to such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the Parties agree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context requires, the singular number shall include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word “extent” in the phrase “to the extent” means the degree to which a subject or other thing extends, and does not simply mean “if”;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words “hereof,” “herein,” “hereby,” “herewith,” “hereunder” and words of similar import shall, unless otherwise stated, be construed to refer to this Agreement as a whole and not to any particular provision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words “include” and “including,” and variations thereof, shall not be deemed to be terms of limitation, but rather shall be deemed to be followed by the words “without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meaning assigned to each capitalized term defined and used in this Agreement is equally applicable to both the singular and the plural forms of such term, and words denoting any gender include all genders;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where a word or phrase is defined in this Agreement, each of its other grammatical forms has a corresponding meaning unless the context otherwise requires;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reference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of a specific date, references to any specific Law will be deemed to refer to such legislation or provision (and all rules, regulations and statutory instruments issued or promulgated thereunder or pursuant thereto) as of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 or such information constitutes a representation or warranty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shd w:fill="FFFFFF" w:val="clear"/>
        </w:rPr>
        <w:t xml:space="preserve">the word “or” shall not be exclusive (i.e., “or” shall be </w:t>
      </w:r>
      <w:r>
        <w:rPr>
          <w:rFonts w:ascii="Times New Roman;Times;Serif" w:hAnsi="Times New Roman;Times;Serif"/>
          <w:b w:val="false"/>
          <w:i w:val="false"/>
          <w:caps w:val="false"/>
          <w:smallCaps w:val="false"/>
          <w:sz w:val="20"/>
        </w:rPr>
        <w:t xml:space="preserve">deemed </w:t>
      </w:r>
      <w:r>
        <w:rPr>
          <w:rFonts w:ascii="Times New Roman;Times;Serif" w:hAnsi="Times New Roman;Times;Serif"/>
          <w:b w:val="false"/>
          <w:i w:val="false"/>
          <w:caps w:val="false"/>
          <w:smallCaps w:val="false"/>
          <w:sz w:val="20"/>
          <w:shd w:fill="FFFFFF" w:val="clear"/>
        </w:rPr>
        <w:t xml:space="preserve">to mean </w:t>
      </w:r>
      <w:r>
        <w:rPr>
          <w:rFonts w:ascii="Times New Roman;Times;Serif" w:hAnsi="Times New Roman;Times;Serif"/>
          <w:b w:val="false"/>
          <w:i w:val="false"/>
          <w:caps w:val="false"/>
          <w:smallCaps w:val="false"/>
          <w:sz w:val="20"/>
        </w:rPr>
        <w:t>“and</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or”</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references to “dollars” or “$” are to U.S. Dollars, unless expressly stated otherwise;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phrases “furnished,” “provided,” “delivered” or “made available,” or words of similar import, when used with respect to any document or other information of the Acquired Companies, mean that such document or information (A) has been posted in the “Project Peach” virtual data room hosted by ShareVault at least one (1) Business Day prior to the date of this Agreement and not removed from such electronic data room prior to the Agreement Date or (B) is publicly available in the EDGAR database of the SEC at least one (1) Business Day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unless otherwise indicated or the context otherwise requires, all references herein to the Subsidiaries of a Person shall be deemed to include all direct and indirect Subsidiaries of such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unless Business Days are expressly specified, references to a number of days shall refer to calendar days, and if any action is required to be taken on or by a day that is not a Business Day, such action may be taken on or by the next Business 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phrases “identifies,” “lists,” “sets forth,” “sets forth a true and correct list” and words of similar import, when used with respect to information required to be disclosed in the Company Disclosure Schedule, shall have the same meaning and effect;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measure of a period of one (1)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August 18 is September 18 and one month following August 31 is October 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indicated, all references in this Agreement to “Sections”, “Exhibits” and “Annexes” are intended to refer to Sections of this Agreement and Exhibits or Annexes to this Agreement. The bold-faced headings contained in this Agreement are for convenience of reference only, shall not be deemed to be a part of this Agreement and shall not be referred to in connection with the construction or interpretation of this Agreement. Notwithstanding anything to the contrary contained herein, nothing in this Agreement shall require the Company to take any action in violation of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will be construed without regard to any presumption or rule requiring construction or interpretation against the Party drafting or causing any instrument to be drafted. Time is of the essence with respect to the performance of the obligations set forth in this Agreement and the provisions hereof will be interpreted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Company Disclosure Schedule References</w:t>
      </w:r>
      <w:r>
        <w:rPr>
          <w:rFonts w:ascii="Times New Roman;Times;serif" w:hAnsi="Times New Roman;Times;serif"/>
          <w:b w:val="false"/>
          <w:i w:val="false"/>
          <w:caps w:val="false"/>
          <w:smallCaps w:val="false"/>
          <w:sz w:val="20"/>
        </w:rPr>
        <w:t>. The Parties agree that the disclosure set forth in any particular section or subsection of the Company Disclosure Schedule will be deemed to be an exception to (or, as applicable, a disclosure for purposes of) the representations and warranties (or covenants, as applicable) of the Company that are set forth in the corresponding Section or subsection of this Agreement and any other Section or subsection of this Agreement where the relevance of that disclosure as an exception to (or a disclosure for purposes of) such other representations and warranties (or covenants, as applicable) is reasonably apparent on the face of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570"/>
        <w:gridCol w:w="2029"/>
        <w:gridCol w:w="75"/>
      </w:tblGrid>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PACIRA BIOSCIENCES,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202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9"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Frank D. Lee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Frank D. Lee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smallCaps/>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545"/>
        <w:gridCol w:w="659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71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VIATRIS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90"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Paul Campbell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Paul Campbell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Interim Chief Financial Officer, Chief Accounting Officer &amp; Corporate Controller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PEACH PURCHASER SUB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90"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Michael Rainerman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90" w:type="dxa"/>
            <w:tcBorders/>
            <w:vAlign w:val="center"/>
          </w:tcPr>
          <w:p>
            <w:pPr>
              <w:pStyle w:val="TableContents"/>
              <w:bidi w:val="0"/>
              <w:spacing w:before="0" w:after="283"/>
              <w:jc w:val="left"/>
              <w:rPr/>
            </w:pPr>
            <w:r>
              <w:rPr/>
              <w:t>Michael Rainerman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smallCaps/>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 xml:space="preserve">Exhibit </w:t>
      </w:r>
      <w:r>
        <w:rPr>
          <w:rFonts w:ascii="Times New Roman;Times;Serif" w:hAnsi="Times New Roman;Times;Serif"/>
          <w:b/>
          <w:i w:val="false"/>
          <w:caps w:val="false"/>
          <w:smallCaps w:val="false"/>
          <w:sz w:val="20"/>
        </w:rPr>
        <w:t>A</w:t>
        <w:br/>
        <w:br/>
      </w:r>
      <w:r>
        <w:rPr>
          <w:rFonts w:ascii="Times New Roman;Times;Serif" w:hAnsi="Times New Roman;Times;Serif"/>
          <w:b/>
          <w:i w:val="false"/>
          <w:caps/>
          <w:sz w:val="20"/>
        </w:rPr>
        <w:t>S</w:t>
      </w:r>
      <w:r>
        <w:rPr>
          <w:rFonts w:ascii="Times New Roman;Times;Serif" w:hAnsi="Times New Roman;Times;Serif"/>
          <w:b/>
          <w:i w:val="false"/>
          <w:smallCaps/>
          <w:sz w:val="20"/>
        </w:rPr>
        <w:t xml:space="preserve">urviving </w:t>
      </w:r>
      <w:r>
        <w:rPr>
          <w:rFonts w:ascii="Times New Roman;Times;Serif" w:hAnsi="Times New Roman;Times;Serif"/>
          <w:b/>
          <w:i w:val="false"/>
          <w:caps/>
          <w:sz w:val="20"/>
        </w:rPr>
        <w:t>C</w:t>
      </w:r>
      <w:r>
        <w:rPr>
          <w:rFonts w:ascii="Times New Roman;Times;Serif" w:hAnsi="Times New Roman;Times;Serif"/>
          <w:b/>
          <w:i w:val="false"/>
          <w:smallCaps/>
          <w:sz w:val="20"/>
        </w:rPr>
        <w:t xml:space="preserve">orporation </w:t>
      </w:r>
      <w:r>
        <w:rPr>
          <w:rFonts w:ascii="Times New Roman;Times;Serif" w:hAnsi="Times New Roman;Times;Serif"/>
          <w:b/>
          <w:i w:val="false"/>
          <w:caps/>
          <w:sz w:val="20"/>
        </w:rPr>
        <w:t>C</w:t>
      </w:r>
      <w:r>
        <w:rPr>
          <w:rFonts w:ascii="Times New Roman;Times;Serif" w:hAnsi="Times New Roman;Times;Serif"/>
          <w:b/>
          <w:i w:val="false"/>
          <w:smallCaps/>
          <w:sz w:val="20"/>
        </w:rPr>
        <w:t>ertificate of</w:t>
      </w:r>
      <w:r>
        <w:rPr>
          <w:rFonts w:ascii="Times New Roman;Times;Serif" w:hAnsi="Times New Roman;Times;Serif"/>
          <w:b/>
          <w:i w:val="false"/>
          <w:caps w:val="false"/>
          <w:smallCaps w:val="false"/>
          <w:sz w:val="20"/>
        </w:rPr>
        <w:t xml:space="preserve"> I</w:t>
      </w:r>
      <w:r>
        <w:rPr>
          <w:rFonts w:ascii="Times New Roman;Times;Serif" w:hAnsi="Times New Roman;Times;Serif"/>
          <w:b/>
          <w:i w:val="false"/>
          <w:smallCaps/>
          <w:sz w:val="20"/>
        </w:rPr>
        <w:t>ncorporation</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 xml:space="preserve">Exhibit </w:t>
      </w:r>
      <w:r>
        <w:rPr>
          <w:rFonts w:ascii="Times New Roman;Times;Serif" w:hAnsi="Times New Roman;Times;Serif"/>
          <w:b/>
          <w:i w:val="false"/>
          <w:caps w:val="false"/>
          <w:smallCaps w:val="false"/>
          <w:sz w:val="20"/>
        </w:rPr>
        <w:t>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i w:val="false"/>
          <w:smallCaps/>
          <w:sz w:val="20"/>
        </w:rPr>
        <w:t>Surviving Corporation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THE OFFER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capitalized terms used in this Annex I shall have the meanings set forth in the Agreement and Plan of Merger to which this Annex I is attached (the “Agreement”) unless specifically defined in this Annex I. The obligation of Purchaser to accept for payment and pay for Shares validly tendered (and not withdrawn) pursuant to the Offer is subject to the satisfaction of the conditions set forth in clauses (a) through (i) below. Accordingly, notwithstanding any provision of the Offer or this Agreement to the contrary, Purchaser shall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Agreement, may terminate the Offer: (i) upon termination of the Agreement; and (ii) at any scheduled Expiration Date (subject to any extensions of the Offer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the Agreement) or amend the Offer as otherwise permitted by the Agreement, if: (A) the Minimum Condition shall not be satisfied as of one (1) minute following 11:59 p.m. Eastern Time on the Expiration Date of the Offer or (B) any of the additional conditions set forth in clauses (b) through (i) below shall not be satisfied or waived (to the extent permitted by the Agreement and applicable Law) in writing by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Shares validly tendered (and not properly withdrawn) prior to the time that the Offer expires (but excluding Shares tendered pursuant to guaranteed delivery procedures that have not yet been “received,” as defined by Section 251(h)(6)(f) of the DGCL by the “depository” (as such term is defined in Section 251(h)(6)(c) of the DGCL)), together with the Shares then owned by Purchaser and its “affiliates” (as such term is defined in Section 251(h)(6)(a) of the DGCL), represents at least one (1) Share more than 50% of the then issued and outstanding Shares (the “Minimum Condition”);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set forth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 xml:space="preserve">Section 4.4(c) </w:t>
      </w:r>
      <w:r>
        <w:rPr>
          <w:rFonts w:ascii="Times New Roman;Times;Serif" w:hAnsi="Times New Roman;Times;Serif"/>
          <w:b w:val="false"/>
          <w:i w:val="false"/>
          <w:caps w:val="false"/>
          <w:smallCaps w:val="false"/>
          <w:sz w:val="20"/>
        </w:rPr>
        <w:t>(Capitalization, Etc.) of the Agreement shall have been true and correct in all respects except for any de minimis inaccuracies at and as of the Offer Acceptance Time as if made on and as of such time (except representations and warranties that by their terms speak specifically as of another date or time, in which case as of such other date or time);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representations and warranties of the Company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(Due Organization; Subsidiaries, Etc.),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(Certificate of Incorporation and Bylaws),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(Authority; Binding Nature of Agreement),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(Capitalization, Etc.) (other than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4.24</w:t>
      </w:r>
      <w:r>
        <w:rPr>
          <w:rFonts w:ascii="Times New Roman;Times;Serif" w:hAnsi="Times New Roman;Times;Serif"/>
          <w:b w:val="false"/>
          <w:i w:val="false"/>
          <w:caps w:val="false"/>
          <w:smallCaps w:val="false"/>
          <w:sz w:val="20"/>
        </w:rPr>
        <w:t xml:space="preserve"> (Merger Approval) and </w:t>
      </w:r>
      <w:r>
        <w:rPr>
          <w:rFonts w:ascii="Times New Roman;Times;Serif" w:hAnsi="Times New Roman;Times;Serif"/>
          <w:b w:val="false"/>
          <w:i w:val="false"/>
          <w:caps w:val="false"/>
          <w:smallCaps w:val="false"/>
          <w:sz w:val="20"/>
          <w:u w:val="single"/>
        </w:rPr>
        <w:t>Section 4.26</w:t>
      </w:r>
      <w:r>
        <w:rPr>
          <w:rFonts w:ascii="Times New Roman;Times;Serif" w:hAnsi="Times New Roman;Times;Serif"/>
          <w:b w:val="false"/>
          <w:i w:val="false"/>
          <w:caps w:val="false"/>
          <w:smallCaps w:val="false"/>
          <w:sz w:val="20"/>
        </w:rPr>
        <w:t xml:space="preserve"> (Brokers and Other Advisors) of the Agreement shall have been true and correct (disregarding for this purpose all “Material Adverse Effect” and “materiality” qualifications contained in such representations and warranties) in all material respects at and as of the Offer Acceptance Time as if made on and as of such time (except representations and warranties that by their terms speak specifically as of another date or time, in which case as of such other date or time);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representations and warranties of the Company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xml:space="preserve"> (Absence of Changes) shall have been true and correct in all respects at and as of the Offer Acceptance Time as if made on and as of such time;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of the other representations and warranties of the Company set forth in the Agreement (other than those referred to in clauses (b)(i), (b)(ii) or (b)(iii) above) shall have been true and correct (disregarding for this purpose all “Material Adverse Effect” and “materiality” qualifications contained in such representations and warranties) in all respects at and as of the Offer Acceptance Time as if made on and as of such time (except representations and warranties that by their terms speak specifically as of another date or time, in which case as of such other date or time), except where any failure of any representation or warranty to be so accurate has not had, and would not reasonably be expected to have, individually or in the aggregate, a Material Adverse Effect;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complied with or performed in all material respects all of the Company’s covenants and agreements it is required to comply with or perform at or prior to the Offer Acceptance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Agreement Date, there shall not have been any Material Adverse Effect that shall be continuing as of the Offer Acceptance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waiting period (or any extension thereof) applicable to the Offer under the HSR Act shall have expired or been terminated, and any timing agreement with any Governmental Body applicable to the Offer or the Merger shall have expired or otherwise ceased to restrict the consummation of the Offer and 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Purchaser shall have received a certificate executed on behalf of the Company by its Chief Executive Officer or its Chief Financial Officer confirming that the conditions set forth in clauses (b), (c) and (d) of this Annex I have been duly satisfied (the “</w:t>
      </w:r>
      <w:r>
        <w:rPr>
          <w:rFonts w:ascii="Times New Roman;Times;Serif" w:hAnsi="Times New Roman;Times;Serif"/>
          <w:b w:val="false"/>
          <w:i w:val="false"/>
          <w:caps w:val="false"/>
          <w:smallCaps w:val="false"/>
          <w:sz w:val="20"/>
          <w:u w:val="single"/>
        </w:rPr>
        <w:t>Officer’s Certificate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shall not be in effect a Legal Restraint that directly or indirectly enjoins, restrains or otherwise prohibits, or makes illegal, the acquisition of or payment for Shares pursuant to the Offer, or the consummation of 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shall not be in effect a Legal Restraint imposing a Burdensome Condition, and there shall not be pending any action, suit, charge, complaint, litigation, or arbitration brought by any Governmental Body of competent jurisdiction seeking (i) a Legal Restraint prohibiting, or making illegal, any of the Transactions or (ii) to impose a Burdensome Condition;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Agreement shall not have been terminated in accordance with its terms (the “</w:t>
      </w:r>
      <w:r>
        <w:rPr>
          <w:rFonts w:ascii="Times New Roman;Times;Serif" w:hAnsi="Times New Roman;Times;Serif"/>
          <w:b w:val="false"/>
          <w:i w:val="false"/>
          <w:caps w:val="false"/>
          <w:smallCaps w:val="false"/>
          <w:sz w:val="20"/>
          <w:u w:val="single"/>
        </w:rPr>
        <w:t>Termination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for the sole benefit of Parent and Purchaser (except for the Minimum Condition, the Termination Condition and the conditions set forth in clauses (e) and (g)), and may be waived (but solely to the extent permitted by the Agreement and applicable Law) by Parent and Purchaser, in whole or in part at any time and from time to time, in the sole discretion of Parent and Purchaser. The failure by Parent or Purchaser at any time to exercise any of the foregoing rights shall not be deemed a waiver of any such right and each such right shall be deemed an ongoing right which may be asserted at any time and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I-3</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2" w:name="ef20083514_ex99-1.htm"/>
      <w:bookmarkStart w:id="3" w:name="ksef20083514_ex991"/>
      <w:bookmarkStart w:id="4" w:name="ef20083514_ex99-1.htm"/>
      <w:bookmarkStart w:id="5" w:name="ksef20083514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6" w:name="z30c1746c6cd14bcdbe70a38cb1a9dbc6"/>
      <w:bookmarkStart w:id="7" w:name="z30c1746c6cd14bcdbe70a38cb1a9dbc6"/>
      <w:bookmarkEnd w:id="7"/>
    </w:p>
    <w:tbl>
      <w:tblPr>
        <w:tblW w:w="4845" w:type="dxa"/>
        <w:jc w:val="left"/>
        <w:tblInd w:w="0" w:type="dxa"/>
        <w:tblLayout w:type="fixed"/>
        <w:tblCellMar>
          <w:top w:w="0" w:type="dxa"/>
          <w:left w:w="0" w:type="dxa"/>
          <w:bottom w:w="0" w:type="dxa"/>
          <w:right w:w="0" w:type="dxa"/>
        </w:tblCellMar>
      </w:tblPr>
      <w:tblGrid>
        <w:gridCol w:w="2865"/>
        <w:gridCol w:w="1980"/>
      </w:tblGrid>
      <w:tr>
        <w:trPr/>
        <w:tc>
          <w:tcPr>
            <w:tcW w:w="2865" w:type="dxa"/>
            <w:tcBorders/>
            <w:vAlign w:val="center"/>
          </w:tcPr>
          <w:p>
            <w:pPr>
              <w:pStyle w:val="TableContents"/>
              <w:bidi w:val="0"/>
              <w:spacing w:before="0" w:after="0"/>
              <w:jc w:val="left"/>
              <w:rPr>
                <w:color w:val="000000"/>
              </w:rPr>
            </w:pPr>
            <w:r>
              <w:rPr>
                <w:color w:val="000000"/>
              </w:rPr>
              <w:drawing>
                <wp:inline distT="0" distB="0" distL="0" distR="0">
                  <wp:extent cx="181927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771525"/>
                          </a:xfrm>
                          <a:prstGeom prst="rect">
                            <a:avLst/>
                          </a:prstGeom>
                        </pic:spPr>
                      </pic:pic>
                    </a:graphicData>
                  </a:graphic>
                </wp:inline>
              </w:drawing>
            </w:r>
          </w:p>
        </w:tc>
        <w:tc>
          <w:tcPr>
            <w:tcW w:w="1980" w:type="dxa"/>
            <w:tcBorders/>
            <w:vAlign w:val="center"/>
          </w:tcPr>
          <w:p>
            <w:pPr>
              <w:pStyle w:val="TableContents"/>
              <w:bidi w:val="0"/>
              <w:spacing w:before="0" w:after="0"/>
              <w:jc w:val="right"/>
              <w:rPr>
                <w:color w:val="000000"/>
              </w:rPr>
            </w:pPr>
            <w:r>
              <w:rPr>
                <w:color w:val="000000"/>
              </w:rPr>
              <w:drawing>
                <wp:inline distT="0" distB="0" distL="0" distR="0">
                  <wp:extent cx="12573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42900"/>
                          </a:xfrm>
                          <a:prstGeom prst="rect">
                            <a:avLst/>
                          </a:prstGeom>
                        </pic:spPr>
                      </pic:pic>
                    </a:graphicData>
                  </a:graphic>
                </wp:inline>
              </w:drawing>
            </w:r>
          </w:p>
        </w:tc>
      </w:tr>
    </w:tbl>
    <w:p>
      <w:pPr>
        <w:pStyle w:val="TextBody"/>
        <w:bidi w:val="0"/>
        <w:spacing w:before="0" w:after="0"/>
        <w:jc w:val="left"/>
        <w:rPr>
          <w:color w:val="000000"/>
        </w:rPr>
      </w:pPr>
      <w:r>
        <w:rPr>
          <w:color w:val="000000"/>
        </w:rPr>
      </w:r>
    </w:p>
    <w:p>
      <w:pPr>
        <w:pStyle w:val="TextBody"/>
        <w:bidi w:val="0"/>
        <w:spacing w:before="0" w:after="0"/>
        <w:ind w:left="720" w:right="0" w:hanging="0"/>
        <w:jc w:val="center"/>
        <w:rPr>
          <w:rFonts w:ascii="Times New Roman" w:hAnsi="Times New Roman"/>
          <w:b/>
          <w:color w:val="000000"/>
          <w:sz w:val="20"/>
        </w:rPr>
      </w:pPr>
      <w:r>
        <w:rPr>
          <w:rFonts w:ascii="Times New Roman" w:hAnsi="Times New Roman"/>
          <w:b/>
          <w:color w:val="000000"/>
          <w:sz w:val="20"/>
        </w:rPr>
        <w:t>Viatris Agrees to Acquire Pacira BioSciences, Advancing Its Innovative Medicines Strategy and Becoming a Leader in Non-Opioid Pain Therapies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8" w:name="z98e248e9c7d14b1e8cb7416a2e5f9a36"/>
      <w:bookmarkStart w:id="9" w:name="z98e248e9c7d14b1e8cb7416a2e5f9a36"/>
      <w:bookmarkEnd w:id="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Adds Two Marketed, Patent-Protected, High-Margin Medicines in the U.S., EXPAREL® and ZILRETTA®, and Expects to Expand the Products’ Reach Across Selected Markets Within Its International Infrastructure</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0" w:name="zc438edccf26342c6be300206b7a16fd7"/>
      <w:bookmarkStart w:id="11" w:name="zc438edccf26342c6be300206b7a16fd7"/>
      <w:bookmarkEnd w:id="11"/>
    </w:p>
    <w:tbl>
      <w:tblPr>
        <w:tblW w:w="9190" w:type="dxa"/>
        <w:jc w:val="left"/>
        <w:tblInd w:w="0" w:type="dxa"/>
        <w:tblLayout w:type="fixed"/>
        <w:tblCellMar>
          <w:top w:w="0" w:type="dxa"/>
          <w:left w:w="0" w:type="dxa"/>
          <w:bottom w:w="0" w:type="dxa"/>
          <w:right w:w="0" w:type="dxa"/>
        </w:tblCellMar>
      </w:tblPr>
      <w:tblGrid>
        <w:gridCol w:w="125"/>
        <w:gridCol w:w="9065"/>
      </w:tblGrid>
      <w:tr>
        <w:trPr/>
        <w:tc>
          <w:tcPr>
            <w:tcW w:w="12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Expands U.S. Innovative Medicines Commercial, Market Access, Medical Affairs and Global R&amp;D Capabilities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2" w:name="z83da8012c70f4bf4931ae09db72b6e4b"/>
      <w:bookmarkStart w:id="13" w:name="z83da8012c70f4bf4931ae09db72b6e4b"/>
      <w:bookmarkEnd w:id="13"/>
    </w:p>
    <w:tbl>
      <w:tblPr>
        <w:tblW w:w="6430" w:type="dxa"/>
        <w:jc w:val="left"/>
        <w:tblInd w:w="0" w:type="dxa"/>
        <w:tblLayout w:type="fixed"/>
        <w:tblCellMar>
          <w:top w:w="0" w:type="dxa"/>
          <w:left w:w="0" w:type="dxa"/>
          <w:bottom w:w="0" w:type="dxa"/>
          <w:right w:w="0" w:type="dxa"/>
        </w:tblCellMar>
      </w:tblPr>
      <w:tblGrid>
        <w:gridCol w:w="125"/>
        <w:gridCol w:w="6305"/>
      </w:tblGrid>
      <w:tr>
        <w:trPr/>
        <w:tc>
          <w:tcPr>
            <w:tcW w:w="125" w:type="dxa"/>
            <w:tcBorders/>
            <w:vAlign w:val="center"/>
          </w:tcPr>
          <w:p>
            <w:pPr>
              <w:pStyle w:val="TableContents"/>
              <w:bidi w:val="0"/>
              <w:spacing w:before="0" w:after="283"/>
              <w:jc w:val="left"/>
              <w:rPr>
                <w:color w:val="000000"/>
              </w:rPr>
            </w:pPr>
            <w:r>
              <w:rPr>
                <w:color w:val="000000"/>
              </w:rPr>
              <w:t>•</w:t>
            </w:r>
          </w:p>
        </w:tc>
        <w:tc>
          <w:tcPr>
            <w:tcW w:w="630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Expected to Be Synergistic With Viatris’ Fast-Acting Meloxicam Opportunity</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4" w:name="ze15a8ced2a6c4f90a7145abc3015abe7"/>
      <w:bookmarkStart w:id="15" w:name="ze15a8ced2a6c4f90a7145abc3015abe7"/>
      <w:bookmarkEnd w:id="15"/>
    </w:p>
    <w:tbl>
      <w:tblPr>
        <w:tblW w:w="9775" w:type="dxa"/>
        <w:jc w:val="left"/>
        <w:tblInd w:w="0" w:type="dxa"/>
        <w:tblLayout w:type="fixed"/>
        <w:tblCellMar>
          <w:top w:w="0" w:type="dxa"/>
          <w:left w:w="0" w:type="dxa"/>
          <w:bottom w:w="0" w:type="dxa"/>
          <w:right w:w="0" w:type="dxa"/>
        </w:tblCellMar>
      </w:tblPr>
      <w:tblGrid>
        <w:gridCol w:w="125"/>
        <w:gridCol w:w="9650"/>
      </w:tblGrid>
      <w:tr>
        <w:trPr/>
        <w:tc>
          <w:tcPr>
            <w:tcW w:w="125" w:type="dxa"/>
            <w:tcBorders/>
            <w:vAlign w:val="center"/>
          </w:tcPr>
          <w:p>
            <w:pPr>
              <w:pStyle w:val="TableContents"/>
              <w:bidi w:val="0"/>
              <w:spacing w:before="0" w:after="283"/>
              <w:jc w:val="left"/>
              <w:rPr>
                <w:color w:val="000000"/>
              </w:rPr>
            </w:pPr>
            <w:r>
              <w:rPr>
                <w:color w:val="000000"/>
              </w:rPr>
              <w:t>•</w:t>
            </w:r>
          </w:p>
        </w:tc>
        <w:tc>
          <w:tcPr>
            <w:tcW w:w="965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Deal Anticipated to Close By the End of 2026 and to Be Immediately Accretive to Viatris’ Financial Guidance Metrics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6" w:name="z0b8df13e19bf430b99afbaa6425afcaa"/>
      <w:bookmarkStart w:id="17" w:name="z0b8df13e19bf430b99afbaa6425afcaa"/>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Transaction Consistent With Viatris’ Disciplined and Balanced Capital Allocation Strategy and Preserves Financial Flexibility</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PITTSBURGH and BRISBANE, Calif</w:t>
      </w:r>
      <w:r>
        <w:rPr>
          <w:rFonts w:ascii="Times New Roman" w:hAnsi="Times New Roman"/>
          <w:color w:val="000000"/>
          <w:sz w:val="20"/>
        </w:rPr>
        <w:t xml:space="preserve">. – Oct. 8, 2026 – </w:t>
      </w:r>
      <w:r>
        <w:rPr>
          <w:rFonts w:ascii="Times New Roman" w:hAnsi="Times New Roman"/>
          <w:color w:val="000000"/>
          <w:sz w:val="20"/>
          <w:u w:val="single"/>
        </w:rPr>
        <w:t>Viatris Inc.</w:t>
      </w:r>
      <w:r>
        <w:rPr>
          <w:rFonts w:ascii="Times New Roman" w:hAnsi="Times New Roman"/>
          <w:color w:val="000000"/>
          <w:sz w:val="20"/>
        </w:rPr>
        <w:t xml:space="preserve"> (Nasdaq: VTRS), a global healthcare company, and Pacira BioSciences, Inc. (Nasdaq: PCRX), a leader in innovative non-opioid pain therapies, today announced that they have entered into a definitive agreement under which Viatris has agreed to acquire all of the outstanding shares of common stock of Pacira for $36.50 per share in cash, representing an aggregate equity value of $1.65 billion.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Pacira brings two established, high-margin, patent-protected, in-market U.S. products – EXPAREL® (bupivacaine liposome injectable suspension) and ZILRETTA® (triamcinolone acetonide extended-release injectable suspension). Pacira generated approximately $746 million in total revenue and approximately $177 million in adjusted EBITDA during the last twelve months ended June 30, 2026.  Viatris plans to leverage its intellectual property expertise and proven ability to extend product lifecycles and sustain meaningful sales after the entry of competition to maximize the long-term value of the Pacira portfolio and expects to expand the products’ reach across select markets within its global infrastructure.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 xml:space="preserve">The pending acquisition of Pacira BioSciences is an important step in advancing our strategy to build our innovative medicines business,” said </w:t>
      </w:r>
      <w:r>
        <w:rPr>
          <w:rFonts w:ascii="Times New Roman" w:hAnsi="Times New Roman"/>
          <w:b/>
          <w:color w:val="000000"/>
          <w:sz w:val="20"/>
          <w:u w:val="single"/>
        </w:rPr>
        <w:t>Scott A. Smith</w:t>
      </w:r>
      <w:r>
        <w:rPr>
          <w:rFonts w:ascii="Times New Roman" w:hAnsi="Times New Roman"/>
          <w:b/>
          <w:color w:val="000000"/>
          <w:sz w:val="20"/>
        </w:rPr>
        <w:t>, CEO, Viatris</w:t>
      </w:r>
      <w:r>
        <w:rPr>
          <w:rFonts w:ascii="Times New Roman" w:hAnsi="Times New Roman"/>
          <w:color w:val="000000"/>
          <w:sz w:val="20"/>
        </w:rPr>
        <w:t>. “The addition of EXPAREL, for acute postsurgical pain, and ZILRETTA, for osteoarthritis knee pain, are synergistic with our fast-acting meloxicam market opportunity and position us as a leader in non-opioid pain management therapies, an area where patients and healthcare providers continue to seek more treatment options. Pacira also brings Viatris additional U.S. innovative commercial, market access, medical affairs and global R&amp;D capabilities that are highly complementary to our existing infrastructure and portfolio. This transaction accelerates our path to sustained revenue and earnings growth and adds an innovative development pipeline in certain high-value, specialty-driven therapeutic areas with a high unmet need.”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color w:val="000000"/>
        </w:rPr>
      </w:pPr>
      <w:r>
        <w:rPr>
          <w:color w:val="000000"/>
        </w:rPr>
        <w:t>“</w:t>
      </w:r>
      <w:r>
        <w:rPr>
          <w:rFonts w:ascii="Times New Roman" w:hAnsi="Times New Roman"/>
          <w:color w:val="000000"/>
          <w:sz w:val="20"/>
        </w:rPr>
        <w:t xml:space="preserve">The proposed transaction is expected to be immediately accretive to our financial guidance metrics,” said </w:t>
      </w:r>
      <w:r>
        <w:rPr>
          <w:rFonts w:ascii="Times New Roman" w:hAnsi="Times New Roman"/>
          <w:b/>
          <w:color w:val="000000"/>
          <w:sz w:val="20"/>
          <w:u w:val="single"/>
        </w:rPr>
        <w:t>Paul Campbell</w:t>
      </w:r>
      <w:r>
        <w:rPr>
          <w:rFonts w:ascii="Times New Roman" w:hAnsi="Times New Roman"/>
          <w:b/>
          <w:color w:val="000000"/>
          <w:sz w:val="20"/>
        </w:rPr>
        <w:t>, Interim CFO, Chief Accounting Officer &amp; Corporate Controller, Viatris</w:t>
      </w:r>
      <w:r>
        <w:rPr>
          <w:rFonts w:ascii="Times New Roman" w:hAnsi="Times New Roman"/>
          <w:color w:val="000000"/>
          <w:sz w:val="20"/>
        </w:rPr>
        <w:t>. “Importantly, we expect to fund the transaction primarily from excess cash with the remainder from short-term borrowings. As such, we expect the transaction will have minimal impact on our gross leverage ratio. We believe the transaction is consistent with our disciplined and balanced approach to capital allocation, preserves our financial flexibility and provides opportunities to create additional value through both cost and revenue synergies.”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color w:val="000000"/>
        </w:rPr>
      </w:pPr>
      <w:r>
        <w:rPr>
          <w:color w:val="000000"/>
        </w:rPr>
        <w:t>“</w:t>
      </w:r>
      <w:r>
        <w:rPr>
          <w:rFonts w:ascii="Times New Roman" w:hAnsi="Times New Roman"/>
          <w:color w:val="000000"/>
          <w:sz w:val="20"/>
        </w:rPr>
        <w:t>Our mission from the start has been to deliver innovative, non-opioid pain therapies to transform the lives of patients. Pacira has helped reshape pain management by advancing awareness, expanding patient access and driving the adoption of opioid-sparing therapies,” said Frank D. Lee, CEO, Pacira BioSciences. “I am immensely proud of what our team has accomplished, from building a leading commercial portfolio that has helped nearly 20 million patients access non-opioid pain management, to advancing our 5x30 strategy and expanding our innovative pipeline. As we enter this next chapter, we are confident that Viatris’ shared vision, substantial resources, and global scale will accelerate the impact of our mission and help bring our transformative therapies to even more patients.”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presentation with further details about the transaction can be found at </w:t>
      </w:r>
      <w:r>
        <w:rPr>
          <w:rFonts w:ascii="Times New Roman" w:hAnsi="Times New Roman"/>
          <w:color w:val="000000"/>
          <w:sz w:val="20"/>
          <w:u w:val="single"/>
        </w:rPr>
        <w:t>investor.viatris.com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Terms of the Transaction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terms of the transaction, Viatris will commence a tender offer to acquire all of the outstanding shares of Pacira’s common stock for $36.50 per share in cash. Following completion of the tender offer, Viatris will acquire all remaining shares of Pacira’s common stock not tendered in the tender offer through a second-step merger for the same consideration.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which was unanimously approved by the boards of directors of both companies, is subject to customary closing conditions, including the tender of a majority of the outstanding shares of Pacira’s common stock and expiration of the applicable regulatory waiting period. Pacira’s board of directors unanimously recommends that Pacira’s stockholders tender their shares in the tender offer. The transaction is expected to close by the end of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completion of the transaction, Pacira will become a wholly owned subsidiary of Viatris and Pacira’s common stock will no longer be listed for trading on the Nasdaq Global Select Market.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Morgan Stanley &amp; Co. LLC is serving as financial advisor to Viatris, and Cravath, Swaine &amp; Moore LLP is serving as legal advisor. Centerview Partners LLC also provided strategic and financial advice to Viatris.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Goldman Sachs &amp; Co. LLC is serving as exclusive financial advisor to Pacira, and Ashurst Perkins Coie is serving as legal advisor.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Third-Quarter Conference Call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previously announced, Viatris will report third-quarter 2026 financial results on Thursday, Nov. 5, 2026. Company executives will host a conference call and live webcast at 8:30 a.m. ET on the same date to discuss Viatris’ quarterly results and the Pacira transaction. Investors and the general public are invited to listen to a live webcast of the call at </w:t>
      </w:r>
      <w:r>
        <w:rPr>
          <w:rFonts w:ascii="Times New Roman" w:hAnsi="Times New Roman"/>
          <w:color w:val="000000"/>
          <w:sz w:val="20"/>
          <w:u w:val="single"/>
        </w:rPr>
        <w:t>investor.viatris.com</w:t>
      </w:r>
      <w:r>
        <w:rPr>
          <w:rFonts w:ascii="Times New Roman" w:hAnsi="Times New Roman"/>
          <w:color w:val="000000"/>
          <w:sz w:val="20"/>
        </w:rPr>
        <w:t xml:space="preserve"> or by calling 844.308.3344 or 412.317.1896 for international callers. A replay of the webcast also will be available on the website.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Viatris</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Viatris Inc.</w:t>
      </w:r>
      <w:r>
        <w:rPr>
          <w:rFonts w:ascii="Times New Roman" w:hAnsi="Times New Roman"/>
          <w:color w:val="000000"/>
          <w:sz w:val="20"/>
        </w:rPr>
        <w:t xml:space="preserve">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broad portfolio that spans generics, value-added medicines, established brands and innovative medicines that address areas of significant unmet need. We are headquartered in the U.S., with global centers in Pittsburgh, Shanghai and Hyderabad, India. Learn more at viatris.com and </w:t>
      </w:r>
      <w:r>
        <w:rPr>
          <w:rFonts w:ascii="Times New Roman" w:hAnsi="Times New Roman"/>
          <w:color w:val="000000"/>
          <w:sz w:val="20"/>
          <w:u w:val="single"/>
        </w:rPr>
        <w:t>investor.viatris.com</w:t>
      </w:r>
      <w:r>
        <w:rPr>
          <w:rFonts w:ascii="Times New Roman" w:hAnsi="Times New Roman"/>
          <w:color w:val="000000"/>
          <w:sz w:val="20"/>
        </w:rPr>
        <w:t xml:space="preserve">, and connect with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Instagram</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Pacira BioSciences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Pacira BioSciences, Inc. (Nasdaq: PCRX) delivers innovative, non-opioid pain therapies to transform the lives of patients. Pacira has two commercial-stage non-opioid treatments: EXPAREL® (bupivacaine liposome injectable suspension), a long-acting local analgesic for post-surgical pain management and ZILRETTA® (triamcinolone acetonide extended-release injectable suspension), an extended-release, intra-articular injection indicated for the management of osteoarthritis knee pain. Pacira is also advancing a pipeline of clinical-stage assets for musculoskeletal pain and adjacencies. Its most advanced product candidate, PCRX-201 (enekinragene inzadenovec), a novel locally administered gene therapy, is in Phase 2 clinical development for osteoarthritis of the knee. To learn more about Pacira, visit </w:t>
      </w:r>
      <w:r>
        <w:rPr>
          <w:rFonts w:ascii="Times New Roman" w:hAnsi="Times New Roman"/>
          <w:color w:val="000000"/>
          <w:sz w:val="20"/>
          <w:u w:val="single"/>
        </w:rPr>
        <w:t>www.pacira.com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About EXPAREL® (bupivacaine liposome injectable suspension)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EXPAREL is indicated to produce postsurgical local analgesia via infiltration in patients aged 6 years and older, and postsurgical regional analgesia via an interscalene brachial plexus block in adults, a sciatic nerve block in the popliteal fossa in adults, and an adductor canal block in adults. The safety and effectiveness of EXPAREL have not been established to produce postsurgical regional analgesia via other nerve blocks besides an interscalene brachial plexus nerve block, a sciatic nerve block in the popliteal fossa, or an adductor canal block. The product combines bupivacaine with multivesicular liposomes, a proven product delivery technology that delivers medication over a desired time period. EXPAREL represents the first and only multivesicular liposome local anesthetic that can be utilized in the peri- or postsurgical setting. By utilizing the multivesicular liposome platform, a single dose of EXPAREL delivers bupivacaine over time, providing significant reductions in cumulative pain scores with up to a 78 percent decrease in opioid consumption; the clinical benefit of the opioid reduction was not demonstrated. Additional information is available at </w:t>
      </w:r>
      <w:r>
        <w:rPr>
          <w:rFonts w:ascii="Times New Roman" w:hAnsi="Times New Roman"/>
          <w:color w:val="000000"/>
          <w:sz w:val="20"/>
          <w:u w:val="single"/>
        </w:rPr>
        <w:t>www.EXPAREL.com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Safety Information about EXPAREL for Patients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EXPAREL should not be used in obstetrical paracervical block anesthesia. In studies in adults where EXPAREL was injected into a wound, the most common side effects were nausea, constipation, and vomiting. In studies in adults where EXPAREL was injected near a nerve, the most common side effects were nausea, fever, and constipation. In the study where EXPAREL was given to children, the most common side effects were nausea, vomiting, constipation, low blood pressure, low number of red blood cells, muscle twitching, blurred vision, itching, and rapid heartbeat. EXPAREL can cause a temporary loss of feeling and/or loss of muscle movement. How much and how long the loss of feeling and/or muscle movement depends on where and how much of EXPAREL was injected and may last for up to 5 days. EXPAREL is not recommended to be used in patients younger than 6 years old for injection into the wound, for patients younger than 18 years old, for injection near a nerve, and/or in pregnant women. Tell your health care provider if you or your child has liver disease, since this may affect how the active ingredient (bupivacaine) in EXPAREL is eliminated from the body. EXPAREL should not be injected into the spine, joints, or veins. The active ingredient in EXPAREL can affect the nervous system and the cardiovascular system; may cause an allergic reaction; may cause damage if injected into the joints; and can cause a rare blood disorder.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About ZILRETTA® (triamcinolone acetonide extended-release injectable suspension)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October 6, 2017, ZILRETTA was approved by the U.S. Food and Drug Administration as the first and only extended-release intra-articular therapy for patients confronting osteoarthritis (OA)-related knee pain. ZILRETTA employs proprietary microsphere technology combining triamcinolone acetonide—a commonly administered, short-acting corticosteroid—with a poly lactic-co-glycolic acid (PLGA) matrix to provide extended pain relief. The pivotal Phase 3 trial on which the approval of ZILRETTA was based showed that ZILRETTA significantly reduced OA knee pain for 12 weeks, with some people experiencing pain relief through Week 16. Learn more at </w:t>
      </w:r>
      <w:r>
        <w:rPr>
          <w:rFonts w:ascii="Times New Roman" w:hAnsi="Times New Roman"/>
          <w:color w:val="000000"/>
          <w:sz w:val="20"/>
          <w:u w:val="single"/>
        </w:rPr>
        <w:t>www.zilretta.com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Indication and Select Important Safety Information for ZILRETTA</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Indication:</w:t>
      </w:r>
      <w:r>
        <w:rPr>
          <w:rFonts w:ascii="Times New Roman" w:hAnsi="Times New Roman"/>
          <w:color w:val="000000"/>
          <w:sz w:val="24"/>
        </w:rPr>
        <w:t xml:space="preserve"> </w:t>
      </w:r>
      <w:r>
        <w:rPr>
          <w:rFonts w:ascii="Times New Roman" w:hAnsi="Times New Roman"/>
          <w:color w:val="000000"/>
          <w:sz w:val="20"/>
        </w:rPr>
        <w:t>ZILRETTA is indicated as an intra-articular injection for the management of OA pain of the knee. Limitation of Use: The efficacy and safety of repeat administration of ZILRETTA have not been demonstrated.</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 xml:space="preserve">Contraindication: </w:t>
      </w:r>
      <w:r>
        <w:rPr>
          <w:rFonts w:ascii="Times New Roman" w:hAnsi="Times New Roman"/>
          <w:color w:val="000000"/>
          <w:sz w:val="20"/>
        </w:rPr>
        <w:t>ZILRETTA is contraindicated in patients who are hypersensitive to triamcinolone acetonide, corticosteroids or any components of the product.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Warnings and Precautions:</w:t>
      </w:r>
    </w:p>
    <w:p>
      <w:pPr>
        <w:pStyle w:val="Normal"/>
        <w:bidi w:val="0"/>
        <w:spacing w:before="0" w:after="0"/>
        <w:jc w:val="left"/>
        <w:rPr>
          <w:sz w:val="4"/>
          <w:szCs w:val="4"/>
        </w:rPr>
      </w:pPr>
      <w:r>
        <w:rPr>
          <w:sz w:val="4"/>
          <w:szCs w:val="4"/>
        </w:rPr>
      </w:r>
      <w:bookmarkStart w:id="18" w:name="z6dfd7d24ab0f497f8bcfca697a61b321"/>
      <w:bookmarkStart w:id="19" w:name="z6dfd7d24ab0f497f8bcfca697a61b321"/>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Intra-articular Use Only:</w:t>
            </w:r>
            <w:r>
              <w:rPr>
                <w:rFonts w:ascii="Times New Roman" w:hAnsi="Times New Roman"/>
                <w:color w:val="000000"/>
                <w:sz w:val="24"/>
              </w:rPr>
              <w:t xml:space="preserve"> </w:t>
            </w:r>
            <w:r>
              <w:rPr>
                <w:rFonts w:ascii="Times New Roman" w:hAnsi="Times New Roman"/>
                <w:color w:val="000000"/>
                <w:sz w:val="20"/>
              </w:rPr>
              <w:t>ZILRETTA has not been evaluated and should not be administered by epidural, intrathecal, intravenous, intraocular, intramuscular, intradermal, or subcutaneous routes. ZILRETTA should not be considered safe for epidural or intrathecal administration.</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0" w:name="z5112db780841469a9eb899cba1921ee4"/>
      <w:bookmarkStart w:id="21" w:name="z5112db780841469a9eb899cba1921ee4"/>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 xml:space="preserve">Serious Neurologic Adverse Reactions with Epidural and Intrathecal Administration: </w:t>
            </w:r>
            <w:r>
              <w:rPr>
                <w:rFonts w:ascii="Times New Roman" w:hAnsi="Times New Roman"/>
                <w:color w:val="000000"/>
                <w:sz w:val="20"/>
              </w:rPr>
              <w:t>Serious neurologic events have been reported following epidural or intrathecal corticosteroid administration. Corticosteroids are not approved for this use.</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2" w:name="z57517cabd5f546f7a4781e5cb565270c"/>
      <w:bookmarkStart w:id="23" w:name="z57517cabd5f546f7a4781e5cb565270c"/>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Hypersensitivity reactions:</w:t>
            </w:r>
            <w:r>
              <w:rPr>
                <w:rFonts w:ascii="Times New Roman" w:hAnsi="Times New Roman"/>
                <w:color w:val="000000"/>
                <w:sz w:val="24"/>
              </w:rPr>
              <w:t xml:space="preserve"> </w:t>
            </w:r>
            <w:r>
              <w:rPr>
                <w:rFonts w:ascii="Times New Roman" w:hAnsi="Times New Roman"/>
                <w:color w:val="000000"/>
                <w:sz w:val="20"/>
              </w:rPr>
              <w:t>Serious reactions have been reported with triamcinolone acetonide injection. Institute appropriate care if an anaphylactic reaction occurs.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4" w:name="z753eb8ccd3214e81b89b1b90300dcef6"/>
      <w:bookmarkStart w:id="25" w:name="z753eb8ccd3214e81b89b1b90300dcef6"/>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Joint infection and damage:</w:t>
            </w:r>
            <w:r>
              <w:rPr>
                <w:rFonts w:ascii="Times New Roman" w:hAnsi="Times New Roman"/>
                <w:color w:val="000000"/>
                <w:sz w:val="24"/>
              </w:rPr>
              <w:t xml:space="preserve"> </w:t>
            </w:r>
            <w:r>
              <w:rPr>
                <w:rFonts w:ascii="Times New Roman" w:hAnsi="Times New Roman"/>
                <w:color w:val="000000"/>
                <w:sz w:val="20"/>
              </w:rPr>
              <w:t>A marked increase in joint pain, joint swelling, restricted motion, fever and malaise may suggest septic arthritis. If this occurs, conduct appropriate evaluation and if confirmed, institute appropriate antimicrobial treatment.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Adverse Reactions:</w:t>
      </w:r>
      <w:r>
        <w:rPr>
          <w:rFonts w:ascii="Times New Roman" w:hAnsi="Times New Roman"/>
          <w:color w:val="000000"/>
          <w:sz w:val="24"/>
        </w:rPr>
        <w:t xml:space="preserve"> </w:t>
      </w:r>
      <w:r>
        <w:rPr>
          <w:rFonts w:ascii="Times New Roman" w:hAnsi="Times New Roman"/>
          <w:color w:val="000000"/>
          <w:sz w:val="20"/>
        </w:rPr>
        <w:t>The most commonly reported adverse reactions (incidence ≥1%) in clinical studies included sinusitis, cough, and contusions.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Please see </w:t>
      </w:r>
      <w:r>
        <w:rPr>
          <w:rFonts w:ascii="Times New Roman" w:hAnsi="Times New Roman"/>
          <w:b/>
          <w:color w:val="000000"/>
          <w:sz w:val="20"/>
          <w:u w:val="single"/>
        </w:rPr>
        <w:t>ZILRETTALabel.com</w:t>
      </w:r>
      <w:r>
        <w:rPr>
          <w:rFonts w:ascii="Times New Roman" w:hAnsi="Times New Roman"/>
          <w:b/>
          <w:color w:val="000000"/>
          <w:sz w:val="20"/>
        </w:rPr>
        <w:t xml:space="preserve"> for full Prescribing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through its wholly-owned subsidiary, will commence a tender offer to acquire all of the outstanding shares of common stock, $0.001 par value per share, of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of Pacira’s common stock outstanding as of immediately following the expiration of the tender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w:t>
      </w:r>
      <w:r>
        <w:rPr>
          <w:rFonts w:ascii="Times New Roman" w:hAnsi="Times New Roman"/>
          <w:color w:val="000000"/>
          <w:sz w:val="20"/>
          <w:u w:val="single"/>
        </w:rPr>
        <w:t>investor.viatris.com</w:t>
      </w:r>
      <w:r>
        <w:rPr>
          <w:rFonts w:ascii="Times New Roman" w:hAnsi="Times New Roman"/>
          <w:color w:val="000000"/>
          <w:sz w:val="20"/>
        </w:rPr>
        <w:t>, and we use this website address as a means of disclosing material information to the public in a broad, non-exclusionary manner for purposes of the SEC’s Regulation Fair Disclosure (Reg FD). The contents of our website are not incorporated into this communication or our filings with the SEC. Each of Viatris and Pacira undertakes no obligation to update any statements herein for revisions or changes after the date of this communication other than as required by law.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includes the presentation and discussion of certain financial information that differs from what is reported under accounting principles generally accepted in the United States (“U.S. GAAP”). These non-GAAP financial measures, including, but not limited to, adjusted EBITDA, adjusted earnings per share (“EPS”), free cash flow excluding transaction-related and restructuring-related costs, and gross leverage ratio, are presented in order to supplement investors’ and other readers’ understanding and assessment of the financial performance of Viatris and Pacira,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Viatris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cash flow refers to U.S. GAAP net cash provided by operating activities less capital expenditures. Free cash flow excluding transaction-related costs or restructuring-related costs refers to free cash flow further adjusted to exclude transaction-related costs and restructuring-related costs, as applicable. Adjusted EBITDA refers to U.S. GAAP net earnings (loss) adjusted for income tax provision (benefit), interest expense and depreciation and amortization (to calculate EBITDA), and further adjusted for share-based compensation expense, litigation settlements and other contingencies, net, loss on divestitures of businesses, impairment of goodwill and restructuring, acquisition and divestiture-related and other special items. Adjusted EPS refers to adjusted net earnings (loss) divided by the weighted average number of diluted shares of common stock outstanding. Adjusted net earnings (loss) refers to U.S. GAAP net (loss) earnings adjusted for purchase accounting amortization; impairment of goodwill; litigation settlements and other contingencies, net; interest expense; loss on divestitures of businesses; acquisition and divestiture-related costs; restructuring costs; share-based compensation expense; other special items included in cost of sales, research and development expense, selling, general and administrative expense, other (income) expense, net; and tax effect of the above items and other income tax related items. Gross leverage ratio refers to the ratio of notional gross debt to adjusted EBITDA. Notional gross debt is the sum of Viatris’ long-term debt, including current portion, and short-term borrowings and other current obligations, adjusted for net premiums on various debt issuances and deferred financing fees.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Viatris is not providing forward-looking financial guidance metrics for U.S. GAAP net earnings (loss), U.S. GAAP diluted EPS or U.S. GAAP net cash provided by operating activities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in-process research and development (“IPR&amp;D”) and certain other gains or losses as well as related income tax accounting, because certain of these items have not occurred, are out of Viatris’ control and/or cannot be reasonably predicted without unreasonable effort. These items are uncertain, depend on various factors, and could have a material impact on U.S. GAAP reported results for a guidance period. Investors and other readers should consider non-GAAP measures only as supplements to, not as substitutes for or as superior measures to, the measures of financial performance prepared in accordance with U.S. GAAP.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Pacira BioSciences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a Pacira financial measure that does not comply with U.S. GAAP, adjusted EBITDA (earnings before interest, taxes, depreciation and amortization), because this non-GAAP financial measure excludes the impact of items that Pacira’s management believes affect comparability or underlying business trends.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measure supplements Pacira’s financial results prepared in accordance with U.S. GAAP. Pacira management uses this measure to better analyze its financial results and to help make managerial decisions. In Pacira’s management’s opinion, this non-GAAP measure is useful to investors and other users of Pacira’s financial statements by providing greater transparency into the ongoing operating performance of Pacira and its future outlook. Such a measure should not be deemed to be an alternative to U.S. GAAP requirements or a measure of liquidity for Pacira. The non-GAAP measure presented here is also unlikely to be comparable with non-GAAP disclosures released by other companies.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Pacira financial measures included herein are consistent with such measures as reported in Pacira’s earnings releases as furnished to the SEC. A reconciliation of Pacira’s adjusted EBITDA, a non-GAAP financial measure, to the most directly comparable U.S. GAAP financial measure, U.S. GAAP net income (loss), is set forth below.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PACIRA BIOSCIENCES,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U.S. GAAP NET INCOME TO ADJUSTED EBITDA</w:t>
      </w:r>
    </w:p>
    <w:p>
      <w:pPr>
        <w:pStyle w:val="Normal"/>
        <w:bidi w:val="0"/>
        <w:spacing w:before="0" w:after="0"/>
        <w:jc w:val="left"/>
        <w:rPr>
          <w:sz w:val="4"/>
          <w:szCs w:val="4"/>
        </w:rPr>
      </w:pPr>
      <w:r>
        <w:rPr>
          <w:sz w:val="4"/>
          <w:szCs w:val="4"/>
        </w:rPr>
      </w:r>
      <w:bookmarkStart w:id="26" w:name="zcd496c63ab664542a3b08c8ff5fe24bc"/>
      <w:bookmarkStart w:id="27" w:name="zcd496c63ab664542a3b08c8ff5fe24bc"/>
      <w:bookmarkEnd w:id="27"/>
    </w:p>
    <w:tbl>
      <w:tblPr>
        <w:tblW w:w="10205" w:type="dxa"/>
        <w:jc w:val="left"/>
        <w:tblInd w:w="0" w:type="dxa"/>
        <w:tblLayout w:type="fixed"/>
        <w:tblCellMar>
          <w:top w:w="0" w:type="dxa"/>
          <w:left w:w="0" w:type="dxa"/>
          <w:bottom w:w="0" w:type="dxa"/>
          <w:right w:w="0" w:type="dxa"/>
        </w:tblCellMar>
      </w:tblPr>
      <w:tblGrid>
        <w:gridCol w:w="3756"/>
        <w:gridCol w:w="60"/>
        <w:gridCol w:w="342"/>
        <w:gridCol w:w="1047"/>
        <w:gridCol w:w="80"/>
        <w:gridCol w:w="60"/>
        <w:gridCol w:w="331"/>
        <w:gridCol w:w="1013"/>
        <w:gridCol w:w="80"/>
        <w:gridCol w:w="60"/>
        <w:gridCol w:w="260"/>
        <w:gridCol w:w="799"/>
        <w:gridCol w:w="80"/>
        <w:gridCol w:w="60"/>
        <w:gridCol w:w="234"/>
        <w:gridCol w:w="711"/>
        <w:gridCol w:w="80"/>
        <w:gridCol w:w="60"/>
        <w:gridCol w:w="203"/>
        <w:gridCol w:w="789"/>
        <w:gridCol w:w="100"/>
      </w:tblGrid>
      <w:tr>
        <w:trPr/>
        <w:tc>
          <w:tcPr>
            <w:tcW w:w="375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15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Twelve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Months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Ended</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 Millions)</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(Unaudited)</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30, 2025</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 2025</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March 31, 2026</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30, 2026</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30, 2026</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GAAP Net Income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Interest Income</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w:t>
            </w:r>
          </w:p>
        </w:tc>
        <w:tc>
          <w:tcPr>
            <w:tcW w:w="1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Interest Expense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Depreciation Expense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Amortization of Acquired Intangible Assets</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57.3</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EBITDA</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103.6</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Adjustments:</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283"/>
              <w:jc w:val="right"/>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Divestiture and Acquisition-Related Expenses, and Other</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jc w:val="left"/>
              <w:rPr>
                <w:color w:val="000000"/>
              </w:rPr>
            </w:pPr>
            <w:r>
              <w:rPr>
                <w:color w:val="000000"/>
              </w:rPr>
              <w:t>    </w:t>
            </w:r>
            <w:r>
              <w:rPr>
                <w:rFonts w:ascii="Times New Roman" w:hAnsi="Times New Roman"/>
                <w:color w:val="000000"/>
                <w:sz w:val="20"/>
              </w:rPr>
              <w:t>Changes in the Fair Value of Contingent Consideration</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56.0</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Loss on Early Extinguishment of Debt</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EBITDA</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177.0</w:t>
            </w:r>
          </w:p>
        </w:tc>
        <w:tc>
          <w:tcPr>
            <w:tcW w:w="100"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Key Terms and Presentation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guidance metrics: Refers to Viatris total revenues, adjusted EBITDA, free cash flow excluding transaction-related and restructuring-related costs and adjusted EPS. Financial guidance metrics exclude any acquired IPR&amp;D for unsigned deals to be incurred in any future period as it cannot be reasonably forecasted.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Transaction-related costs: Refers to the impact of any acquisition- and divestiture-related transaction costs, including taxes.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Restructuring-related costs: 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network-related simplification and modernization costs.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about the Transaction and Where to Find It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tender offer for the outstanding shares of Pacira’s common stock described in this communication has not yet commenced. This document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w:t>
      </w:r>
      <w:r>
        <w:rPr>
          <w:rFonts w:ascii="Times New Roman" w:hAnsi="Times New Roman"/>
          <w:b/>
          <w:color w:val="000000"/>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 w:hAnsi="Times New Roman"/>
          <w:color w:val="000000"/>
          <w:sz w:val="20"/>
        </w:rPr>
        <w:t>  The offer to purchase, letter of transmittal and other related tender offer documents, as well as the Solicitation/Recommendation Statement on Schedule 14D-9, will be sent to all stockholders of Pacira at no expense to them</w:t>
      </w:r>
      <w:r>
        <w:rPr>
          <w:rFonts w:ascii="Times New Roman" w:hAnsi="Times New Roman"/>
          <w:b/>
          <w:color w:val="000000"/>
          <w:sz w:val="20"/>
        </w:rPr>
        <w:t>.</w:t>
      </w:r>
      <w:r>
        <w:rPr>
          <w:rFonts w:ascii="Times New Roman" w:hAnsi="Times New Roman"/>
          <w:color w:val="000000"/>
          <w:sz w:val="20"/>
        </w:rPr>
        <w:t xml:space="preserve">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w:t>
      </w:r>
      <w:r>
        <w:rPr>
          <w:rFonts w:ascii="Times New Roman" w:hAnsi="Times New Roman"/>
          <w:color w:val="000000"/>
          <w:sz w:val="20"/>
          <w:u w:val="single"/>
        </w:rPr>
        <w:t>InvestorRelations@viatris.com</w:t>
      </w:r>
      <w:r>
        <w:rPr>
          <w:rFonts w:ascii="Times New Roman" w:hAnsi="Times New Roman"/>
          <w:color w:val="000000"/>
          <w:sz w:val="20"/>
        </w:rPr>
        <w:t xml:space="preserve">.  A copy of the Solicitation/Recommendation Statement on Schedule 14D-9 (once it becomes available) also may be obtained free of charge by directing a request to Pacira at </w:t>
      </w:r>
      <w:r>
        <w:rPr>
          <w:rFonts w:ascii="Times New Roman" w:hAnsi="Times New Roman"/>
          <w:color w:val="000000"/>
          <w:sz w:val="20"/>
          <w:u w:val="single"/>
        </w:rPr>
        <w:t>secretary@Pacira.com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8" w:name="z5ac7da113a5e4bfea949e8dbf6ed610b"/>
      <w:bookmarkStart w:id="29" w:name="z5ac7da113a5e4bfea949e8dbf6ed610b"/>
      <w:bookmarkEnd w:id="29"/>
    </w:p>
    <w:tbl>
      <w:tblPr>
        <w:tblW w:w="5080" w:type="dxa"/>
        <w:jc w:val="left"/>
        <w:tblInd w:w="0" w:type="dxa"/>
        <w:tblLayout w:type="fixed"/>
        <w:tblCellMar>
          <w:top w:w="0" w:type="dxa"/>
          <w:left w:w="0" w:type="dxa"/>
          <w:bottom w:w="0" w:type="dxa"/>
          <w:right w:w="0" w:type="dxa"/>
        </w:tblCellMar>
      </w:tblPr>
      <w:tblGrid>
        <w:gridCol w:w="235"/>
        <w:gridCol w:w="2485"/>
        <w:gridCol w:w="60"/>
        <w:gridCol w:w="2240"/>
        <w:gridCol w:w="60"/>
      </w:tblGrid>
      <w:tr>
        <w:trPr/>
        <w:tc>
          <w:tcPr>
            <w:tcW w:w="272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Viatris</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Pacira BioSciences</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Media:</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Media:</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1.724.514.1968</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Kim Hamilton</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Communications@viatris.com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+1.908.721.7067</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Kim.Hamilton@pacira.com</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Jennifer Mauer</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Jennifer.Mauer@viatris.com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Sara Marino</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+1.973.370.5430</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Matt Klein</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Sara.Marino@pacira.com</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Matthew.Klein@viatris.com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Investors:</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Investors:</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Susan Mesco</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1.724.514.1813</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+1.973.451.4030</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InvestorRelations@viatris.com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Susan.Mesco@pacira.com</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Bill Szablewski</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William.Szablewski@viatris.com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jc w:val="left"/>
        <w:rPr/>
      </w:pPr>
      <w:r>
        <w:rPr/>
      </w:r>
    </w:p>
    <w:p>
      <w:pPr>
        <w:pStyle w:val="TextBody"/>
        <w:bidi w:val="0"/>
        <w:spacing w:before="60" w:after="283"/>
        <w:ind w:left="0" w:right="0" w:hanging="0"/>
        <w:jc w:val="center"/>
        <w:rPr>
          <w:caps w:val="false"/>
          <w:smallCaps w:val="false"/>
          <w:bdr w:val="single" w:sz="32" w:space="1" w:color="000000"/>
        </w:rPr>
      </w:pPr>
      <w:bookmarkStart w:id="30" w:name="ef20083514_ex99-2.htm"/>
      <w:bookmarkStart w:id="31" w:name="ksef20083514_ex992"/>
      <w:bookmarkEnd w:id="30"/>
      <w:bookmarkEnd w:id="31"/>
      <w:r>
        <w:rPr>
          <w:caps w:val="false"/>
          <w:smallCaps w:val="false"/>
          <w:bdr w:val="single" w:sz="32"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pPr>
      <w:r>
        <w:rPr/>
      </w:r>
    </w:p>
    <w:p>
      <w:pPr>
        <w:pStyle w:val="TextBody"/>
        <w:bidi w:val="0"/>
        <w:spacing w:before="0" w:after="0"/>
        <w:jc w:val="center"/>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Viatris to Acquire Pacira BioSciences October 8, 2026</w:t>
      </w:r>
    </w:p>
    <w:p>
      <w:pPr>
        <w:pStyle w:val="TextBody"/>
        <w:bidi w:val="0"/>
        <w:spacing w:before="0" w:after="0"/>
        <w:jc w:val="center"/>
        <w:rPr>
          <w:caps w:val="false"/>
          <w:smallCaps w:val="false"/>
          <w:color w:val="FFFFFF"/>
        </w:rPr>
      </w:pPr>
      <w:r>
        <w:rPr>
          <w:caps w:val="false"/>
          <w:smallCaps w:val="false"/>
          <w:color w:val="FFFFFF"/>
        </w:rPr>
        <w:drawing>
          <wp:inline distT="0" distB="0" distL="0" distR="0">
            <wp:extent cx="8096250" cy="451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451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color w:val="FFFFFF"/>
        </w:rPr>
      </w:pPr>
      <w:r>
        <w:rPr>
          <w:caps w:val="false"/>
          <w:smallCaps w:val="false"/>
          <w:color w:val="FFFFFF"/>
        </w:rPr>
        <w:drawing>
          <wp:inline distT="0" distB="0" distL="0" distR="0">
            <wp:extent cx="8096250" cy="451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451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0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45053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0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45053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86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4486275"/>
                    </a:xfrm>
                    <a:prstGeom prst="rect">
                      <a:avLst/>
                    </a:prstGeom>
                  </pic:spPr>
                </pic:pic>
              </a:graphicData>
            </a:graphic>
          </wp:inline>
        </w:drawing>
      </w:r>
      <w:r>
        <w:rPr>
          <w:caps w:val="false"/>
          <w:smallCaps w:val="false"/>
        </w:rPr>
        <w:t xml:space="preserve"> </w:t>
      </w:r>
    </w:p>
    <w:p>
      <w:pPr>
        <w:pStyle w:val="TextBody"/>
        <w:bidi w:val="0"/>
        <w:spacing w:before="0" w:after="0"/>
        <w:jc w:val="center"/>
        <w:rPr>
          <w:caps w:val="false"/>
          <w:smallCaps w:val="false"/>
        </w:rPr>
      </w:pP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color w:val="FFFFFF"/>
        </w:rPr>
      </w:pPr>
      <w:r>
        <w:rPr>
          <w:caps w:val="false"/>
          <w:smallCaps w:val="false"/>
          <w:color w:val="FFFFFF"/>
        </w:rPr>
        <w:drawing>
          <wp:inline distT="0" distB="0" distL="0" distR="0">
            <wp:extent cx="8096250" cy="4505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0" cy="4505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96250" cy="4495800"/>
                    </a:xfrm>
                    <a:prstGeom prst="rect">
                      <a:avLst/>
                    </a:prstGeom>
                  </pic:spPr>
                </pic:pic>
              </a:graphicData>
            </a:graphic>
          </wp:inline>
        </w:drawing>
      </w:r>
      <w:r>
        <w:rPr>
          <w:rFonts w:ascii="Times New Roman;Times;serif" w:hAnsi="Times New Roman;Times;serif"/>
          <w:b w:val="false"/>
          <w:i w:val="false"/>
          <w:caps w:val="false"/>
          <w:smallCaps w:val="false"/>
          <w:sz w:val="20"/>
        </w:rPr>
        <w:b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053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0" cy="45053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43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96250" cy="45434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54494</Words>
  <Characters>295521</Characters>
  <CharactersWithSpaces>352573</CharactersWithSpaces>
  <Paragraphs>2530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