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1200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Taddese Menassie</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06/21/2021</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6"/>
          <w:szCs w:val="16"/>
          <w:color w:val="0000FF"/>
        </w:rPr>
        <w:t>See Remarks</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48.7989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48.7989</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48.7989</w:t>
            </w: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108.3883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108.3883</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108.3883</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215.4901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215.4901</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215.4901</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154.7661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06/21/2021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154.7661</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154.7661</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42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units ("DEUs") that accrued with respect to the 6,752 restricted stock units ("RSUs") previously granted on November 16, 2020 and vest on the same schedule as the underlying RSUs.</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14,997 RSUs previously granted on November 16,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November 23,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March 2, 2021 and vest on the same schedule as the underlying RSUs.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Emerging Markets</w:t>
      </w:r>
    </w:p>
    <w:p>
      <w:pPr>
        <w:ind w:left="6600"/>
        <w:spacing w:after="0" w:line="182"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06/23/2021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880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2021-06-23T19:53:06Z</dcterms:created>
  <dcterms:modified xsi:type="dcterms:W3CDTF">2021-06-23T19:53:06Z</dcterms:modified>
</cp:coreProperties>
</file>