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6"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_______________</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May 10, 2021</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VIATRIS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pacing w:after="0" w:line="232" w:lineRule="exact"/>
        <w:rPr>
          <w:sz w:val="24"/>
          <w:szCs w:val="24"/>
          <w:color w:val="auto"/>
        </w:rPr>
      </w:pPr>
    </w:p>
    <w:tbl>
      <w:tblPr>
        <w:tblLayout w:type="fixed"/>
        <w:tblInd w:w="700" w:type="dxa"/>
        <w:tblCellMar>
          <w:top w:w="0" w:type="dxa"/>
          <w:left w:w="0" w:type="dxa"/>
          <w:bottom w:w="0" w:type="dxa"/>
          <w:right w:w="0" w:type="dxa"/>
        </w:tblCellMar>
      </w:tblPr>
      <w:tr>
        <w:trPr>
          <w:trHeight w:val="233"/>
        </w:trPr>
        <w:tc>
          <w:tcPr>
            <w:tcW w:w="3820" w:type="dxa"/>
            <w:vAlign w:val="bottom"/>
          </w:tcPr>
          <w:p>
            <w:pPr>
              <w:jc w:val="center"/>
              <w:ind w:right="510"/>
              <w:spacing w:after="0"/>
              <w:rPr>
                <w:sz w:val="20"/>
                <w:szCs w:val="20"/>
                <w:color w:val="auto"/>
              </w:rPr>
            </w:pPr>
            <w:r>
              <w:rPr>
                <w:rFonts w:ascii="Arial" w:cs="Arial" w:eastAsia="Arial" w:hAnsi="Arial"/>
                <w:sz w:val="18"/>
                <w:szCs w:val="18"/>
                <w:b w:val="1"/>
                <w:bCs w:val="1"/>
                <w:color w:val="auto"/>
                <w:w w:val="93"/>
              </w:rPr>
              <w:t>Delaware</w:t>
            </w:r>
          </w:p>
        </w:tc>
        <w:tc>
          <w:tcPr>
            <w:tcW w:w="23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001-39695</w:t>
            </w:r>
          </w:p>
        </w:tc>
        <w:tc>
          <w:tcPr>
            <w:tcW w:w="3380" w:type="dxa"/>
            <w:vAlign w:val="bottom"/>
          </w:tcPr>
          <w:p>
            <w:pPr>
              <w:jc w:val="right"/>
              <w:ind w:right="790"/>
              <w:spacing w:after="0"/>
              <w:rPr>
                <w:sz w:val="20"/>
                <w:szCs w:val="20"/>
                <w:color w:val="auto"/>
              </w:rPr>
            </w:pPr>
            <w:r>
              <w:rPr>
                <w:rFonts w:ascii="Arial" w:cs="Arial" w:eastAsia="Arial" w:hAnsi="Arial"/>
                <w:sz w:val="18"/>
                <w:szCs w:val="18"/>
                <w:b w:val="1"/>
                <w:bCs w:val="1"/>
                <w:color w:val="auto"/>
              </w:rPr>
              <w:t>83-4364296</w:t>
            </w:r>
          </w:p>
        </w:tc>
        <w:tc>
          <w:tcPr>
            <w:tcW w:w="0" w:type="dxa"/>
            <w:vAlign w:val="bottom"/>
          </w:tcPr>
          <w:p>
            <w:pPr>
              <w:spacing w:after="0"/>
              <w:rPr>
                <w:sz w:val="1"/>
                <w:szCs w:val="1"/>
                <w:color w:val="auto"/>
              </w:rPr>
            </w:pPr>
          </w:p>
        </w:tc>
      </w:tr>
      <w:tr>
        <w:trPr>
          <w:trHeight w:val="176"/>
        </w:trPr>
        <w:tc>
          <w:tcPr>
            <w:tcW w:w="3820" w:type="dxa"/>
            <w:vAlign w:val="bottom"/>
            <w:vMerge w:val="restart"/>
          </w:tcPr>
          <w:p>
            <w:pPr>
              <w:jc w:val="center"/>
              <w:ind w:right="510"/>
              <w:spacing w:after="0"/>
              <w:rPr>
                <w:sz w:val="20"/>
                <w:szCs w:val="20"/>
                <w:color w:val="auto"/>
              </w:rPr>
            </w:pPr>
            <w:r>
              <w:rPr>
                <w:rFonts w:ascii="Arial" w:cs="Arial" w:eastAsia="Arial" w:hAnsi="Arial"/>
                <w:sz w:val="18"/>
                <w:szCs w:val="18"/>
                <w:color w:val="auto"/>
                <w:w w:val="91"/>
              </w:rPr>
              <w:t>(State or Other Jurisdiction of Incorporation)</w:t>
            </w:r>
          </w:p>
        </w:tc>
        <w:tc>
          <w:tcPr>
            <w:tcW w:w="23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3"/>
              </w:rPr>
              <w:t>(Commission</w:t>
            </w:r>
          </w:p>
        </w:tc>
        <w:tc>
          <w:tcPr>
            <w:tcW w:w="3380" w:type="dxa"/>
            <w:vAlign w:val="bottom"/>
            <w:vMerge w:val="restart"/>
          </w:tcPr>
          <w:p>
            <w:pPr>
              <w:jc w:val="center"/>
              <w:ind w:left="67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820" w:type="dxa"/>
            <w:vAlign w:val="bottom"/>
            <w:vMerge w:val="continue"/>
          </w:tcPr>
          <w:p>
            <w:pPr>
              <w:spacing w:after="0"/>
              <w:rPr>
                <w:sz w:val="20"/>
                <w:szCs w:val="20"/>
                <w:color w:val="auto"/>
              </w:rPr>
            </w:pPr>
          </w:p>
        </w:tc>
        <w:tc>
          <w:tcPr>
            <w:tcW w:w="234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3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1000 Mylan Boulevard, Canonsburg, Pennsylvania, 15317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(724) 514-1800</w:t>
      </w:r>
    </w:p>
    <w:p>
      <w:pPr>
        <w:spacing w:after="0" w:line="327" w:lineRule="exact"/>
        <w:rPr>
          <w:sz w:val="24"/>
          <w:szCs w:val="24"/>
          <w:color w:val="auto"/>
        </w:rPr>
      </w:pPr>
    </w:p>
    <w:p>
      <w:pPr>
        <w:ind w:right="3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 (b))</w:t>
      </w:r>
    </w:p>
    <w:p>
      <w:pPr>
        <w:spacing w:after="0" w:line="103" w:lineRule="exact"/>
        <w:rPr>
          <w:rFonts w:ascii="MS PGothic" w:cs="MS PGothic" w:eastAsia="MS PGothic" w:hAnsi="MS PGothic"/>
          <w:sz w:val="18"/>
          <w:szCs w:val="18"/>
          <w:color w:val="auto"/>
        </w:rPr>
      </w:pPr>
    </w:p>
    <w:p>
      <w:pPr>
        <w:ind w:right="2460" w:firstLine="332"/>
        <w:spacing w:after="0" w:line="386" w:lineRule="auto"/>
        <w:tabs>
          <w:tab w:leader="none" w:pos="66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 (c))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446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85"/>
              </w:rPr>
              <w:t>Title of each class</w:t>
            </w:r>
          </w:p>
        </w:tc>
        <w:tc>
          <w:tcPr>
            <w:tcW w:w="238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89"/>
              </w:rPr>
              <w:t>Trading Symbol(s)</w:t>
            </w:r>
          </w:p>
        </w:tc>
        <w:tc>
          <w:tcPr>
            <w:tcW w:w="4360" w:type="dxa"/>
            <w:vAlign w:val="bottom"/>
          </w:tcPr>
          <w:p>
            <w:pPr>
              <w:jc w:val="center"/>
              <w:spacing w:after="0"/>
              <w:rPr>
                <w:sz w:val="20"/>
                <w:szCs w:val="20"/>
                <w:color w:val="auto"/>
              </w:rPr>
            </w:pPr>
            <w:r>
              <w:rPr>
                <w:rFonts w:ascii="Arial" w:cs="Arial" w:eastAsia="Arial" w:hAnsi="Arial"/>
                <w:sz w:val="20"/>
                <w:szCs w:val="20"/>
                <w:b w:val="1"/>
                <w:bCs w:val="1"/>
                <w:color w:val="auto"/>
                <w:w w:val="87"/>
              </w:rPr>
              <w:t>Name of each exchange on which registered</w:t>
            </w:r>
          </w:p>
        </w:tc>
      </w:tr>
      <w:tr>
        <w:trPr>
          <w:trHeight w:val="228"/>
        </w:trPr>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VTRS</w:t>
            </w:r>
          </w:p>
        </w:tc>
        <w:tc>
          <w:tcPr>
            <w:tcW w:w="12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w:t>
            </w:r>
          </w:p>
        </w:tc>
      </w:tr>
    </w:tbl>
    <w:p>
      <w:pPr>
        <w:spacing w:after="0" w:line="399" w:lineRule="exact"/>
        <w:rPr>
          <w:sz w:val="24"/>
          <w:szCs w:val="24"/>
          <w:color w:val="auto"/>
        </w:rPr>
      </w:pPr>
    </w:p>
    <w:p>
      <w:pPr>
        <w:ind w:right="1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23" w:lineRule="exact"/>
        <w:rPr>
          <w:sz w:val="24"/>
          <w:szCs w:val="24"/>
          <w:color w:val="auto"/>
        </w:rPr>
      </w:pPr>
    </w:p>
    <w:p>
      <w:pPr>
        <w:ind w:left="340"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10, 2021, Viatris Inc. (“Viatris” or the “Company”) issued a press release reporting the Company's financial results for the period ended March 31, 2021. A copy of the press release is attached hereto as Exhibit 99.1 and is incorporated herein by reference.</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previously announced, Viatris will host a conference call and live webcast today at 10:00 a.m. ET to review the Company's financial results for the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(d)</w:t>
            </w:r>
          </w:p>
        </w:tc>
        <w:tc>
          <w:tcPr>
            <w:tcW w:w="10040" w:type="dxa"/>
            <w:vAlign w:val="bottom"/>
          </w:tcPr>
          <w:p>
            <w:pPr>
              <w:ind w:left="300"/>
              <w:spacing w:after="0"/>
              <w:rPr>
                <w:sz w:val="20"/>
                <w:szCs w:val="20"/>
                <w:color w:val="auto"/>
              </w:rPr>
            </w:pPr>
            <w:r>
              <w:rPr>
                <w:rFonts w:ascii="Arial" w:cs="Arial" w:eastAsia="Arial" w:hAnsi="Arial"/>
                <w:sz w:val="18"/>
                <w:szCs w:val="18"/>
                <w:color w:val="auto"/>
              </w:rPr>
              <w:t>Exhibits.</w:t>
            </w:r>
          </w:p>
        </w:tc>
      </w:tr>
      <w:tr>
        <w:trPr>
          <w:trHeight w:val="445"/>
        </w:trPr>
        <w:tc>
          <w:tcPr>
            <w:tcW w:w="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20" w:type="dxa"/>
            <w:vAlign w:val="bottom"/>
          </w:tcPr>
          <w:p>
            <w:pPr>
              <w:spacing w:after="0"/>
              <w:rPr>
                <w:sz w:val="16"/>
                <w:szCs w:val="16"/>
                <w:color w:val="auto"/>
              </w:rPr>
            </w:pPr>
          </w:p>
        </w:tc>
        <w:tc>
          <w:tcPr>
            <w:tcW w:w="1180" w:type="dxa"/>
            <w:vAlign w:val="bottom"/>
            <w:gridSpan w:val="2"/>
          </w:tcPr>
          <w:p>
            <w:pPr>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0040" w:type="dxa"/>
            <w:vAlign w:val="bottom"/>
          </w:tcPr>
          <w:p>
            <w:pPr>
              <w:ind w:left="300"/>
              <w:spacing w:after="0" w:line="190" w:lineRule="exact"/>
              <w:rPr>
                <w:sz w:val="20"/>
                <w:szCs w:val="20"/>
                <w:color w:val="auto"/>
              </w:rPr>
            </w:pPr>
            <w:r>
              <w:rPr>
                <w:rFonts w:ascii="Arial" w:cs="Arial" w:eastAsia="Arial" w:hAnsi="Arial"/>
                <w:sz w:val="18"/>
                <w:szCs w:val="18"/>
                <w:color w:val="auto"/>
              </w:rPr>
              <w:t>Press release announcing the Company's financial results for the first quarter of 2021, dated May 10, 2021.</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9"/>
              </w:rPr>
              <w:t>104</w:t>
            </w:r>
          </w:p>
        </w:tc>
        <w:tc>
          <w:tcPr>
            <w:tcW w:w="860" w:type="dxa"/>
            <w:vAlign w:val="bottom"/>
          </w:tcPr>
          <w:p>
            <w:pPr>
              <w:spacing w:after="0"/>
              <w:rPr>
                <w:sz w:val="21"/>
                <w:szCs w:val="21"/>
                <w:color w:val="auto"/>
              </w:rPr>
            </w:pPr>
          </w:p>
        </w:tc>
        <w:tc>
          <w:tcPr>
            <w:tcW w:w="10040" w:type="dxa"/>
            <w:vAlign w:val="bottom"/>
          </w:tcPr>
          <w:p>
            <w:pPr>
              <w:ind w:left="30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965"/>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5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VIATRIS INC.</w:t>
      </w:r>
    </w:p>
    <w:p>
      <w:pPr>
        <w:spacing w:after="0" w:line="239" w:lineRule="exact"/>
        <w:rPr>
          <w:sz w:val="20"/>
          <w:szCs w:val="20"/>
          <w:color w:val="auto"/>
        </w:rPr>
      </w:pPr>
    </w:p>
    <w:p>
      <w:pPr>
        <w:ind w:left="60"/>
        <w:spacing w:after="0"/>
        <w:tabs>
          <w:tab w:leader="none" w:pos="620" w:val="left"/>
          <w:tab w:leader="none" w:pos="6600" w:val="left"/>
          <w:tab w:leader="none" w:pos="7260" w:val="left"/>
        </w:tabs>
        <w:rPr>
          <w:sz w:val="20"/>
          <w:szCs w:val="20"/>
          <w:color w:val="auto"/>
        </w:rPr>
      </w:pPr>
      <w:r>
        <w:rPr>
          <w:rFonts w:ascii="Arial" w:cs="Arial" w:eastAsia="Arial" w:hAnsi="Arial"/>
          <w:sz w:val="18"/>
          <w:szCs w:val="18"/>
          <w:color w:val="auto"/>
        </w:rPr>
        <w:t>Date:</w:t>
        <w:tab/>
        <w:t>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511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Sanjeev Narula</w:t>
      </w:r>
    </w:p>
    <w:p>
      <w:pPr>
        <w:ind w:left="7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20"/>
          </w:cols>
          <w:pgMar w:left="320" w:top="1215" w:right="859" w:bottom="1440" w:gutter="0" w:footer="0" w:header="0"/>
        </w:sectPr>
      </w:pPr>
    </w:p>
    <w:bookmarkStart w:id="4" w:name="page5"/>
    <w:bookmarkEnd w:id="4"/>
    <w:p>
      <w:pPr>
        <w:jc w:val="center"/>
        <w:ind w:left="420" w:right="160"/>
        <w:spacing w:after="0" w:line="287" w:lineRule="auto"/>
        <w:rPr>
          <w:sz w:val="20"/>
          <w:szCs w:val="20"/>
          <w:color w:val="auto"/>
        </w:rPr>
      </w:pPr>
      <w:r>
        <w:rPr>
          <w:rFonts w:ascii="Arial" w:cs="Arial" w:eastAsia="Arial" w:hAnsi="Arial"/>
          <w:sz w:val="18"/>
          <w:szCs w:val="18"/>
          <w:b w:val="1"/>
          <w:bCs w:val="1"/>
          <w:color w:val="auto"/>
        </w:rPr>
        <w:t>Viatris Inc. Reports Strong First Quarter 2021 Financial Results, Reaffirms 2021 Guidance and Announces Inaugural Quarterly Dividend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PITTSBURGH - May 10, 2021:</w:t>
      </w:r>
    </w:p>
    <w:p>
      <w:pPr>
        <w:spacing w:after="0" w:line="225" w:lineRule="exact"/>
        <w:rPr>
          <w:sz w:val="20"/>
          <w:szCs w:val="20"/>
          <w:color w:val="auto"/>
        </w:rPr>
      </w:pPr>
    </w:p>
    <w:p>
      <w:pPr>
        <w:ind w:left="660" w:right="4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Reports First Quarter 2021 Financial Results - Total Revenue of $4.4 billion, U.S. GAAP net loss of $1.0 billion, Adjusted EBITDA of $1.6 billion, U.S. GAAP net cash provided by operating activities of $849 million, Free cash flow of $799 million</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Board of Directors Declares a Quarterly Dividend of Eleven Cents ($0.11)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Generates $163 Million in New Product Revenue in the First Quarter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Continues Solid Progress in Advancing Key Pipeline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Remains on Track to Achieve Approximately $500 Million in Synergies in 2021</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Reaffirms Financial Guidance for 2021</w:t>
      </w:r>
    </w:p>
    <w:p>
      <w:pPr>
        <w:spacing w:after="0" w:line="333"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Viatris Inc. (NASDAQ: VTRS) today reported results for the first quarter of 2021, which demonstrate the strength of its differentiated operating platform and commercial capabilities, its broad and diverse product portfolio and its strong R&amp;D platform.</w:t>
      </w:r>
    </w:p>
    <w:p>
      <w:pPr>
        <w:spacing w:after="0" w:line="19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Viatris also announced that its Board of Directors declared a quarterly dividend of eleven cents ($0.11) for each issued and outstanding share of the company’s common stock. The dividend is payable on June 26, 2021 to stockholders of record at the close of business on May 24,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Executive Comments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Michael Goettler, Chief Executive Officer stated: “Our strong first-quarter performance across revenue, adjusted EBITDA and free cash flow highlights the diversified and robust business profile that differentiates Viatris as a company. We see underlying strength in our business and we are reaffirming guidance for 2021, which incorporates known and potential headwinds and tailwinds for the remainder of the year. At the conclusion of the second quarter, we will be reassessing our guidance for the full year.”</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Rajiv Malik, President, stated: “We are off to a strong start to the year as we successfully execute on our 2021 business plan priorities – manage our base business, deliver on our new launches, integrate and synergize. Our broad-based, diverse global portfolio drove strong quarterly performance across all four segments and all three product categories. We remain confident in our ability to optimize the one-of-a-kind platform we have built. We are encouraged that our new product launches delivered revenue of $163 million for the quarter and remain on track to meet our $690 million target in new product launch revenue for the year. We are also on track to realize approximately $500 million of cost synergies this year.”</w:t>
      </w:r>
    </w:p>
    <w:p>
      <w:pPr>
        <w:spacing w:after="0" w:line="208"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Sanjeev Narula, Chief Financial Officer, stated: “I am pleased with our strong execution in the quarter and our focused delivery of our financial commitments, including the declaration of our inaugural quarterly dividend and the enhanced disclosures with which we are reporting our results. During the first quarter, we generated $799 million of free cash flow, primarily driven by solid net cash provided by operating activities and the timing of spend. We remain focused on our capital allocation priorities and maintaining our investment grade credit rating.”</w:t>
      </w:r>
    </w:p>
    <w:p>
      <w:pPr>
        <w:sectPr>
          <w:pgSz w:w="11900" w:h="16838" w:orient="portrait"/>
          <w:cols w:equalWidth="0" w:num="1">
            <w:col w:w="11160"/>
          </w:cols>
          <w:pgMar w:left="320" w:top="1345"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4C16AE"/>
        </w:rPr>
        <w:t>Financial Summary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5"/>
          </w:tcPr>
          <w:p>
            <w:pPr>
              <w:jc w:val="center"/>
              <w:ind w:right="6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Combined</w:t>
            </w:r>
          </w:p>
        </w:tc>
        <w:tc>
          <w:tcPr>
            <w:tcW w:w="12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Combined LOE</w:t>
            </w: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Adjusted</w:t>
            </w:r>
          </w:p>
        </w:tc>
        <w:tc>
          <w:tcPr>
            <w:tcW w:w="1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per share amounts and %s)</w:t>
            </w:r>
          </w:p>
        </w:tc>
        <w:tc>
          <w:tcPr>
            <w:tcW w:w="200" w:type="dxa"/>
            <w:vAlign w:val="bottom"/>
          </w:tcPr>
          <w:p>
            <w:pPr>
              <w:spacing w:after="0"/>
              <w:rPr>
                <w:sz w:val="11"/>
                <w:szCs w:val="11"/>
                <w:color w:val="auto"/>
              </w:rPr>
            </w:pPr>
          </w:p>
        </w:tc>
        <w:tc>
          <w:tcPr>
            <w:tcW w:w="8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Operational</w:t>
            </w:r>
          </w:p>
        </w:tc>
        <w:tc>
          <w:tcPr>
            <w:tcW w:w="1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75"/>
        </w:trPr>
        <w:tc>
          <w:tcPr>
            <w:tcW w:w="45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6"/>
              </w:rPr>
              <w:t>Change</w:t>
            </w:r>
            <w:r>
              <w:rPr>
                <w:rFonts w:ascii="Arial" w:cs="Arial" w:eastAsia="Arial" w:hAnsi="Arial"/>
                <w:sz w:val="18"/>
                <w:szCs w:val="18"/>
                <w:b w:val="1"/>
                <w:bCs w:val="1"/>
                <w:color w:val="auto"/>
                <w:w w:val="96"/>
                <w:vertAlign w:val="superscript"/>
              </w:rPr>
              <w:t>(1)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4"/>
              </w:rPr>
              <w:t>Change</w:t>
            </w:r>
            <w:r>
              <w:rPr>
                <w:rFonts w:ascii="Arial" w:cs="Arial" w:eastAsia="Arial" w:hAnsi="Arial"/>
                <w:sz w:val="18"/>
                <w:szCs w:val="18"/>
                <w:b w:val="1"/>
                <w:bCs w:val="1"/>
                <w:color w:val="auto"/>
                <w:w w:val="94"/>
                <w:vertAlign w:val="superscript"/>
              </w:rPr>
              <w:t>(2)(3)</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4"/>
              </w:rPr>
              <w:t>Change</w:t>
            </w:r>
            <w:r>
              <w:rPr>
                <w:rFonts w:ascii="Arial" w:cs="Arial" w:eastAsia="Arial" w:hAnsi="Arial"/>
                <w:sz w:val="18"/>
                <w:szCs w:val="18"/>
                <w:b w:val="1"/>
                <w:bCs w:val="1"/>
                <w:color w:val="auto"/>
                <w:w w:val="94"/>
                <w:vertAlign w:val="superscript"/>
              </w:rPr>
              <w:t>(2)(3)</w:t>
            </w:r>
          </w:p>
        </w:tc>
        <w:tc>
          <w:tcPr>
            <w:tcW w:w="0" w:type="dxa"/>
            <w:vAlign w:val="bottom"/>
          </w:tcPr>
          <w:p>
            <w:pPr>
              <w:spacing w:after="0"/>
              <w:rPr>
                <w:sz w:val="1"/>
                <w:szCs w:val="1"/>
                <w:color w:val="auto"/>
              </w:rPr>
            </w:pPr>
          </w:p>
        </w:tc>
      </w:tr>
      <w:tr>
        <w:trPr>
          <w:trHeight w:val="18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Sales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4,400.1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2,588.2</w:t>
            </w:r>
          </w:p>
        </w:tc>
        <w:tc>
          <w:tcPr>
            <w:tcW w:w="10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9"/>
              </w:rPr>
              <w:t>70%</w:t>
            </w:r>
          </w:p>
        </w:tc>
        <w:tc>
          <w:tcPr>
            <w:tcW w:w="12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(6)%</w:t>
            </w:r>
          </w:p>
        </w:tc>
        <w:tc>
          <w:tcPr>
            <w:tcW w:w="12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458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20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2,571.6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1,986.4</w:t>
            </w:r>
          </w:p>
        </w:tc>
        <w:tc>
          <w:tcPr>
            <w:tcW w:w="1020" w:type="dxa"/>
            <w:vAlign w:val="bottom"/>
            <w:gridSpan w:val="2"/>
          </w:tcPr>
          <w:p>
            <w:pPr>
              <w:jc w:val="center"/>
              <w:ind w:left="28"/>
              <w:spacing w:after="0"/>
              <w:rPr>
                <w:sz w:val="20"/>
                <w:szCs w:val="20"/>
                <w:color w:val="auto"/>
              </w:rPr>
            </w:pPr>
            <w:r>
              <w:rPr>
                <w:rFonts w:ascii="Arial" w:cs="Arial" w:eastAsia="Arial" w:hAnsi="Arial"/>
                <w:sz w:val="14"/>
                <w:szCs w:val="14"/>
                <w:color w:val="auto"/>
                <w:w w:val="99"/>
              </w:rPr>
              <w:t>29%</w:t>
            </w:r>
          </w:p>
        </w:tc>
        <w:tc>
          <w:tcPr>
            <w:tcW w:w="1200" w:type="dxa"/>
            <w:vAlign w:val="bottom"/>
            <w:gridSpan w:val="2"/>
          </w:tcPr>
          <w:p>
            <w:pPr>
              <w:jc w:val="center"/>
              <w:ind w:left="28"/>
              <w:spacing w:after="0"/>
              <w:rPr>
                <w:sz w:val="20"/>
                <w:szCs w:val="20"/>
                <w:color w:val="auto"/>
              </w:rPr>
            </w:pPr>
            <w:r>
              <w:rPr>
                <w:rFonts w:ascii="Arial" w:cs="Arial" w:eastAsia="Arial" w:hAnsi="Arial"/>
                <w:sz w:val="14"/>
                <w:szCs w:val="14"/>
                <w:color w:val="auto"/>
              </w:rPr>
              <w:t>(5)%</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754.7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343.5</w:t>
            </w:r>
          </w:p>
        </w:tc>
        <w:tc>
          <w:tcPr>
            <w:tcW w:w="10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120%</w:t>
            </w:r>
          </w:p>
        </w:tc>
        <w:tc>
          <w:tcPr>
            <w:tcW w:w="12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(5)%</w:t>
            </w:r>
          </w:p>
        </w:tc>
        <w:tc>
          <w:tcPr>
            <w:tcW w:w="12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4580" w:type="dxa"/>
            <w:vAlign w:val="bottom"/>
          </w:tcPr>
          <w:p>
            <w:pPr>
              <w:ind w:left="220"/>
              <w:spacing w:after="0"/>
              <w:rPr>
                <w:sz w:val="20"/>
                <w:szCs w:val="20"/>
                <w:color w:val="auto"/>
              </w:rPr>
            </w:pPr>
            <w:r>
              <w:rPr>
                <w:rFonts w:ascii="Arial" w:cs="Arial" w:eastAsia="Arial" w:hAnsi="Arial"/>
                <w:sz w:val="14"/>
                <w:szCs w:val="14"/>
                <w:color w:val="auto"/>
              </w:rPr>
              <w:t>JANZ</w:t>
            </w:r>
          </w:p>
        </w:tc>
        <w:tc>
          <w:tcPr>
            <w:tcW w:w="20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481.9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243.2</w:t>
            </w:r>
          </w:p>
        </w:tc>
        <w:tc>
          <w:tcPr>
            <w:tcW w:w="1020" w:type="dxa"/>
            <w:vAlign w:val="bottom"/>
            <w:gridSpan w:val="2"/>
          </w:tcPr>
          <w:p>
            <w:pPr>
              <w:jc w:val="center"/>
              <w:ind w:left="28"/>
              <w:spacing w:after="0"/>
              <w:rPr>
                <w:sz w:val="20"/>
                <w:szCs w:val="20"/>
                <w:color w:val="auto"/>
              </w:rPr>
            </w:pPr>
            <w:r>
              <w:rPr>
                <w:rFonts w:ascii="Arial" w:cs="Arial" w:eastAsia="Arial" w:hAnsi="Arial"/>
                <w:sz w:val="14"/>
                <w:szCs w:val="14"/>
                <w:color w:val="auto"/>
                <w:w w:val="99"/>
              </w:rPr>
              <w:t>98%</w:t>
            </w:r>
          </w:p>
        </w:tc>
        <w:tc>
          <w:tcPr>
            <w:tcW w:w="1200" w:type="dxa"/>
            <w:vAlign w:val="bottom"/>
            <w:gridSpan w:val="2"/>
          </w:tcPr>
          <w:p>
            <w:pPr>
              <w:jc w:val="center"/>
              <w:ind w:left="28"/>
              <w:spacing w:after="0"/>
              <w:rPr>
                <w:sz w:val="20"/>
                <w:szCs w:val="20"/>
                <w:color w:val="auto"/>
              </w:rPr>
            </w:pPr>
            <w:r>
              <w:rPr>
                <w:rFonts w:ascii="Arial" w:cs="Arial" w:eastAsia="Arial" w:hAnsi="Arial"/>
                <w:sz w:val="14"/>
                <w:szCs w:val="14"/>
                <w:color w:val="auto"/>
              </w:rPr>
              <w:t>(25)%</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591.9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c>
          <w:tcPr>
            <w:tcW w:w="12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9%</w:t>
            </w:r>
          </w:p>
        </w:tc>
        <w:tc>
          <w:tcPr>
            <w:tcW w:w="12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 by Product Category</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20"/>
              <w:spacing w:after="0"/>
              <w:rPr>
                <w:sz w:val="20"/>
                <w:szCs w:val="20"/>
                <w:color w:val="auto"/>
              </w:rPr>
            </w:pPr>
            <w:r>
              <w:rPr>
                <w:rFonts w:ascii="Arial" w:cs="Arial" w:eastAsia="Arial" w:hAnsi="Arial"/>
                <w:sz w:val="14"/>
                <w:szCs w:val="14"/>
                <w:color w:val="auto"/>
              </w:rPr>
              <w:t>Brands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2,724.6</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1,061.5</w:t>
            </w:r>
          </w:p>
        </w:tc>
        <w:tc>
          <w:tcPr>
            <w:tcW w:w="1020" w:type="dxa"/>
            <w:vAlign w:val="bottom"/>
            <w:gridSpan w:val="2"/>
          </w:tcPr>
          <w:p>
            <w:pPr>
              <w:jc w:val="center"/>
              <w:ind w:left="28"/>
              <w:spacing w:after="0"/>
              <w:rPr>
                <w:sz w:val="20"/>
                <w:szCs w:val="20"/>
                <w:color w:val="auto"/>
              </w:rPr>
            </w:pPr>
            <w:r>
              <w:rPr>
                <w:rFonts w:ascii="Arial" w:cs="Arial" w:eastAsia="Arial" w:hAnsi="Arial"/>
                <w:sz w:val="14"/>
                <w:szCs w:val="14"/>
                <w:color w:val="auto"/>
              </w:rPr>
              <w:t>157%</w:t>
            </w:r>
          </w:p>
        </w:tc>
        <w:tc>
          <w:tcPr>
            <w:tcW w:w="1200" w:type="dxa"/>
            <w:vAlign w:val="bottom"/>
            <w:gridSpan w:val="2"/>
          </w:tcPr>
          <w:p>
            <w:pPr>
              <w:jc w:val="center"/>
              <w:ind w:left="28"/>
              <w:spacing w:after="0"/>
              <w:rPr>
                <w:sz w:val="20"/>
                <w:szCs w:val="20"/>
                <w:color w:val="auto"/>
              </w:rPr>
            </w:pPr>
            <w:r>
              <w:rPr>
                <w:rFonts w:ascii="Arial" w:cs="Arial" w:eastAsia="Arial" w:hAnsi="Arial"/>
                <w:sz w:val="14"/>
                <w:szCs w:val="14"/>
                <w:color w:val="auto"/>
              </w:rPr>
              <w:t>(8)%</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Complex Gx and Biosimilars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328.9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253.3</w:t>
            </w:r>
          </w:p>
        </w:tc>
        <w:tc>
          <w:tcPr>
            <w:tcW w:w="10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9"/>
              </w:rPr>
              <w:t>30%</w:t>
            </w:r>
          </w:p>
        </w:tc>
        <w:tc>
          <w:tcPr>
            <w:tcW w:w="12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27%</w:t>
            </w:r>
          </w:p>
        </w:tc>
        <w:tc>
          <w:tcPr>
            <w:tcW w:w="12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9"/>
        </w:trPr>
        <w:tc>
          <w:tcPr>
            <w:tcW w:w="4580" w:type="dxa"/>
            <w:vAlign w:val="bottom"/>
          </w:tcPr>
          <w:p>
            <w:pPr>
              <w:ind w:left="220"/>
              <w:spacing w:after="0"/>
              <w:rPr>
                <w:sz w:val="20"/>
                <w:szCs w:val="20"/>
                <w:color w:val="auto"/>
              </w:rPr>
            </w:pPr>
            <w:r>
              <w:rPr>
                <w:rFonts w:ascii="Arial" w:cs="Arial" w:eastAsia="Arial" w:hAnsi="Arial"/>
                <w:sz w:val="14"/>
                <w:szCs w:val="14"/>
                <w:color w:val="auto"/>
              </w:rPr>
              <w:t>Generics</w:t>
            </w:r>
          </w:p>
        </w:tc>
        <w:tc>
          <w:tcPr>
            <w:tcW w:w="20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1,346.6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1,273.4</w:t>
            </w:r>
          </w:p>
        </w:tc>
        <w:tc>
          <w:tcPr>
            <w:tcW w:w="1020" w:type="dxa"/>
            <w:vAlign w:val="bottom"/>
            <w:gridSpan w:val="2"/>
          </w:tcPr>
          <w:p>
            <w:pPr>
              <w:jc w:val="center"/>
              <w:ind w:left="28"/>
              <w:spacing w:after="0"/>
              <w:rPr>
                <w:sz w:val="20"/>
                <w:szCs w:val="20"/>
                <w:color w:val="auto"/>
              </w:rPr>
            </w:pPr>
            <w:r>
              <w:rPr>
                <w:rFonts w:ascii="Arial" w:cs="Arial" w:eastAsia="Arial" w:hAnsi="Arial"/>
                <w:sz w:val="14"/>
                <w:szCs w:val="14"/>
                <w:color w:val="auto"/>
                <w:w w:val="98"/>
              </w:rPr>
              <w:t>6%</w:t>
            </w:r>
          </w:p>
        </w:tc>
        <w:tc>
          <w:tcPr>
            <w:tcW w:w="1200" w:type="dxa"/>
            <w:vAlign w:val="bottom"/>
            <w:gridSpan w:val="2"/>
          </w:tcPr>
          <w:p>
            <w:pPr>
              <w:jc w:val="center"/>
              <w:ind w:left="28"/>
              <w:spacing w:after="0"/>
              <w:rPr>
                <w:sz w:val="20"/>
                <w:szCs w:val="20"/>
                <w:color w:val="auto"/>
              </w:rPr>
            </w:pPr>
            <w:r>
              <w:rPr>
                <w:rFonts w:ascii="Arial" w:cs="Arial" w:eastAsia="Arial" w:hAnsi="Arial"/>
                <w:sz w:val="14"/>
                <w:szCs w:val="14"/>
                <w:color w:val="auto"/>
              </w:rPr>
              <w:t>(8)%</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U.S. GAAP Gross Profit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1,127.3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906.1</w:t>
            </w:r>
          </w:p>
        </w:tc>
        <w:tc>
          <w:tcPr>
            <w:tcW w:w="1020" w:type="dxa"/>
            <w:vAlign w:val="bottom"/>
            <w:gridSpan w:val="2"/>
          </w:tcPr>
          <w:p>
            <w:pPr>
              <w:jc w:val="center"/>
              <w:ind w:left="28"/>
              <w:spacing w:after="0"/>
              <w:rPr>
                <w:sz w:val="20"/>
                <w:szCs w:val="20"/>
                <w:color w:val="auto"/>
              </w:rPr>
            </w:pPr>
            <w:r>
              <w:rPr>
                <w:rFonts w:ascii="Arial" w:cs="Arial" w:eastAsia="Arial" w:hAnsi="Arial"/>
                <w:sz w:val="14"/>
                <w:szCs w:val="14"/>
                <w:color w:val="auto"/>
                <w:w w:val="99"/>
              </w:rPr>
              <w:t>24%</w:t>
            </w:r>
          </w:p>
        </w:tc>
        <w:tc>
          <w:tcPr>
            <w:tcW w:w="10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Gross Margin</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34.6 %</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(4)</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2,639.9</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1,380.4</w:t>
            </w:r>
          </w:p>
        </w:tc>
        <w:tc>
          <w:tcPr>
            <w:tcW w:w="1020" w:type="dxa"/>
            <w:vAlign w:val="bottom"/>
            <w:gridSpan w:val="2"/>
          </w:tcPr>
          <w:p>
            <w:pPr>
              <w:jc w:val="center"/>
              <w:ind w:left="28"/>
              <w:spacing w:after="0"/>
              <w:rPr>
                <w:sz w:val="20"/>
                <w:szCs w:val="20"/>
                <w:color w:val="auto"/>
              </w:rPr>
            </w:pPr>
            <w:r>
              <w:rPr>
                <w:rFonts w:ascii="Arial" w:cs="Arial" w:eastAsia="Arial" w:hAnsi="Arial"/>
                <w:sz w:val="14"/>
                <w:szCs w:val="14"/>
                <w:color w:val="auto"/>
                <w:w w:val="99"/>
              </w:rPr>
              <w:t>91%</w:t>
            </w:r>
          </w:p>
        </w:tc>
        <w:tc>
          <w:tcPr>
            <w:tcW w:w="10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(4)</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52.7 %</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Net (Loss) Earnings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(1,037.6)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c>
          <w:tcPr>
            <w:tcW w:w="10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Net Earnings </w:t>
            </w:r>
            <w:r>
              <w:rPr>
                <w:rFonts w:ascii="Arial" w:cs="Arial" w:eastAsia="Arial" w:hAnsi="Arial"/>
                <w:sz w:val="18"/>
                <w:szCs w:val="18"/>
                <w:color w:val="auto"/>
                <w:vertAlign w:val="superscript"/>
              </w:rPr>
              <w:t>(4)</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1,116.4</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467.2</w:t>
            </w:r>
          </w:p>
        </w:tc>
        <w:tc>
          <w:tcPr>
            <w:tcW w:w="1020" w:type="dxa"/>
            <w:vAlign w:val="bottom"/>
            <w:gridSpan w:val="2"/>
          </w:tcPr>
          <w:p>
            <w:pPr>
              <w:jc w:val="center"/>
              <w:ind w:left="28"/>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EBITDA </w:t>
            </w:r>
            <w:r>
              <w:rPr>
                <w:rFonts w:ascii="Arial" w:cs="Arial" w:eastAsia="Arial" w:hAnsi="Arial"/>
                <w:sz w:val="18"/>
                <w:szCs w:val="18"/>
                <w:color w:val="auto"/>
                <w:vertAlign w:val="superscript"/>
              </w:rPr>
              <w:t>(4)</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1,168.1</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582.9</w:t>
            </w:r>
          </w:p>
        </w:tc>
        <w:tc>
          <w:tcPr>
            <w:tcW w:w="1020" w:type="dxa"/>
            <w:vAlign w:val="bottom"/>
            <w:gridSpan w:val="2"/>
          </w:tcPr>
          <w:p>
            <w:pPr>
              <w:jc w:val="center"/>
              <w:ind w:left="2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Adjusted EBITDA </w:t>
            </w:r>
            <w:r>
              <w:rPr>
                <w:rFonts w:ascii="Arial" w:cs="Arial" w:eastAsia="Arial" w:hAnsi="Arial"/>
                <w:sz w:val="18"/>
                <w:szCs w:val="18"/>
                <w:color w:val="auto"/>
                <w:vertAlign w:val="superscript"/>
              </w:rPr>
              <w:t>(4)</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1,636.6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750.7</w:t>
            </w:r>
          </w:p>
        </w:tc>
        <w:tc>
          <w:tcPr>
            <w:tcW w:w="10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118%</w:t>
            </w:r>
          </w:p>
        </w:tc>
        <w:tc>
          <w:tcPr>
            <w:tcW w:w="12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(10)%</w:t>
            </w:r>
          </w:p>
        </w:tc>
        <w:tc>
          <w:tcPr>
            <w:tcW w:w="12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net cash provided by operating activities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848.8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291.1</w:t>
            </w:r>
          </w:p>
        </w:tc>
        <w:tc>
          <w:tcPr>
            <w:tcW w:w="10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Capital expenditures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49.5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43.4</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8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Free cash flow </w:t>
            </w:r>
            <w:r>
              <w:rPr>
                <w:rFonts w:ascii="Arial" w:cs="Arial" w:eastAsia="Arial" w:hAnsi="Arial"/>
                <w:sz w:val="18"/>
                <w:szCs w:val="18"/>
                <w:color w:val="auto"/>
                <w:vertAlign w:val="superscript"/>
              </w:rPr>
              <w:t>(4)</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799.3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247.7</w:t>
            </w:r>
          </w:p>
        </w:tc>
        <w:tc>
          <w:tcPr>
            <w:tcW w:w="10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136" w:lineRule="exact"/>
        <w:rPr>
          <w:sz w:val="20"/>
          <w:szCs w:val="20"/>
          <w:color w:val="auto"/>
        </w:rPr>
      </w:pPr>
    </w:p>
    <w:p>
      <w:pPr>
        <w:ind w:left="660" w:hanging="328"/>
        <w:spacing w:after="0" w:line="241" w:lineRule="auto"/>
        <w:tabs>
          <w:tab w:leader="none" w:pos="593" w:val="left"/>
        </w:tabs>
        <w:numPr>
          <w:ilvl w:val="0"/>
          <w:numId w:val="3"/>
        </w:numPr>
        <w:rPr>
          <w:rFonts w:ascii="Arial" w:cs="Arial" w:eastAsia="Arial" w:hAnsi="Arial"/>
          <w:sz w:val="9"/>
          <w:szCs w:val="9"/>
          <w:color w:val="auto"/>
        </w:rPr>
      </w:pPr>
      <w:r>
        <w:rPr>
          <w:rFonts w:ascii="Arial" w:cs="Arial" w:eastAsia="Arial" w:hAnsi="Arial"/>
          <w:sz w:val="14"/>
          <w:szCs w:val="14"/>
          <w:color w:val="auto"/>
        </w:rPr>
        <w:t>Q1 2020 represents Mylan standalone results for Q1 2020. Mylan was the accounting acquiror in the combination of Mylan N.V. with Pfizer Inc.'s Upjohn business (the "Combination) and therefore the historical financial statements of Mylan for periods prior to the combination are considered to be the historical financial statements of Viatris.</w:t>
      </w:r>
    </w:p>
    <w:p>
      <w:pPr>
        <w:spacing w:after="0" w:line="1" w:lineRule="exact"/>
        <w:rPr>
          <w:rFonts w:ascii="Arial" w:cs="Arial" w:eastAsia="Arial" w:hAnsi="Arial"/>
          <w:sz w:val="9"/>
          <w:szCs w:val="9"/>
          <w:color w:val="auto"/>
        </w:rPr>
      </w:pPr>
    </w:p>
    <w:p>
      <w:pPr>
        <w:ind w:left="580" w:hanging="248"/>
        <w:spacing w:after="0"/>
        <w:tabs>
          <w:tab w:leader="none" w:pos="580" w:val="left"/>
        </w:tabs>
        <w:numPr>
          <w:ilvl w:val="0"/>
          <w:numId w:val="3"/>
        </w:numPr>
        <w:rPr>
          <w:rFonts w:ascii="Arial" w:cs="Arial" w:eastAsia="Arial" w:hAnsi="Arial"/>
          <w:sz w:val="9"/>
          <w:szCs w:val="9"/>
          <w:color w:val="auto"/>
        </w:rPr>
      </w:pPr>
      <w:r>
        <w:rPr>
          <w:rFonts w:ascii="Arial" w:cs="Arial" w:eastAsia="Arial" w:hAnsi="Arial"/>
          <w:sz w:val="14"/>
          <w:szCs w:val="14"/>
          <w:color w:val="auto"/>
        </w:rPr>
        <w:t>Represents operational change for net sales. See “Certain Key Terms” in this release for more information.</w:t>
      </w:r>
    </w:p>
    <w:p>
      <w:pPr>
        <w:spacing w:after="0" w:line="1" w:lineRule="exact"/>
        <w:rPr>
          <w:rFonts w:ascii="Arial" w:cs="Arial" w:eastAsia="Arial" w:hAnsi="Arial"/>
          <w:sz w:val="9"/>
          <w:szCs w:val="9"/>
          <w:color w:val="auto"/>
        </w:rPr>
      </w:pPr>
    </w:p>
    <w:p>
      <w:pPr>
        <w:ind w:left="540" w:hanging="208"/>
        <w:spacing w:after="0"/>
        <w:tabs>
          <w:tab w:leader="none" w:pos="540" w:val="left"/>
        </w:tabs>
        <w:numPr>
          <w:ilvl w:val="0"/>
          <w:numId w:val="3"/>
        </w:numPr>
        <w:rPr>
          <w:rFonts w:ascii="Arial" w:cs="Arial" w:eastAsia="Arial" w:hAnsi="Arial"/>
          <w:sz w:val="9"/>
          <w:szCs w:val="9"/>
          <w:color w:val="auto"/>
        </w:rPr>
      </w:pPr>
      <w:r>
        <w:rPr>
          <w:rFonts w:ascii="Arial" w:cs="Arial" w:eastAsia="Arial" w:hAnsi="Arial"/>
          <w:sz w:val="14"/>
          <w:szCs w:val="14"/>
          <w:color w:val="auto"/>
        </w:rPr>
        <w:t>See “Certain Key Terms” for more information about Combined Adjusted Q1 2020 results and Combined LOE Adjusted Q1 2020 results.</w:t>
      </w:r>
    </w:p>
    <w:p>
      <w:pPr>
        <w:spacing w:after="0" w:line="1" w:lineRule="exact"/>
        <w:rPr>
          <w:rFonts w:ascii="Arial" w:cs="Arial" w:eastAsia="Arial" w:hAnsi="Arial"/>
          <w:sz w:val="9"/>
          <w:szCs w:val="9"/>
          <w:color w:val="auto"/>
        </w:rPr>
      </w:pPr>
    </w:p>
    <w:p>
      <w:pPr>
        <w:ind w:left="540" w:hanging="208"/>
        <w:spacing w:after="0"/>
        <w:tabs>
          <w:tab w:leader="none" w:pos="540" w:val="left"/>
        </w:tabs>
        <w:numPr>
          <w:ilvl w:val="0"/>
          <w:numId w:val="3"/>
        </w:numPr>
        <w:rPr>
          <w:rFonts w:ascii="Arial" w:cs="Arial" w:eastAsia="Arial" w:hAnsi="Arial"/>
          <w:sz w:val="9"/>
          <w:szCs w:val="9"/>
          <w:color w:val="auto"/>
        </w:rPr>
      </w:pPr>
      <w:r>
        <w:rPr>
          <w:rFonts w:ascii="Arial" w:cs="Arial" w:eastAsia="Arial" w:hAnsi="Arial"/>
          <w:sz w:val="14"/>
          <w:szCs w:val="14"/>
          <w:color w:val="auto"/>
        </w:rPr>
        <w:t>Non-GAAP financial measures. See "Non-GAAP Financial Measures"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0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4C16AE"/>
        </w:rPr>
        <w:t>First Quarter Highlights</w:t>
      </w:r>
    </w:p>
    <w:p>
      <w:pPr>
        <w:spacing w:after="0" w:line="247" w:lineRule="exact"/>
        <w:rPr>
          <w:sz w:val="20"/>
          <w:szCs w:val="20"/>
          <w:color w:val="auto"/>
        </w:rPr>
      </w:pPr>
    </w:p>
    <w:p>
      <w:pPr>
        <w:ind w:left="340" w:right="40" w:hanging="332"/>
        <w:spacing w:after="0" w:line="256"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First quarter 2021 net sales totaled $4.40 billion, down 6% compared to combined adjusted Q1 2020 results, but only down 2% compared to combined LOE adjusted Q1 2020 results driven by solid performance across all four of our segments—Developed Markets, Emerging Markets, JANZ (Japan, Australia and New Zealand), and Greater China.</w:t>
      </w:r>
    </w:p>
    <w:p>
      <w:pPr>
        <w:spacing w:after="0" w:line="20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Brands performed better than expectations, driven by products such as EpiPen®, Amitiza®, Lipitor® and Viagra®.</w:t>
      </w:r>
    </w:p>
    <w:p>
      <w:pPr>
        <w:spacing w:after="0" w:line="225" w:lineRule="exact"/>
        <w:rPr>
          <w:rFonts w:ascii="Arial" w:cs="Arial" w:eastAsia="Arial" w:hAnsi="Arial"/>
          <w:sz w:val="18"/>
          <w:szCs w:val="18"/>
          <w:color w:val="auto"/>
        </w:rPr>
      </w:pPr>
    </w:p>
    <w:p>
      <w:pPr>
        <w:ind w:left="340" w:right="580" w:hanging="332"/>
        <w:spacing w:after="0" w:line="26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Complex Generics and Biosimilars grew by 27% compared to combined adjusted Q1 2020 results, largely driven by Pegfilgrastim, Trastuzumab and Adalimumab biosimilars.</w:t>
      </w:r>
    </w:p>
    <w:p>
      <w:pPr>
        <w:spacing w:after="0" w:line="197" w:lineRule="exact"/>
        <w:rPr>
          <w:rFonts w:ascii="Arial" w:cs="Arial" w:eastAsia="Arial" w:hAnsi="Arial"/>
          <w:sz w:val="18"/>
          <w:szCs w:val="18"/>
          <w:color w:val="auto"/>
        </w:rPr>
      </w:pPr>
    </w:p>
    <w:p>
      <w:pPr>
        <w:ind w:left="340" w:hanging="332"/>
        <w:spacing w:after="0" w:line="26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Generics, which include diversified product forms such as extended-release oral solids, injectables, transdermals and topicals, performed in line with expectations, including for the impact of COVID-19 in Q1 2021.</w:t>
      </w:r>
    </w:p>
    <w:p>
      <w:pPr>
        <w:spacing w:after="0" w:line="197" w:lineRule="exact"/>
        <w:rPr>
          <w:rFonts w:ascii="Arial" w:cs="Arial" w:eastAsia="Arial" w:hAnsi="Arial"/>
          <w:sz w:val="18"/>
          <w:szCs w:val="18"/>
          <w:color w:val="auto"/>
        </w:rPr>
      </w:pPr>
    </w:p>
    <w:p>
      <w:pPr>
        <w:ind w:left="340" w:right="440" w:hanging="332"/>
        <w:spacing w:after="0" w:line="26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generated $163 million in new product revenue primarily driven by the Thrombosis portfolio in the Developed Markets segment and is on track to meet $690 million in consolidated new product revenue in 2021.</w:t>
      </w:r>
    </w:p>
    <w:p>
      <w:pPr>
        <w:spacing w:after="0" w:line="197" w:lineRule="exact"/>
        <w:rPr>
          <w:rFonts w:ascii="Arial" w:cs="Arial" w:eastAsia="Arial" w:hAnsi="Arial"/>
          <w:sz w:val="18"/>
          <w:szCs w:val="18"/>
          <w:color w:val="auto"/>
        </w:rPr>
      </w:pPr>
    </w:p>
    <w:p>
      <w:pPr>
        <w:ind w:left="340" w:right="200" w:hanging="332"/>
        <w:spacing w:after="0" w:line="26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generated $799 million of free cash flow, primarily driven by solid U.S. GAAP net cash provided by operating activities of $849 million and the timing of planned capital expenditures.</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solid progress in advancing key pipeline programs for biosimilars, complex products and complex injectables.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Integration and Restructuring</w:t>
      </w:r>
    </w:p>
    <w:p>
      <w:pPr>
        <w:spacing w:after="0" w:line="220"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Workforce actions related to the company’s previously announced global restructuring program are well underway.</w:t>
      </w:r>
    </w:p>
    <w:p>
      <w:pPr>
        <w:spacing w:after="0" w:line="225" w:lineRule="exact"/>
        <w:rPr>
          <w:rFonts w:ascii="Arial" w:cs="Arial" w:eastAsia="Arial" w:hAnsi="Arial"/>
          <w:sz w:val="18"/>
          <w:szCs w:val="18"/>
          <w:color w:val="auto"/>
        </w:rPr>
      </w:pPr>
    </w:p>
    <w:p>
      <w:pPr>
        <w:ind w:left="340" w:right="540" w:hanging="332"/>
        <w:spacing w:after="0" w:line="26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Plans to close, downsize or divest 13 manufacturing sites are in process. As always, the company is committed to ensuring supply continuity so that patients’ needs for critical medicines are met.</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remains on track to realize approximately $500 million of cost synergies this year.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Capital Allocation</w:t>
      </w:r>
    </w:p>
    <w:p>
      <w:pPr>
        <w:spacing w:after="0" w:line="220"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Viatris Board of Directors declared a quarterly dividend of eleven cents ($0.11) per share.</w:t>
      </w:r>
    </w:p>
    <w:p>
      <w:pPr>
        <w:spacing w:after="0" w:line="225" w:lineRule="exact"/>
        <w:rPr>
          <w:rFonts w:ascii="Arial" w:cs="Arial" w:eastAsia="Arial" w:hAnsi="Arial"/>
          <w:sz w:val="18"/>
          <w:szCs w:val="18"/>
          <w:color w:val="auto"/>
        </w:rPr>
      </w:pPr>
    </w:p>
    <w:p>
      <w:pPr>
        <w:ind w:left="340" w:right="200" w:hanging="332"/>
        <w:spacing w:after="0" w:line="261"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paid down $1.06 billion in short-term debt in the quarter, continues to target approximately $6.5 billion of debt repayment through 2023, and remains fully committed to maintaining its investment grade credit rating.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COVID-19 Response</w:t>
      </w:r>
    </w:p>
    <w:p>
      <w:pPr>
        <w:spacing w:after="0" w:line="247"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continues to support the health and safety of colleagues and their families around the world as a top priority.</w:t>
      </w:r>
    </w:p>
    <w:p>
      <w:pPr>
        <w:spacing w:after="0" w:line="225" w:lineRule="exact"/>
        <w:rPr>
          <w:rFonts w:ascii="Arial" w:cs="Arial" w:eastAsia="Arial" w:hAnsi="Arial"/>
          <w:sz w:val="18"/>
          <w:szCs w:val="18"/>
          <w:color w:val="auto"/>
        </w:rPr>
      </w:pPr>
    </w:p>
    <w:p>
      <w:pPr>
        <w:jc w:val="both"/>
        <w:ind w:left="340" w:right="120" w:hanging="332"/>
        <w:spacing w:after="0" w:line="256"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Viatris has ramped up production of antiviral medicines, including remdesivir, and continues to work with government authorities in India to further reduce the cost of the medicines and educate more than 20,000 healthcare professionals about product usage as the country works to overcome its current COVID outbreak.</w:t>
      </w:r>
    </w:p>
    <w:p>
      <w:pPr>
        <w:spacing w:after="0" w:line="201" w:lineRule="exact"/>
        <w:rPr>
          <w:rFonts w:ascii="Arial" w:cs="Arial" w:eastAsia="Arial" w:hAnsi="Arial"/>
          <w:sz w:val="18"/>
          <w:szCs w:val="18"/>
          <w:color w:val="auto"/>
        </w:rPr>
      </w:pPr>
    </w:p>
    <w:p>
      <w:pPr>
        <w:ind w:left="340" w:right="360" w:hanging="332"/>
        <w:spacing w:after="0" w:line="256"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Viatris has a broad, diverse and resilient global manufacturing and supply chain footprint. The company is not dependent on any one country or site. Even in India, the company's manufacturing footprint is spread over five different states, which mitigates the risk of disruption in any given part of the country.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102"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4C16AE"/>
        </w:rPr>
        <w:t>Commitment to Sustainability</w:t>
      </w:r>
    </w:p>
    <w:p>
      <w:pPr>
        <w:spacing w:after="0" w:line="247" w:lineRule="exact"/>
        <w:rPr>
          <w:sz w:val="20"/>
          <w:szCs w:val="20"/>
          <w:color w:val="auto"/>
        </w:rPr>
      </w:pPr>
    </w:p>
    <w:p>
      <w:pPr>
        <w:ind w:left="340" w:right="140" w:hanging="332"/>
        <w:spacing w:after="0" w:line="252"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published its inaugural Sustainability Report reinforcing its strong foundation in corporate social responsibility and commitment to doing its part to address some of the world’s most pressing health needs by providing sustainable access to high-quality medicine, regardless of geography or circumstance. The report provides a comprehensive, enterprise-wide overview of Viatris’ operations as they relate to environmental, social and governance (ESG) matters and outlines efforts from the past year across five key areas of impact: patient health, employee health, environmental health, global public health and community health. The report also includes a deeper look at Viatris’ role in the fight against COVID-19. https://www.viatris.com/en/About-Us/Corporate-Responsibility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Reaffirming 2021 Financial Guidance</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Viatris is reaffirming financial guidance for 2021 as set forth below. The Company is not providing forward-looking guidance for U.S. GAAP net loss or a quantitative reconciliation of its 2021 adjusted EBITDA guidance to the most directly comparable U.S. GAAP measure, U.S. GAAP net loss, because it is unable to predict with reasonable certainty the ultimate outcome of certain significant items, including integration and acquisition-related expenses, restructuring expenses, asset impairments, litigation settlements and other contingencies, such as changes to contingent consideration and certain other gains or losses,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guidance period. U.S. GAAP net cash provided by operating activities for 2021 is estimated to be between $2.65 billion and $2.8 billion, with a midpoint of $2.73 billion.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Financial Guidance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60" w:type="dxa"/>
            <w:vAlign w:val="bottom"/>
          </w:tcPr>
          <w:p>
            <w:pPr>
              <w:spacing w:after="0"/>
              <w:rPr>
                <w:sz w:val="16"/>
                <w:szCs w:val="16"/>
                <w:color w:val="auto"/>
              </w:rPr>
            </w:pPr>
          </w:p>
        </w:tc>
        <w:tc>
          <w:tcPr>
            <w:tcW w:w="2080" w:type="dxa"/>
            <w:vAlign w:val="bottom"/>
            <w:gridSpan w:val="3"/>
          </w:tcPr>
          <w:p>
            <w:pPr>
              <w:ind w:left="440"/>
              <w:spacing w:after="0"/>
              <w:rPr>
                <w:sz w:val="20"/>
                <w:szCs w:val="20"/>
                <w:color w:val="auto"/>
              </w:rPr>
            </w:pPr>
            <w:r>
              <w:rPr>
                <w:rFonts w:ascii="Arial" w:cs="Arial" w:eastAsia="Arial" w:hAnsi="Arial"/>
                <w:sz w:val="14"/>
                <w:szCs w:val="14"/>
                <w:b w:val="1"/>
                <w:bCs w:val="1"/>
                <w:color w:val="auto"/>
              </w:rPr>
              <w:t>Range (Billions)</w:t>
            </w:r>
          </w:p>
        </w:tc>
        <w:tc>
          <w:tcPr>
            <w:tcW w:w="1980" w:type="dxa"/>
            <w:vAlign w:val="bottom"/>
          </w:tcPr>
          <w:p>
            <w:pPr>
              <w:ind w:left="360"/>
              <w:spacing w:after="0"/>
              <w:rPr>
                <w:sz w:val="20"/>
                <w:szCs w:val="20"/>
                <w:color w:val="auto"/>
              </w:rPr>
            </w:pPr>
            <w:r>
              <w:rPr>
                <w:rFonts w:ascii="Arial" w:cs="Arial" w:eastAsia="Arial" w:hAnsi="Arial"/>
                <w:sz w:val="14"/>
                <w:szCs w:val="14"/>
                <w:b w:val="1"/>
                <w:bCs w:val="1"/>
                <w:color w:val="auto"/>
              </w:rPr>
              <w:t>Midpoint (Billions)</w:t>
            </w:r>
          </w:p>
        </w:tc>
      </w:tr>
      <w:tr>
        <w:trPr>
          <w:trHeight w:val="183"/>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$17.8</w:t>
            </w:r>
          </w:p>
        </w:tc>
        <w:tc>
          <w:tcPr>
            <w:tcW w:w="10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$17.5</w:t>
            </w:r>
          </w:p>
        </w:tc>
      </w:tr>
      <w:tr>
        <w:trPr>
          <w:trHeight w:val="189"/>
        </w:trPr>
        <w:tc>
          <w:tcPr>
            <w:tcW w:w="71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EBITDA </w:t>
            </w:r>
            <w:r>
              <w:rPr>
                <w:rFonts w:ascii="Arial" w:cs="Arial" w:eastAsia="Arial" w:hAnsi="Arial"/>
                <w:sz w:val="18"/>
                <w:szCs w:val="18"/>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4"/>
                <w:szCs w:val="14"/>
                <w:color w:val="auto"/>
              </w:rPr>
              <w:t>$6.0</w:t>
            </w:r>
          </w:p>
        </w:tc>
        <w:tc>
          <w:tcPr>
            <w:tcW w:w="1040" w:type="dxa"/>
            <w:vAlign w:val="bottom"/>
          </w:tcPr>
          <w:p>
            <w:pPr>
              <w:ind w:left="20"/>
              <w:spacing w:after="0"/>
              <w:rPr>
                <w:sz w:val="20"/>
                <w:szCs w:val="20"/>
                <w:color w:val="auto"/>
              </w:rPr>
            </w:pPr>
            <w:r>
              <w:rPr>
                <w:rFonts w:ascii="Arial" w:cs="Arial" w:eastAsia="Arial" w:hAnsi="Arial"/>
                <w:sz w:val="14"/>
                <w:szCs w:val="14"/>
                <w:color w:val="auto"/>
              </w:rPr>
              <w:t>- $6.4</w:t>
            </w:r>
          </w:p>
        </w:tc>
        <w:tc>
          <w:tcPr>
            <w:tcW w:w="1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rPr>
              <w:t>$6.2</w:t>
            </w:r>
          </w:p>
        </w:tc>
      </w:tr>
      <w:tr>
        <w:trPr>
          <w:trHeight w:val="189"/>
        </w:trPr>
        <w:tc>
          <w:tcPr>
            <w:tcW w:w="71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Free Cash Flow </w:t>
            </w:r>
            <w:r>
              <w:rPr>
                <w:rFonts w:ascii="Arial" w:cs="Arial" w:eastAsia="Arial" w:hAnsi="Arial"/>
                <w:sz w:val="18"/>
                <w:szCs w:val="18"/>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$2.3</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$2.15</w:t>
            </w:r>
          </w:p>
        </w:tc>
      </w:tr>
    </w:tbl>
    <w:p>
      <w:pPr>
        <w:spacing w:after="0" w:line="67" w:lineRule="exact"/>
        <w:rPr>
          <w:sz w:val="20"/>
          <w:szCs w:val="20"/>
          <w:color w:val="auto"/>
        </w:rPr>
      </w:pPr>
    </w:p>
    <w:p>
      <w:pPr>
        <w:ind w:left="540" w:hanging="208"/>
        <w:spacing w:after="0"/>
        <w:tabs>
          <w:tab w:leader="none" w:pos="54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Conference Call and Earnings Materials</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Viatris Inc. will host a conference call and live webcast, today at 10:00 a.m. ET, to review the Company's financial results for the first quarter ended March 31, 2021. Investors and the general public are invited to listen to a live webcast of the call at investor.viatris.com or by calling 855.493.3607 or 346.354.0950 for international callers (ID#: 3557756). The "Viatris Q1 Earnings Presentation", which will be referenced during the call, can be found at investor.viatris.com. A replay of the webcast also will be available on the website.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Key Terms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combined measures described herein are calculated as indicated, are reflected as approximations and/or with rounding, and do not reflect pro forma results in accordance with ASC 805 or Article 11 of Regulation S-X. Such measures also do not reflect the effect of any purchase accounting adjustments, including but not limited to the elimination of intercompany sales and the fair value of assets and liabilities. Viatris believes these combined 2020 measures provide useful information to understanding and assessing our 2021 performance because they include both Mylan and Upjohn business results, adjusted as set forth below, whereas historical financial information of Viatris prior to November 16, 2020 only represents Mylan’s historical results as Mylan is considered the accounting acquiror of the Upjohn business.</w:t>
      </w:r>
    </w:p>
    <w:p>
      <w:pPr>
        <w:spacing w:after="0" w:line="208"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u w:val="single" w:color="auto"/>
          <w:color w:val="auto"/>
        </w:rPr>
        <w:t>Combined Adjusted Q1 2020 results</w:t>
      </w:r>
      <w:r>
        <w:rPr>
          <w:rFonts w:ascii="Arial" w:cs="Arial" w:eastAsia="Arial" w:hAnsi="Arial"/>
          <w:sz w:val="18"/>
          <w:szCs w:val="18"/>
          <w:color w:val="auto"/>
        </w:rPr>
        <w:t xml:space="preserve"> refer to the sum of Mylan’s standalone results and the standalone carve-out results from the Upjohn Business for the period from January 1, 2020 to March 31, 2020, adjusted for product divestitures in connection with the Combination and sales to Pfizer for pharmaceutical products provided under its U.S. healthcare plan.</w:t>
      </w:r>
    </w:p>
    <w:p>
      <w:pPr>
        <w:spacing w:after="0" w:line="20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u w:val="single" w:color="auto"/>
          <w:color w:val="auto"/>
        </w:rPr>
        <w:t>Combined LOE Adjusted Q1 2020 results</w:t>
      </w:r>
      <w:r>
        <w:rPr>
          <w:rFonts w:ascii="Arial" w:cs="Arial" w:eastAsia="Arial" w:hAnsi="Arial"/>
          <w:sz w:val="18"/>
          <w:szCs w:val="18"/>
          <w:color w:val="auto"/>
        </w:rPr>
        <w:t xml:space="preserve"> refer to Combined Adjusted Q1 2020 results, adjusted for the impact of loss of exclusivity (“LOE”) of Lyrica and Celebrex in Japan which occurred after Q1 2020.</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02" w:right="339" w:bottom="1440" w:gutter="0" w:footer="0" w:header="0"/>
        </w:sectPr>
      </w:pPr>
    </w:p>
    <w:bookmarkStart w:id="8" w:name="page9"/>
    <w:bookmarkEnd w:id="8"/>
    <w:p>
      <w:pPr>
        <w:jc w:val="both"/>
        <w:ind w:right="140"/>
        <w:spacing w:after="0" w:line="256" w:lineRule="auto"/>
        <w:rPr>
          <w:sz w:val="20"/>
          <w:szCs w:val="20"/>
          <w:color w:val="auto"/>
        </w:rPr>
      </w:pPr>
      <w:r>
        <w:rPr>
          <w:rFonts w:ascii="Arial" w:cs="Arial" w:eastAsia="Arial" w:hAnsi="Arial"/>
          <w:sz w:val="18"/>
          <w:szCs w:val="18"/>
          <w:u w:val="single" w:color="auto"/>
          <w:color w:val="auto"/>
        </w:rPr>
        <w:t>New product sales, new product launches or new product revenues</w:t>
      </w:r>
      <w:r>
        <w:rPr>
          <w:rFonts w:ascii="Arial" w:cs="Arial" w:eastAsia="Arial" w:hAnsi="Arial"/>
          <w:sz w:val="18"/>
          <w:szCs w:val="18"/>
          <w:color w:val="auto"/>
        </w:rPr>
        <w:t xml:space="preserve"> refer to revenue from new products launched in 2021 and the carryover impact of new products, including business development, launched since April 1, 2020 (e.g., acquisition of Aspen's thrombosis business in 2020).</w:t>
      </w:r>
    </w:p>
    <w:p>
      <w:pPr>
        <w:spacing w:after="0" w:line="22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u w:val="single" w:color="auto"/>
          <w:color w:val="auto"/>
        </w:rPr>
        <w:t>Operational change</w:t>
      </w:r>
      <w:r>
        <w:rPr>
          <w:rFonts w:ascii="Arial" w:cs="Arial" w:eastAsia="Arial" w:hAnsi="Arial"/>
          <w:sz w:val="18"/>
          <w:szCs w:val="18"/>
          <w:color w:val="auto"/>
        </w:rPr>
        <w:t xml:space="preserve"> refers to constant currency percentage change and is derived by translating net sales or revenues for the current period at prior year comparative period exchange rates, and in doing so shows the percentage change from 2021 constant currency net sales or revenues to the corresponding amount in the prior year.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gross profit, adjusted gross margins, adjusted net earnings, EBITDA, adjusted EBITDA, adjusted EBITDA margin, free cash flow, adjusted R&amp;D and as a % of total revenues, adjusted SG&amp;A and as a % of total revenues, adjusted earnings from operations, adjusted interest expense, adjusted other expense (income), adjusted effective tax rate, notional debt to Credit Agreement Adjusted EBITDA leverage ratio, long-term average debt to Credit Agreement Adjusted EBITDA leverage ratio target, constant currency total revenues and constant currency net sales are presented in order to supplement investors' and other readers' understanding and assessment of the financial performance of Viatris Inc. ("Viatris" or the "Company"). Free cash flow refers to U.S. GAAP net cash provided by operating activities, less capital expenditures. Adjusted EBITDA margin refers to adjusted EBITDA divided by total revenues. Management uses these measures internally for forecasting, budgeting, measuring its operating performance, and incentive-based awards. Primarily due to acquisitions and other significant events which may impact comparability of our periodic operating results, Viatris 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In addition, the Company believes that including EBITDA and supplemental adjustments applied in presenting adjusted EBITDA and Credit Agreement Adjusted EBITDA (as defined below) pursuant to our Credit Agreement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also report sales performance using the non-GAAP financial measures of "constant currency", also referred to herein as "operational change", total revenues and net sales. These measures provide information on the change in total revenues and net sales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The "Summary of Total Revenues by Segment" table below compares net sales on an actual and constant currency basis for each reportable segment for the quarters ended March 31, 2021 and 2020 as well as for total revenues. Also, set forth below,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below, and investors and other readers should consider non-GAAP measures only as supplements to, not as substitutes for or as superior measures to, the measures of financial performance prepared in accordance with U.S. GAAP. For additional information regarding the components and uses of Non-GAAP financial measures refer to Management's Discussion and Analysis of Financial Condition and Results of Operations-- Use of Non-GAAP Financial Measures section of Viatris’ Quarterly Report on Form 10-Q for the three months ended March 31, 2021 (the "Form 10-Q").</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908"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About Viatris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Viatris Inc. (NASDAQ: VTRS) is a new kind of healthcare company, empowering people worldwide to live healthier at every stage of life. We provide access to medicines, advance sustainable operations, develop innovative solutions and leverage our collective expertise to connect more people to more products and services through our one-of-a-kind Global Healthcare Gateway®. Formed in November 2020, Viatris brings together scientific, manufacturing and distribution expertise with proven regulatory, medical and commercial capabilities to deliver high-quality medicines to patients in more than 165 countries and territories. Viatris' portfolio comprises more than 1,400 approved molecules across a wide range of therapeutic areas, spanning both non -communicable and infectious diseases, including globally recognized brands, complex generic and branded medicines, a growing portfolio of biosimilars and a variety of over-the-counter consumer products. With a global workforce of over 40,000, Viatris is headquartered in the U.S., with global centers in Pittsburgh, Shanghai and Hyderabad, India. Learn more at viatris.com and investor.viatris.com, and connect with us on Twitter at @ViatrisInc, LinkedIn and YouTube.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Contacts: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+1.724.514.1968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Communications@viatris.com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Jennifer Mauer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Global Communications and Corporate Brand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Jennifer.Mauer@viatris.com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+1.724.514.1813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InvestorRelations@viatris.com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Bill Szablewski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Capital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William.Szablewski@viatris.com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Melissa Trombetta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Melissa.Trombetta@viatris.com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release contains “forward-looking statements”. These statements are made pursuant to the safe harbor provisions of the Private Securities Litigation Reform Act of 1995. Such forward-looking statements may include, without limitation, reaffirming Viatris’ 2021 guidance, remaining on track to achieve approximately $500 million in synergies in 2021, that we see underlying strength in our business and we are reaffirming guidance for 2021 which incorporates known and potential headwinds and tailwinds for the remainder of the year, that at the conclusion of the second quarter we will be reassessing our guidance for the full year, that we remain confident in our ability to optimize the one-of-a-kind platform we have built, that we remain on track to meet our $690 million target in new product launch revenue for the year, that we remain focused on our capital allocation priorities and maintaining our investment grade credit rating, that there is continued solid progress in advancing key pipeline programs for biosimilars, complex products and complex injectables, that plans to close, downsize or divest 13 manufacturing sites are in process, that we are committed to ensuring supply continuity so that patients’ needs for critical medicines are met, that the Company continues to target approximately $6.5 billion of debt repayment through 2023, that Viatris has ramped up production of antiviral medicines, including remdesivir, and continues to work with government authorities in India to further reduce the cost of the medicines and educate more than 20,000 healthcare professionals about product usage as the country works to overcome its current COVID outbreak and statements about the transaction pursuant to which Mylan N.V. (“Mylan”) combined with Pfizer Inc.’s Upjohn business (the “Upjohn Business”) in a Reverse Morris Trust transaction (the “Combination”) and Upjohn Inc. became the parent entity of the combined Upjohn Business and Mylan business and was renamed “Viatris Inc.” (“Viatris” or the “Company”), the benefits and synergies of the Combination or our global restructuring program, future opportunities for the Company and its products and any other statements regarding the Company’s future operations, financial or operating results, capital allocation, dividend policy, debt ratio and covenants, anticipated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02" w:right="339" w:bottom="1440" w:gutter="0" w:footer="0" w:header="0"/>
        </w:sectPr>
      </w:pPr>
    </w:p>
    <w:bookmarkStart w:id="10" w:name="page11"/>
    <w:bookmarkEnd w:id="10"/>
    <w:p>
      <w:pPr>
        <w:spacing w:after="0" w:line="250" w:lineRule="auto"/>
        <w:rPr>
          <w:sz w:val="20"/>
          <w:szCs w:val="20"/>
          <w:color w:val="auto"/>
        </w:rPr>
      </w:pPr>
      <w:r>
        <w:rPr>
          <w:rFonts w:ascii="Arial" w:cs="Arial" w:eastAsia="Arial" w:hAnsi="Arial"/>
          <w:sz w:val="18"/>
          <w:szCs w:val="18"/>
          <w:color w:val="auto"/>
        </w:rPr>
        <w:t>business levels, future earnings, planned activities, anticipated growth, market opportunities, strategies, competitions,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integration of Mylan and the Upjohn Business or the implementation of the Company’s global restructuring program being more difficult, time consuming or costly than expected; the possibility that the Company may be unable to achieve expected benefits, synergies and operating efficiencies in connection with the Combination or its global restructuring program within the expected timeframe or at all; the possibility that the Company may be unable to successfully integrate Mylan and the Upjohn Business or implement its global restructuring program; operational or financial difficulties or losses associated with the Company’s reliance on agreements with Pfizer in connection with the Combination, including with respect to transition services; the possibility that the Company may be unable to achieve all intended benefits of its strategic initiatives; the potential impact of public health outbreaks, epidemics and pandemics, including the ongoing challenges and uncertainties posed by the COVID-19 pandemic; the Company’s failure to achieve expected or targeted future financial and operating performance and results; actions and decisions of healthcare and pharmaceutical regulators; changes in relevant laws and regulations, including but not limited to changes in tax, healthcare and pharmaceutical laws and regulations globally; the ability to attract and retain key personnel; the 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information technology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the Combination;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and global exchange rates; and inherent uncertainties involved in the estimates and judgments used in the preparation of financial statements, and the providing of estimates of financial measures, in accordance with U.S. GAAP and related standards or on an adjusted basis. For more detailed information on the risks and uncertainties associated with Viatris, see the risks described in Part I, Item 1A in the 2020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release or our other filings with the SEC. Viatris undertakes no obligation to update any statements herein for revisions or changes after the date of this release other than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908"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Viatris Inc. and Subsidiaries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 in millions, except per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200"/>
              <w:spacing w:after="0"/>
              <w:rPr>
                <w:sz w:val="20"/>
                <w:szCs w:val="20"/>
                <w:color w:val="auto"/>
              </w:rPr>
            </w:pPr>
            <w:r>
              <w:rPr>
                <w:rFonts w:ascii="Arial" w:cs="Arial" w:eastAsia="Arial" w:hAnsi="Arial"/>
                <w:sz w:val="14"/>
                <w:szCs w:val="14"/>
                <w:color w:val="auto"/>
              </w:rPr>
              <w:t>Net sales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4,400.1</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2,588.2</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revenues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20"/>
                <w:szCs w:val="20"/>
                <w:color w:val="auto"/>
              </w:rPr>
            </w:pPr>
            <w:r>
              <w:rPr>
                <w:rFonts w:ascii="Arial" w:cs="Arial" w:eastAsia="Arial" w:hAnsi="Arial"/>
                <w:sz w:val="14"/>
                <w:szCs w:val="14"/>
                <w:color w:val="auto"/>
              </w:rPr>
              <w:t>Total revenues</w:t>
            </w:r>
          </w:p>
        </w:tc>
        <w:tc>
          <w:tcPr>
            <w:tcW w:w="2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4,430.3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2,619.2</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Cost of sales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3,303.0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1,713.1</w:t>
            </w:r>
          </w:p>
        </w:tc>
        <w:tc>
          <w:tcPr>
            <w:tcW w:w="0" w:type="dxa"/>
            <w:vAlign w:val="bottom"/>
          </w:tcPr>
          <w:p>
            <w:pPr>
              <w:spacing w:after="0"/>
              <w:rPr>
                <w:sz w:val="1"/>
                <w:szCs w:val="1"/>
                <w:color w:val="auto"/>
              </w:rPr>
            </w:pPr>
          </w:p>
        </w:tc>
      </w:tr>
      <w:tr>
        <w:trPr>
          <w:trHeight w:val="183"/>
        </w:trPr>
        <w:tc>
          <w:tcPr>
            <w:tcW w:w="86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Gross profit</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1,127.3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906.1</w:t>
            </w:r>
          </w:p>
        </w:tc>
        <w:tc>
          <w:tcPr>
            <w:tcW w:w="0" w:type="dxa"/>
            <w:vAlign w:val="bottom"/>
          </w:tcPr>
          <w:p>
            <w:pPr>
              <w:spacing w:after="0"/>
              <w:rPr>
                <w:sz w:val="1"/>
                <w:szCs w:val="1"/>
                <w:color w:val="auto"/>
              </w:rPr>
            </w:pPr>
          </w:p>
        </w:tc>
      </w:tr>
      <w:tr>
        <w:trPr>
          <w:trHeight w:val="169"/>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200"/>
              <w:spacing w:after="0"/>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184.1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114.2</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1,186.5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605.4</w:t>
            </w:r>
          </w:p>
        </w:tc>
        <w:tc>
          <w:tcPr>
            <w:tcW w:w="0" w:type="dxa"/>
            <w:vAlign w:val="bottom"/>
          </w:tcPr>
          <w:p>
            <w:pPr>
              <w:spacing w:after="0"/>
              <w:rPr>
                <w:sz w:val="1"/>
                <w:szCs w:val="1"/>
                <w:color w:val="auto"/>
              </w:rPr>
            </w:pPr>
          </w:p>
        </w:tc>
      </w:tr>
      <w:tr>
        <w:trPr>
          <w:trHeight w:val="189"/>
        </w:trPr>
        <w:tc>
          <w:tcPr>
            <w:tcW w:w="86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Litigation settlements and other contingencies, net</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3"/>
        </w:trPr>
        <w:tc>
          <w:tcPr>
            <w:tcW w:w="86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1,393.5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721.4</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20"/>
                <w:szCs w:val="20"/>
                <w:color w:val="auto"/>
              </w:rPr>
            </w:pPr>
            <w:r>
              <w:rPr>
                <w:rFonts w:ascii="Arial" w:cs="Arial" w:eastAsia="Arial" w:hAnsi="Arial"/>
                <w:sz w:val="14"/>
                <w:szCs w:val="14"/>
                <w:color w:val="auto"/>
              </w:rPr>
              <w:t>(Loss) earnings from operations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(266.2)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184.7</w:t>
            </w:r>
          </w:p>
        </w:tc>
        <w:tc>
          <w:tcPr>
            <w:tcW w:w="0" w:type="dxa"/>
            <w:vAlign w:val="bottom"/>
          </w:tcPr>
          <w:p>
            <w:pPr>
              <w:spacing w:after="0"/>
              <w:rPr>
                <w:sz w:val="1"/>
                <w:szCs w:val="1"/>
                <w:color w:val="auto"/>
              </w:rPr>
            </w:pPr>
          </w:p>
        </w:tc>
      </w:tr>
      <w:tr>
        <w:trPr>
          <w:trHeight w:val="189"/>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w:t>
            </w:r>
          </w:p>
        </w:tc>
        <w:tc>
          <w:tcPr>
            <w:tcW w:w="0" w:type="dxa"/>
            <w:vAlign w:val="bottom"/>
          </w:tcPr>
          <w:p>
            <w:pPr>
              <w:spacing w:after="0"/>
              <w:rPr>
                <w:sz w:val="1"/>
                <w:szCs w:val="1"/>
                <w:color w:val="auto"/>
              </w:rPr>
            </w:pPr>
          </w:p>
        </w:tc>
      </w:tr>
      <w:tr>
        <w:trPr>
          <w:trHeight w:val="189"/>
        </w:trPr>
        <w:tc>
          <w:tcPr>
            <w:tcW w:w="86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expense, net</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83"/>
        </w:trPr>
        <w:tc>
          <w:tcPr>
            <w:tcW w:w="8680" w:type="dxa"/>
            <w:vAlign w:val="bottom"/>
            <w:shd w:val="clear" w:color="auto" w:fill="CCEEFF"/>
          </w:tcPr>
          <w:p>
            <w:pPr>
              <w:spacing w:after="0"/>
              <w:rPr>
                <w:sz w:val="20"/>
                <w:szCs w:val="20"/>
                <w:color w:val="auto"/>
              </w:rPr>
            </w:pPr>
            <w:r>
              <w:rPr>
                <w:rFonts w:ascii="Arial" w:cs="Arial" w:eastAsia="Arial" w:hAnsi="Arial"/>
                <w:sz w:val="14"/>
                <w:szCs w:val="14"/>
                <w:color w:val="auto"/>
              </w:rPr>
              <w:t>(Loss) earnings before income taxes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89"/>
        </w:trPr>
        <w:tc>
          <w:tcPr>
            <w:tcW w:w="86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Income tax provision</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596.3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8"/>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(loss) earnings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(Loss) earnings per share attributable to Viatris Inc. shareholders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6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680" w:type="dxa"/>
            <w:vAlign w:val="bottom"/>
          </w:tcPr>
          <w:p>
            <w:pPr>
              <w:ind w:left="20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(0.86)</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8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Weighted average shares outstanding:</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20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1,207.5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516.4</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1,207.5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60" w:top="886"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4540" w:type="dxa"/>
            <w:vAlign w:val="bottom"/>
            <w:tcBorders>
              <w:bottom w:val="single" w:sz="8" w:color="CCEEFF"/>
            </w:tcBorders>
          </w:tcPr>
          <w:p>
            <w:pPr>
              <w:spacing w:after="0"/>
              <w:rPr>
                <w:sz w:val="15"/>
                <w:szCs w:val="15"/>
                <w:color w:val="auto"/>
              </w:rPr>
            </w:pPr>
          </w:p>
        </w:tc>
        <w:tc>
          <w:tcPr>
            <w:tcW w:w="38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69"/>
        </w:trPr>
        <w:tc>
          <w:tcPr>
            <w:tcW w:w="4540" w:type="dxa"/>
            <w:vAlign w:val="bottom"/>
            <w:shd w:val="clear" w:color="auto" w:fill="CCEEFF"/>
          </w:tcPr>
          <w:p>
            <w:pPr>
              <w:spacing w:after="0"/>
              <w:rPr>
                <w:sz w:val="14"/>
                <w:szCs w:val="14"/>
                <w:color w:val="auto"/>
              </w:rPr>
            </w:pPr>
          </w:p>
        </w:tc>
        <w:tc>
          <w:tcPr>
            <w:tcW w:w="3840" w:type="dxa"/>
            <w:vAlign w:val="bottom"/>
            <w:shd w:val="clear" w:color="auto" w:fill="CCEEFF"/>
          </w:tcPr>
          <w:p>
            <w:pPr>
              <w:jc w:val="center"/>
              <w:ind w:right="1628"/>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Assets</w:t>
            </w:r>
          </w:p>
        </w:tc>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4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assets:</w:t>
            </w:r>
          </w:p>
        </w:tc>
        <w:tc>
          <w:tcPr>
            <w:tcW w:w="3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4540" w:type="dxa"/>
            <w:vAlign w:val="bottom"/>
          </w:tcPr>
          <w:p>
            <w:pPr>
              <w:ind w:left="460"/>
              <w:spacing w:after="0"/>
              <w:rPr>
                <w:sz w:val="20"/>
                <w:szCs w:val="20"/>
                <w:color w:val="auto"/>
              </w:rPr>
            </w:pPr>
            <w:r>
              <w:rPr>
                <w:rFonts w:ascii="Arial" w:cs="Arial" w:eastAsia="Arial" w:hAnsi="Arial"/>
                <w:sz w:val="14"/>
                <w:szCs w:val="14"/>
                <w:color w:val="auto"/>
              </w:rPr>
              <w:t>Cash and cash equivalents</w:t>
            </w:r>
          </w:p>
        </w:tc>
        <w:tc>
          <w:tcPr>
            <w:tcW w:w="4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806.9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844.4</w:t>
            </w:r>
          </w:p>
        </w:tc>
      </w:tr>
      <w:tr>
        <w:trPr>
          <w:trHeight w:val="189"/>
        </w:trPr>
        <w:tc>
          <w:tcPr>
            <w:tcW w:w="4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receivable, net</w:t>
            </w:r>
          </w:p>
        </w:tc>
        <w:tc>
          <w:tcPr>
            <w:tcW w:w="3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4,529.0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4,843.8</w:t>
            </w:r>
          </w:p>
        </w:tc>
      </w:tr>
      <w:tr>
        <w:trPr>
          <w:trHeight w:val="189"/>
        </w:trPr>
        <w:tc>
          <w:tcPr>
            <w:tcW w:w="4540" w:type="dxa"/>
            <w:vAlign w:val="bottom"/>
          </w:tcPr>
          <w:p>
            <w:pPr>
              <w:ind w:left="460"/>
              <w:spacing w:after="0"/>
              <w:rPr>
                <w:sz w:val="20"/>
                <w:szCs w:val="20"/>
                <w:color w:val="auto"/>
              </w:rPr>
            </w:pPr>
            <w:r>
              <w:rPr>
                <w:rFonts w:ascii="Arial" w:cs="Arial" w:eastAsia="Arial" w:hAnsi="Arial"/>
                <w:sz w:val="14"/>
                <w:szCs w:val="14"/>
                <w:color w:val="auto"/>
              </w:rPr>
              <w:t>Inventories</w:t>
            </w:r>
          </w:p>
        </w:tc>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4,942.2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5,471.9</w:t>
            </w:r>
          </w:p>
        </w:tc>
      </w:tr>
      <w:tr>
        <w:trPr>
          <w:trHeight w:val="189"/>
        </w:trPr>
        <w:tc>
          <w:tcPr>
            <w:tcW w:w="45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38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2,040.4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1,707.4</w:t>
            </w:r>
          </w:p>
        </w:tc>
      </w:tr>
      <w:tr>
        <w:trPr>
          <w:trHeight w:val="183"/>
        </w:trPr>
        <w:tc>
          <w:tcPr>
            <w:tcW w:w="454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3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12,318.5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12,867.5</w:t>
            </w:r>
          </w:p>
        </w:tc>
      </w:tr>
      <w:tr>
        <w:trPr>
          <w:trHeight w:val="189"/>
        </w:trPr>
        <w:tc>
          <w:tcPr>
            <w:tcW w:w="4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assets, net</w:t>
            </w:r>
          </w:p>
        </w:tc>
        <w:tc>
          <w:tcPr>
            <w:tcW w:w="3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28,489.6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29,683.2</w:t>
            </w:r>
          </w:p>
        </w:tc>
      </w:tr>
      <w:tr>
        <w:trPr>
          <w:trHeight w:val="189"/>
        </w:trPr>
        <w:tc>
          <w:tcPr>
            <w:tcW w:w="4540" w:type="dxa"/>
            <w:vAlign w:val="bottom"/>
          </w:tcPr>
          <w:p>
            <w:pPr>
              <w:ind w:left="220"/>
              <w:spacing w:after="0"/>
              <w:rPr>
                <w:sz w:val="20"/>
                <w:szCs w:val="20"/>
                <w:color w:val="auto"/>
              </w:rPr>
            </w:pPr>
            <w:r>
              <w:rPr>
                <w:rFonts w:ascii="Arial" w:cs="Arial" w:eastAsia="Arial" w:hAnsi="Arial"/>
                <w:sz w:val="14"/>
                <w:szCs w:val="14"/>
                <w:color w:val="auto"/>
              </w:rPr>
              <w:t>Goodwill</w:t>
            </w:r>
          </w:p>
        </w:tc>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11,907.3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12,347.0</w:t>
            </w:r>
          </w:p>
        </w:tc>
      </w:tr>
      <w:tr>
        <w:trPr>
          <w:trHeight w:val="189"/>
        </w:trPr>
        <w:tc>
          <w:tcPr>
            <w:tcW w:w="4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assets</w:t>
            </w:r>
          </w:p>
        </w:tc>
        <w:tc>
          <w:tcPr>
            <w:tcW w:w="38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6,263.8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6,655.3</w:t>
            </w:r>
          </w:p>
        </w:tc>
      </w:tr>
      <w:tr>
        <w:trPr>
          <w:trHeight w:val="183"/>
        </w:trPr>
        <w:tc>
          <w:tcPr>
            <w:tcW w:w="45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4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58,979.2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61,553.0</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4540" w:type="dxa"/>
            <w:vAlign w:val="bottom"/>
            <w:shd w:val="clear" w:color="auto" w:fill="CCEEFF"/>
          </w:tcPr>
          <w:p>
            <w:pPr>
              <w:spacing w:after="0"/>
              <w:rPr>
                <w:sz w:val="13"/>
                <w:szCs w:val="13"/>
                <w:color w:val="auto"/>
              </w:rPr>
            </w:pPr>
          </w:p>
        </w:tc>
        <w:tc>
          <w:tcPr>
            <w:tcW w:w="3840" w:type="dxa"/>
            <w:vAlign w:val="bottom"/>
            <w:shd w:val="clear" w:color="auto" w:fill="CCEEFF"/>
          </w:tcPr>
          <w:p>
            <w:pPr>
              <w:jc w:val="center"/>
              <w:ind w:right="1648"/>
              <w:spacing w:after="0" w:line="156" w:lineRule="exact"/>
              <w:rPr>
                <w:sz w:val="20"/>
                <w:szCs w:val="20"/>
                <w:color w:val="auto"/>
              </w:rPr>
            </w:pPr>
            <w:r>
              <w:rPr>
                <w:rFonts w:ascii="Arial" w:cs="Arial" w:eastAsia="Arial" w:hAnsi="Arial"/>
                <w:sz w:val="14"/>
                <w:szCs w:val="14"/>
                <w:b w:val="1"/>
                <w:bCs w:val="1"/>
                <w:color w:val="auto"/>
              </w:rPr>
              <w:t>LIABILITIES AND EQUITY</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4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portion of long-term debt and other long-term obligations</w:t>
            </w:r>
          </w:p>
        </w:tc>
        <w:tc>
          <w:tcPr>
            <w:tcW w:w="4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2,300.2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2,308.5</w:t>
            </w:r>
          </w:p>
        </w:tc>
      </w:tr>
      <w:tr>
        <w:trPr>
          <w:trHeight w:val="189"/>
        </w:trPr>
        <w:tc>
          <w:tcPr>
            <w:tcW w:w="4540" w:type="dxa"/>
            <w:vAlign w:val="bottom"/>
          </w:tcPr>
          <w:p>
            <w:pPr>
              <w:ind w:left="220"/>
              <w:spacing w:after="0"/>
              <w:rPr>
                <w:sz w:val="20"/>
                <w:szCs w:val="20"/>
                <w:color w:val="auto"/>
              </w:rPr>
            </w:pPr>
            <w:r>
              <w:rPr>
                <w:rFonts w:ascii="Arial" w:cs="Arial" w:eastAsia="Arial" w:hAnsi="Arial"/>
                <w:sz w:val="14"/>
                <w:szCs w:val="14"/>
                <w:color w:val="auto"/>
              </w:rPr>
              <w:t>Other current liabilities</w:t>
            </w:r>
          </w:p>
        </w:tc>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7,677.9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8,254.4</w:t>
            </w:r>
          </w:p>
        </w:tc>
      </w:tr>
      <w:tr>
        <w:trPr>
          <w:trHeight w:val="189"/>
        </w:trPr>
        <w:tc>
          <w:tcPr>
            <w:tcW w:w="4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Long-term debt</w:t>
            </w:r>
          </w:p>
        </w:tc>
        <w:tc>
          <w:tcPr>
            <w:tcW w:w="3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22,102.2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22,429.2</w:t>
            </w:r>
          </w:p>
        </w:tc>
      </w:tr>
      <w:tr>
        <w:trPr>
          <w:trHeight w:val="189"/>
        </w:trPr>
        <w:tc>
          <w:tcPr>
            <w:tcW w:w="4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liabilities</w:t>
            </w:r>
          </w:p>
        </w:tc>
        <w:tc>
          <w:tcPr>
            <w:tcW w:w="38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5,484.2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5,606.8</w:t>
            </w:r>
          </w:p>
        </w:tc>
      </w:tr>
      <w:tr>
        <w:trPr>
          <w:trHeight w:val="18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3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37,564.5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38,598.9</w:t>
            </w:r>
          </w:p>
        </w:tc>
      </w:tr>
      <w:tr>
        <w:trPr>
          <w:trHeight w:val="18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Shareholders' equity</w:t>
            </w:r>
          </w:p>
        </w:tc>
        <w:tc>
          <w:tcPr>
            <w:tcW w:w="38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21,414.7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22,954.1</w:t>
            </w:r>
          </w:p>
        </w:tc>
      </w:tr>
      <w:tr>
        <w:trPr>
          <w:trHeight w:val="20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 and equity</w:t>
            </w:r>
          </w:p>
        </w:tc>
        <w:tc>
          <w:tcPr>
            <w:tcW w:w="4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58,979.2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61,553.0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40" w:top="886"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9"/>
        </w:trPr>
        <w:tc>
          <w:tcPr>
            <w:tcW w:w="3000" w:type="dxa"/>
            <w:vAlign w:val="bottom"/>
          </w:tcPr>
          <w:p>
            <w:pPr>
              <w:spacing w:after="0"/>
              <w:rPr>
                <w:sz w:val="16"/>
                <w:szCs w:val="16"/>
                <w:color w:val="auto"/>
              </w:rPr>
            </w:pPr>
          </w:p>
        </w:tc>
        <w:tc>
          <w:tcPr>
            <w:tcW w:w="7460" w:type="dxa"/>
            <w:vAlign w:val="bottom"/>
            <w:gridSpan w:val="2"/>
          </w:tcPr>
          <w:p>
            <w:pPr>
              <w:jc w:val="center"/>
              <w:ind w:right="2300"/>
              <w:spacing w:after="0"/>
              <w:rPr>
                <w:sz w:val="20"/>
                <w:szCs w:val="20"/>
                <w:color w:val="auto"/>
              </w:rPr>
            </w:pPr>
            <w:r>
              <w:rPr>
                <w:rFonts w:ascii="Arial" w:cs="Arial" w:eastAsia="Arial" w:hAnsi="Arial"/>
                <w:sz w:val="14"/>
                <w:szCs w:val="14"/>
                <w:b w:val="1"/>
                <w:bCs w:val="1"/>
                <w:color w:val="auto"/>
              </w:rPr>
              <w:t>Viatris Inc.</w:t>
            </w:r>
          </w:p>
        </w:tc>
        <w:tc>
          <w:tcPr>
            <w:tcW w:w="680" w:type="dxa"/>
            <w:vAlign w:val="bottom"/>
          </w:tcPr>
          <w:p>
            <w:pPr>
              <w:spacing w:after="0"/>
              <w:rPr>
                <w:sz w:val="16"/>
                <w:szCs w:val="16"/>
                <w:color w:val="auto"/>
              </w:rPr>
            </w:pPr>
          </w:p>
        </w:tc>
      </w:tr>
      <w:tr>
        <w:trPr>
          <w:trHeight w:val="189"/>
        </w:trPr>
        <w:tc>
          <w:tcPr>
            <w:tcW w:w="3000" w:type="dxa"/>
            <w:vAlign w:val="bottom"/>
          </w:tcPr>
          <w:p>
            <w:pPr>
              <w:spacing w:after="0"/>
              <w:rPr>
                <w:sz w:val="16"/>
                <w:szCs w:val="16"/>
                <w:color w:val="auto"/>
              </w:rPr>
            </w:pPr>
          </w:p>
        </w:tc>
        <w:tc>
          <w:tcPr>
            <w:tcW w:w="7460" w:type="dxa"/>
            <w:vAlign w:val="bottom"/>
            <w:gridSpan w:val="2"/>
          </w:tcPr>
          <w:p>
            <w:pPr>
              <w:jc w:val="center"/>
              <w:ind w:right="2300"/>
              <w:spacing w:after="0"/>
              <w:rPr>
                <w:sz w:val="20"/>
                <w:szCs w:val="20"/>
                <w:color w:val="auto"/>
              </w:rPr>
            </w:pPr>
            <w:r>
              <w:rPr>
                <w:rFonts w:ascii="Arial" w:cs="Arial" w:eastAsia="Arial" w:hAnsi="Arial"/>
                <w:sz w:val="14"/>
                <w:szCs w:val="14"/>
                <w:b w:val="1"/>
                <w:bCs w:val="1"/>
                <w:color w:val="auto"/>
              </w:rPr>
              <w:t>Key Product Net Sales, on a Consolidated Basis</w:t>
            </w:r>
          </w:p>
        </w:tc>
        <w:tc>
          <w:tcPr>
            <w:tcW w:w="680" w:type="dxa"/>
            <w:vAlign w:val="bottom"/>
          </w:tcPr>
          <w:p>
            <w:pPr>
              <w:spacing w:after="0"/>
              <w:rPr>
                <w:sz w:val="16"/>
                <w:szCs w:val="16"/>
                <w:color w:val="auto"/>
              </w:rPr>
            </w:pPr>
          </w:p>
        </w:tc>
      </w:tr>
      <w:tr>
        <w:trPr>
          <w:trHeight w:val="189"/>
        </w:trPr>
        <w:tc>
          <w:tcPr>
            <w:tcW w:w="3000" w:type="dxa"/>
            <w:vAlign w:val="bottom"/>
          </w:tcPr>
          <w:p>
            <w:pPr>
              <w:spacing w:after="0"/>
              <w:rPr>
                <w:sz w:val="16"/>
                <w:szCs w:val="16"/>
                <w:color w:val="auto"/>
              </w:rPr>
            </w:pPr>
          </w:p>
        </w:tc>
        <w:tc>
          <w:tcPr>
            <w:tcW w:w="7460" w:type="dxa"/>
            <w:vAlign w:val="bottom"/>
            <w:gridSpan w:val="2"/>
          </w:tcPr>
          <w:p>
            <w:pPr>
              <w:jc w:val="center"/>
              <w:ind w:right="2300"/>
              <w:spacing w:after="0"/>
              <w:rPr>
                <w:sz w:val="20"/>
                <w:szCs w:val="20"/>
                <w:color w:val="auto"/>
              </w:rPr>
            </w:pPr>
            <w:r>
              <w:rPr>
                <w:rFonts w:ascii="Arial" w:cs="Arial" w:eastAsia="Arial" w:hAnsi="Arial"/>
                <w:sz w:val="14"/>
                <w:szCs w:val="14"/>
                <w:b w:val="1"/>
                <w:bCs w:val="1"/>
                <w:color w:val="auto"/>
              </w:rPr>
              <w:t>Three Months Ended March 31, 2021</w:t>
            </w:r>
          </w:p>
        </w:tc>
        <w:tc>
          <w:tcPr>
            <w:tcW w:w="680" w:type="dxa"/>
            <w:vAlign w:val="bottom"/>
          </w:tcPr>
          <w:p>
            <w:pPr>
              <w:spacing w:after="0"/>
              <w:rPr>
                <w:sz w:val="16"/>
                <w:szCs w:val="16"/>
                <w:color w:val="auto"/>
              </w:rPr>
            </w:pPr>
          </w:p>
        </w:tc>
      </w:tr>
      <w:tr>
        <w:trPr>
          <w:trHeight w:val="190"/>
        </w:trPr>
        <w:tc>
          <w:tcPr>
            <w:tcW w:w="3000" w:type="dxa"/>
            <w:vAlign w:val="bottom"/>
          </w:tcPr>
          <w:p>
            <w:pPr>
              <w:spacing w:after="0"/>
              <w:rPr>
                <w:sz w:val="16"/>
                <w:szCs w:val="16"/>
                <w:color w:val="auto"/>
              </w:rPr>
            </w:pPr>
          </w:p>
        </w:tc>
        <w:tc>
          <w:tcPr>
            <w:tcW w:w="7460" w:type="dxa"/>
            <w:vAlign w:val="bottom"/>
            <w:gridSpan w:val="2"/>
          </w:tcPr>
          <w:p>
            <w:pPr>
              <w:jc w:val="center"/>
              <w:ind w:right="2300"/>
              <w:spacing w:after="0"/>
              <w:rPr>
                <w:sz w:val="20"/>
                <w:szCs w:val="20"/>
                <w:color w:val="auto"/>
              </w:rPr>
            </w:pPr>
            <w:r>
              <w:rPr>
                <w:rFonts w:ascii="Arial" w:cs="Arial" w:eastAsia="Arial" w:hAnsi="Arial"/>
                <w:sz w:val="14"/>
                <w:szCs w:val="14"/>
                <w:b w:val="1"/>
                <w:bCs w:val="1"/>
                <w:color w:val="auto"/>
              </w:rPr>
              <w:t>(Unaudited)</w:t>
            </w:r>
          </w:p>
        </w:tc>
        <w:tc>
          <w:tcPr>
            <w:tcW w:w="680" w:type="dxa"/>
            <w:vAlign w:val="bottom"/>
          </w:tcPr>
          <w:p>
            <w:pPr>
              <w:spacing w:after="0"/>
              <w:rPr>
                <w:sz w:val="16"/>
                <w:szCs w:val="16"/>
                <w:color w:val="auto"/>
              </w:rPr>
            </w:pPr>
          </w:p>
        </w:tc>
      </w:tr>
      <w:tr>
        <w:trPr>
          <w:trHeight w:val="282"/>
        </w:trPr>
        <w:tc>
          <w:tcPr>
            <w:tcW w:w="30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7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w:t>
            </w:r>
          </w:p>
        </w:tc>
      </w:tr>
      <w:tr>
        <w:trPr>
          <w:trHeight w:val="169"/>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Select Key Global Products</w:t>
            </w:r>
          </w:p>
        </w:tc>
        <w:tc>
          <w:tcPr>
            <w:tcW w:w="7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9"/>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Lipitor ®</w:t>
            </w:r>
          </w:p>
        </w:tc>
        <w:tc>
          <w:tcPr>
            <w:tcW w:w="7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464.6</w:t>
            </w:r>
          </w:p>
        </w:tc>
      </w:tr>
      <w:tr>
        <w:trPr>
          <w:trHeight w:val="189"/>
        </w:trPr>
        <w:tc>
          <w:tcPr>
            <w:tcW w:w="3000" w:type="dxa"/>
            <w:vAlign w:val="bottom"/>
          </w:tcPr>
          <w:p>
            <w:pPr>
              <w:ind w:left="140"/>
              <w:spacing w:after="0"/>
              <w:rPr>
                <w:sz w:val="20"/>
                <w:szCs w:val="20"/>
                <w:color w:val="auto"/>
              </w:rPr>
            </w:pPr>
            <w:r>
              <w:rPr>
                <w:rFonts w:ascii="Arial" w:cs="Arial" w:eastAsia="Arial" w:hAnsi="Arial"/>
                <w:sz w:val="14"/>
                <w:szCs w:val="14"/>
                <w:color w:val="auto"/>
              </w:rPr>
              <w:t>Norvasc ®</w:t>
            </w:r>
          </w:p>
        </w:tc>
        <w:tc>
          <w:tcPr>
            <w:tcW w:w="7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227.7</w:t>
            </w:r>
          </w:p>
        </w:tc>
      </w:tr>
      <w:tr>
        <w:trPr>
          <w:trHeight w:val="189"/>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Lyrica ®</w:t>
            </w:r>
          </w:p>
        </w:tc>
        <w:tc>
          <w:tcPr>
            <w:tcW w:w="7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w:t>
            </w:r>
          </w:p>
        </w:tc>
      </w:tr>
      <w:tr>
        <w:trPr>
          <w:trHeight w:val="189"/>
        </w:trPr>
        <w:tc>
          <w:tcPr>
            <w:tcW w:w="3000" w:type="dxa"/>
            <w:vAlign w:val="bottom"/>
          </w:tcPr>
          <w:p>
            <w:pPr>
              <w:ind w:left="140"/>
              <w:spacing w:after="0"/>
              <w:rPr>
                <w:sz w:val="20"/>
                <w:szCs w:val="20"/>
                <w:color w:val="auto"/>
              </w:rPr>
            </w:pPr>
            <w:r>
              <w:rPr>
                <w:rFonts w:ascii="Arial" w:cs="Arial" w:eastAsia="Arial" w:hAnsi="Arial"/>
                <w:sz w:val="14"/>
                <w:szCs w:val="14"/>
                <w:color w:val="auto"/>
              </w:rPr>
              <w:t>Viagra ®</w:t>
            </w:r>
          </w:p>
        </w:tc>
        <w:tc>
          <w:tcPr>
            <w:tcW w:w="7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139.6</w:t>
            </w:r>
          </w:p>
        </w:tc>
      </w:tr>
      <w:tr>
        <w:trPr>
          <w:trHeight w:val="189"/>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EpiPen® Auto-Injectors</w:t>
            </w:r>
          </w:p>
        </w:tc>
        <w:tc>
          <w:tcPr>
            <w:tcW w:w="7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w:t>
            </w:r>
          </w:p>
        </w:tc>
      </w:tr>
      <w:tr>
        <w:trPr>
          <w:trHeight w:val="189"/>
        </w:trPr>
        <w:tc>
          <w:tcPr>
            <w:tcW w:w="3000" w:type="dxa"/>
            <w:vAlign w:val="bottom"/>
          </w:tcPr>
          <w:p>
            <w:pPr>
              <w:ind w:left="140"/>
              <w:spacing w:after="0"/>
              <w:rPr>
                <w:sz w:val="20"/>
                <w:szCs w:val="20"/>
                <w:color w:val="auto"/>
              </w:rPr>
            </w:pPr>
            <w:r>
              <w:rPr>
                <w:rFonts w:ascii="Arial" w:cs="Arial" w:eastAsia="Arial" w:hAnsi="Arial"/>
                <w:sz w:val="14"/>
                <w:szCs w:val="14"/>
                <w:color w:val="auto"/>
              </w:rPr>
              <w:t>Celebrex ®</w:t>
            </w:r>
          </w:p>
        </w:tc>
        <w:tc>
          <w:tcPr>
            <w:tcW w:w="7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89.0</w:t>
            </w:r>
          </w:p>
        </w:tc>
      </w:tr>
      <w:tr>
        <w:trPr>
          <w:trHeight w:val="189"/>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Effexor ®</w:t>
            </w:r>
          </w:p>
        </w:tc>
        <w:tc>
          <w:tcPr>
            <w:tcW w:w="7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w:t>
            </w:r>
          </w:p>
        </w:tc>
      </w:tr>
      <w:tr>
        <w:trPr>
          <w:trHeight w:val="189"/>
        </w:trPr>
        <w:tc>
          <w:tcPr>
            <w:tcW w:w="3000" w:type="dxa"/>
            <w:vAlign w:val="bottom"/>
          </w:tcPr>
          <w:p>
            <w:pPr>
              <w:ind w:left="140"/>
              <w:spacing w:after="0"/>
              <w:rPr>
                <w:sz w:val="20"/>
                <w:szCs w:val="20"/>
                <w:color w:val="auto"/>
              </w:rPr>
            </w:pPr>
            <w:r>
              <w:rPr>
                <w:rFonts w:ascii="Arial" w:cs="Arial" w:eastAsia="Arial" w:hAnsi="Arial"/>
                <w:sz w:val="14"/>
                <w:szCs w:val="14"/>
                <w:color w:val="auto"/>
              </w:rPr>
              <w:t>Zoloft ®</w:t>
            </w:r>
          </w:p>
        </w:tc>
        <w:tc>
          <w:tcPr>
            <w:tcW w:w="7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76.6</w:t>
            </w:r>
          </w:p>
        </w:tc>
      </w:tr>
      <w:tr>
        <w:trPr>
          <w:trHeight w:val="189"/>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Creon ®</w:t>
            </w:r>
          </w:p>
        </w:tc>
        <w:tc>
          <w:tcPr>
            <w:tcW w:w="7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w:t>
            </w:r>
          </w:p>
        </w:tc>
      </w:tr>
      <w:tr>
        <w:trPr>
          <w:trHeight w:val="189"/>
        </w:trPr>
        <w:tc>
          <w:tcPr>
            <w:tcW w:w="3000" w:type="dxa"/>
            <w:vAlign w:val="bottom"/>
          </w:tcPr>
          <w:p>
            <w:pPr>
              <w:ind w:left="140"/>
              <w:spacing w:after="0"/>
              <w:rPr>
                <w:sz w:val="20"/>
                <w:szCs w:val="20"/>
                <w:color w:val="auto"/>
              </w:rPr>
            </w:pPr>
            <w:r>
              <w:rPr>
                <w:rFonts w:ascii="Arial" w:cs="Arial" w:eastAsia="Arial" w:hAnsi="Arial"/>
                <w:sz w:val="14"/>
                <w:szCs w:val="14"/>
                <w:color w:val="auto"/>
              </w:rPr>
              <w:t>Xalabrands</w:t>
            </w:r>
          </w:p>
        </w:tc>
        <w:tc>
          <w:tcPr>
            <w:tcW w:w="7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57.9</w:t>
            </w:r>
          </w:p>
        </w:tc>
      </w:tr>
      <w:tr>
        <w:trPr>
          <w:trHeight w:val="216"/>
        </w:trPr>
        <w:tc>
          <w:tcPr>
            <w:tcW w:w="300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89"/>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Select Key Segment Products</w:t>
            </w:r>
          </w:p>
        </w:tc>
        <w:tc>
          <w:tcPr>
            <w:tcW w:w="7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9"/>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Amitiza ®</w:t>
            </w:r>
          </w:p>
        </w:tc>
        <w:tc>
          <w:tcPr>
            <w:tcW w:w="7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r>
      <w:tr>
        <w:trPr>
          <w:trHeight w:val="189"/>
        </w:trPr>
        <w:tc>
          <w:tcPr>
            <w:tcW w:w="3000" w:type="dxa"/>
            <w:vAlign w:val="bottom"/>
          </w:tcPr>
          <w:p>
            <w:pPr>
              <w:ind w:left="140"/>
              <w:spacing w:after="0"/>
              <w:rPr>
                <w:sz w:val="20"/>
                <w:szCs w:val="20"/>
                <w:color w:val="auto"/>
              </w:rPr>
            </w:pPr>
            <w:r>
              <w:rPr>
                <w:rFonts w:ascii="Arial" w:cs="Arial" w:eastAsia="Arial" w:hAnsi="Arial"/>
                <w:sz w:val="14"/>
                <w:szCs w:val="14"/>
                <w:color w:val="auto"/>
              </w:rPr>
              <w:t>Xanax ®</w:t>
            </w:r>
          </w:p>
        </w:tc>
        <w:tc>
          <w:tcPr>
            <w:tcW w:w="7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45.1</w:t>
            </w:r>
          </w:p>
        </w:tc>
      </w:tr>
      <w:tr>
        <w:trPr>
          <w:trHeight w:val="189"/>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Dymista ®</w:t>
            </w:r>
          </w:p>
        </w:tc>
        <w:tc>
          <w:tcPr>
            <w:tcW w:w="7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r>
      <w:tr>
        <w:trPr>
          <w:trHeight w:val="190"/>
        </w:trPr>
        <w:tc>
          <w:tcPr>
            <w:tcW w:w="3000" w:type="dxa"/>
            <w:vAlign w:val="bottom"/>
          </w:tcPr>
          <w:p>
            <w:pPr>
              <w:ind w:left="140"/>
              <w:spacing w:after="0"/>
              <w:rPr>
                <w:sz w:val="20"/>
                <w:szCs w:val="20"/>
                <w:color w:val="auto"/>
              </w:rPr>
            </w:pPr>
            <w:r>
              <w:rPr>
                <w:rFonts w:ascii="Arial" w:cs="Arial" w:eastAsia="Arial" w:hAnsi="Arial"/>
                <w:sz w:val="14"/>
                <w:szCs w:val="14"/>
                <w:color w:val="auto"/>
              </w:rPr>
              <w:t>Yupelri ®</w:t>
            </w:r>
          </w:p>
        </w:tc>
        <w:tc>
          <w:tcPr>
            <w:tcW w:w="7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36.9</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does not disclose net sales for any products considered competitively sensitive.</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Products disclosed may change in future periods, including as a result of seasonality, competition or new product introductions.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1179" w:right="4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U.S. GAAP Net (Loss) Earnings to Adjusted Net Earnings</w:t>
      </w:r>
    </w:p>
    <w:p>
      <w:pPr>
        <w:spacing w:after="0" w:line="13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Below is a reconciliation of U.S. GAAP net (loss) earnings to adjusted net earnings for the three months ended March 31, 2021 compared to the prior year period: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r>
      <w:tr>
        <w:trPr>
          <w:trHeight w:val="183"/>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net (loss)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r>
      <w:tr>
        <w:trPr>
          <w:trHeight w:val="189"/>
        </w:trPr>
        <w:tc>
          <w:tcPr>
            <w:tcW w:w="88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Purchase accounting related amortization (primarily included in cost of sales) </w:t>
            </w:r>
            <w:r>
              <w:rPr>
                <w:rFonts w:ascii="Arial" w:cs="Arial" w:eastAsia="Arial" w:hAnsi="Arial"/>
                <w:sz w:val="18"/>
                <w:szCs w:val="18"/>
                <w:color w:val="auto"/>
                <w:vertAlign w:val="superscript"/>
              </w:rPr>
              <w:t>(a)</w:t>
            </w: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1,255.0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352.2</w:t>
            </w:r>
          </w:p>
        </w:tc>
      </w:tr>
      <w:tr>
        <w:trPr>
          <w:trHeight w:val="189"/>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Litigation settlements and other contingencies, net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9"/>
        </w:trPr>
        <w:tc>
          <w:tcPr>
            <w:tcW w:w="8860" w:type="dxa"/>
            <w:vAlign w:val="bottom"/>
          </w:tcPr>
          <w:p>
            <w:pPr>
              <w:ind w:left="20"/>
              <w:spacing w:after="0"/>
              <w:rPr>
                <w:sz w:val="20"/>
                <w:szCs w:val="20"/>
                <w:color w:val="auto"/>
              </w:rPr>
            </w:pPr>
            <w:r>
              <w:rPr>
                <w:rFonts w:ascii="Arial" w:cs="Arial" w:eastAsia="Arial" w:hAnsi="Arial"/>
                <w:sz w:val="14"/>
                <w:szCs w:val="14"/>
                <w:color w:val="auto"/>
              </w:rPr>
              <w:t>Interest expense (primarily amortization of premiums and discounts on long term debt)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89"/>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Clean energy investments pre-tax loss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r>
      <w:tr>
        <w:trPr>
          <w:trHeight w:val="189"/>
        </w:trPr>
        <w:tc>
          <w:tcPr>
            <w:tcW w:w="88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Acquisition related costs (primarily included in SG&amp;A) </w:t>
            </w:r>
            <w:r>
              <w:rPr>
                <w:rFonts w:ascii="Arial" w:cs="Arial" w:eastAsia="Arial" w:hAnsi="Arial"/>
                <w:sz w:val="18"/>
                <w:szCs w:val="18"/>
                <w:color w:val="auto"/>
                <w:vertAlign w:val="superscript"/>
              </w:rPr>
              <w:t>(b)</w:t>
            </w: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23.2</w:t>
            </w:r>
          </w:p>
        </w:tc>
      </w:tr>
      <w:tr>
        <w:trPr>
          <w:trHeight w:val="189"/>
        </w:trPr>
        <w:tc>
          <w:tcPr>
            <w:tcW w:w="8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Restructuring related costs </w:t>
            </w:r>
            <w:r>
              <w:rPr>
                <w:rFonts w:ascii="Arial" w:cs="Arial" w:eastAsia="Arial" w:hAnsi="Arial"/>
                <w:sz w:val="18"/>
                <w:szCs w:val="18"/>
                <w:color w:val="auto"/>
                <w:vertAlign w:val="superscript"/>
              </w:rPr>
              <w:t>(c)</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315.4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189"/>
        </w:trPr>
        <w:tc>
          <w:tcPr>
            <w:tcW w:w="886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19.4</w:t>
            </w:r>
          </w:p>
        </w:tc>
      </w:tr>
      <w:tr>
        <w:trPr>
          <w:trHeight w:val="189"/>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special items included in:</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8860" w:type="dxa"/>
            <w:vAlign w:val="bottom"/>
          </w:tcPr>
          <w:p>
            <w:pPr>
              <w:ind w:left="220"/>
              <w:spacing w:after="0" w:line="189" w:lineRule="exact"/>
              <w:rPr>
                <w:sz w:val="20"/>
                <w:szCs w:val="20"/>
                <w:color w:val="auto"/>
              </w:rPr>
            </w:pPr>
            <w:r>
              <w:rPr>
                <w:rFonts w:ascii="Arial" w:cs="Arial" w:eastAsia="Arial" w:hAnsi="Arial"/>
                <w:sz w:val="14"/>
                <w:szCs w:val="14"/>
                <w:color w:val="auto"/>
              </w:rPr>
              <w:t xml:space="preserve">Cost of sales </w:t>
            </w:r>
            <w:r>
              <w:rPr>
                <w:rFonts w:ascii="Arial" w:cs="Arial" w:eastAsia="Arial" w:hAnsi="Arial"/>
                <w:sz w:val="18"/>
                <w:szCs w:val="18"/>
                <w:color w:val="auto"/>
                <w:vertAlign w:val="superscript"/>
              </w:rPr>
              <w:t>(d)</w:t>
            </w: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117.3</w:t>
            </w:r>
          </w:p>
        </w:tc>
      </w:tr>
      <w:tr>
        <w:trPr>
          <w:trHeight w:val="189"/>
        </w:trPr>
        <w:tc>
          <w:tcPr>
            <w:tcW w:w="8860" w:type="dxa"/>
            <w:vAlign w:val="bottom"/>
            <w:shd w:val="clear" w:color="auto" w:fill="CCEEFF"/>
          </w:tcPr>
          <w:p>
            <w:pPr>
              <w:ind w:left="220"/>
              <w:spacing w:after="0" w:line="189" w:lineRule="exact"/>
              <w:rPr>
                <w:sz w:val="20"/>
                <w:szCs w:val="20"/>
                <w:color w:val="auto"/>
              </w:rPr>
            </w:pPr>
            <w:r>
              <w:rPr>
                <w:rFonts w:ascii="Arial" w:cs="Arial" w:eastAsia="Arial" w:hAnsi="Arial"/>
                <w:sz w:val="14"/>
                <w:szCs w:val="14"/>
                <w:color w:val="auto"/>
              </w:rPr>
              <w:t xml:space="preserve">Research and development expense </w:t>
            </w:r>
            <w:r>
              <w:rPr>
                <w:rFonts w:ascii="Arial" w:cs="Arial" w:eastAsia="Arial" w:hAnsi="Arial"/>
                <w:sz w:val="18"/>
                <w:szCs w:val="18"/>
                <w:color w:val="auto"/>
                <w:vertAlign w:val="superscript"/>
              </w:rPr>
              <w:t>(e)</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9"/>
        </w:trPr>
        <w:tc>
          <w:tcPr>
            <w:tcW w:w="8860" w:type="dxa"/>
            <w:vAlign w:val="bottom"/>
          </w:tcPr>
          <w:p>
            <w:pPr>
              <w:ind w:left="220"/>
              <w:spacing w:after="0"/>
              <w:rPr>
                <w:sz w:val="20"/>
                <w:szCs w:val="20"/>
                <w:color w:val="auto"/>
              </w:rPr>
            </w:pPr>
            <w:r>
              <w:rPr>
                <w:rFonts w:ascii="Arial" w:cs="Arial" w:eastAsia="Arial" w:hAnsi="Arial"/>
                <w:sz w:val="14"/>
                <w:szCs w:val="14"/>
                <w:color w:val="auto"/>
              </w:rPr>
              <w:t>Selling, general and administrative expense</w:t>
            </w: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89"/>
        </w:trPr>
        <w:tc>
          <w:tcPr>
            <w:tcW w:w="8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expense, net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89"/>
        </w:trPr>
        <w:tc>
          <w:tcPr>
            <w:tcW w:w="886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 xml:space="preserve">Tax effect of the above items and other income tax related items </w:t>
            </w:r>
            <w:r>
              <w:rPr>
                <w:rFonts w:ascii="Arial" w:cs="Arial" w:eastAsia="Arial" w:hAnsi="Arial"/>
                <w:sz w:val="18"/>
                <w:szCs w:val="18"/>
                <w:color w:val="auto"/>
                <w:vertAlign w:val="superscript"/>
              </w:rPr>
              <w:t>(f)</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342.9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(96.1)</w:t>
            </w:r>
          </w:p>
        </w:tc>
      </w:tr>
      <w:tr>
        <w:trPr>
          <w:trHeight w:val="208"/>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earnings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1,116.4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467.2</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include the following:</w:t>
      </w:r>
    </w:p>
    <w:p>
      <w:pPr>
        <w:spacing w:after="0" w:line="63" w:lineRule="exact"/>
        <w:rPr>
          <w:sz w:val="20"/>
          <w:szCs w:val="20"/>
          <w:color w:val="auto"/>
        </w:rPr>
      </w:pPr>
    </w:p>
    <w:p>
      <w:pPr>
        <w:ind w:left="660" w:hanging="328"/>
        <w:spacing w:after="0" w:line="220" w:lineRule="auto"/>
        <w:tabs>
          <w:tab w:leader="none" w:pos="679"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2021 includes amortization of the purchase accounting inventory fair value adjustment related to the Combination totaling approximately $476.4 million.</w:t>
      </w:r>
    </w:p>
    <w:p>
      <w:pPr>
        <w:spacing w:after="0" w:line="6" w:lineRule="exact"/>
        <w:rPr>
          <w:rFonts w:ascii="Arial" w:cs="Arial" w:eastAsia="Arial" w:hAnsi="Arial"/>
          <w:sz w:val="23"/>
          <w:szCs w:val="23"/>
          <w:color w:val="auto"/>
          <w:vertAlign w:val="superscript"/>
        </w:rPr>
      </w:pPr>
    </w:p>
    <w:p>
      <w:pPr>
        <w:ind w:left="600" w:hanging="268"/>
        <w:spacing w:after="0"/>
        <w:tabs>
          <w:tab w:leader="none" w:pos="60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Acquisition related costs consist primarily of transaction costs including legal and consulting fees and integration activities.</w:t>
      </w:r>
    </w:p>
    <w:p>
      <w:pPr>
        <w:spacing w:after="0" w:line="53" w:lineRule="exact"/>
        <w:rPr>
          <w:rFonts w:ascii="Arial" w:cs="Arial" w:eastAsia="Arial" w:hAnsi="Arial"/>
          <w:sz w:val="23"/>
          <w:szCs w:val="23"/>
          <w:color w:val="auto"/>
          <w:vertAlign w:val="superscript"/>
        </w:rPr>
      </w:pPr>
    </w:p>
    <w:p>
      <w:pPr>
        <w:ind w:left="660" w:hanging="328"/>
        <w:spacing w:after="0" w:line="220" w:lineRule="auto"/>
        <w:tabs>
          <w:tab w:leader="none" w:pos="731"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2021 charges of approximately $167.8 million are included in cost of sales, approximately $6.4 million are included in R&amp;D, and approximately $141.2 million are included in SG&amp;A.</w:t>
      </w:r>
    </w:p>
    <w:p>
      <w:pPr>
        <w:spacing w:after="0" w:line="53" w:lineRule="exact"/>
        <w:rPr>
          <w:rFonts w:ascii="Arial" w:cs="Arial" w:eastAsia="Arial" w:hAnsi="Arial"/>
          <w:sz w:val="23"/>
          <w:szCs w:val="23"/>
          <w:color w:val="auto"/>
          <w:vertAlign w:val="superscript"/>
        </w:rPr>
      </w:pPr>
    </w:p>
    <w:p>
      <w:pPr>
        <w:jc w:val="both"/>
        <w:ind w:left="660" w:hanging="328"/>
        <w:spacing w:after="0" w:line="237" w:lineRule="auto"/>
        <w:tabs>
          <w:tab w:leader="none" w:pos="725"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Costs incurred during the three months ended March 31, 2021 includes incremental manufacturing variances and site remediation activities as a result of the activities at the Company’s Morgantown plant of approximately $45.0 million. Costs incurred during the three months ended March 31, 2020 primarily relate to incremental manufacturing variances and site remediation activities as a result of the activities at the company’s Morgantown plant of approximately $58.8 million. In addition, the prior year period includes approximately $25.0 million related to a special bonus for plant employees as a result of the COVID-19 pandemic.</w:t>
      </w:r>
    </w:p>
    <w:p>
      <w:pPr>
        <w:spacing w:after="0" w:line="7"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Adjustments primarily relate to non-refundable payments related to development collaboration agreements.</w:t>
      </w:r>
    </w:p>
    <w:p>
      <w:pPr>
        <w:spacing w:after="0" w:line="53" w:lineRule="exact"/>
        <w:rPr>
          <w:rFonts w:ascii="Arial" w:cs="Arial" w:eastAsia="Arial" w:hAnsi="Arial"/>
          <w:sz w:val="23"/>
          <w:szCs w:val="23"/>
          <w:color w:val="auto"/>
          <w:vertAlign w:val="superscript"/>
        </w:rPr>
      </w:pPr>
    </w:p>
    <w:p>
      <w:pPr>
        <w:ind w:left="600" w:hanging="268"/>
        <w:spacing w:after="0" w:line="196" w:lineRule="auto"/>
        <w:tabs>
          <w:tab w:leader="none" w:pos="60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Adjusted for changes for uncertain tax positions and for certain impacts of the Combination.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8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Reconciliation of U.S. GAAP Net (Loss) Earnings to EBITDA and Adjusted EBITDA</w:t>
      </w:r>
    </w:p>
    <w:p>
      <w:pPr>
        <w:spacing w:after="0" w:line="24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Below is a reconciliation of U.S. GAAP net (loss) earnings to EBITDA and adjusted EBITDA for the three months ended March 31, 2021 compared to the prior year period: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r>
      <w:tr>
        <w:trPr>
          <w:trHeight w:val="183"/>
        </w:trPr>
        <w:tc>
          <w:tcPr>
            <w:tcW w:w="868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8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net (loss) earnings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r>
      <w:tr>
        <w:trPr>
          <w:trHeight w:val="189"/>
        </w:trPr>
        <w:tc>
          <w:tcPr>
            <w:tcW w:w="8680" w:type="dxa"/>
            <w:vAlign w:val="bottom"/>
          </w:tcPr>
          <w:p>
            <w:pPr>
              <w:ind w:left="20"/>
              <w:spacing w:after="0"/>
              <w:rPr>
                <w:sz w:val="20"/>
                <w:szCs w:val="20"/>
                <w:color w:val="auto"/>
              </w:rPr>
            </w:pPr>
            <w:r>
              <w:rPr>
                <w:rFonts w:ascii="Arial" w:cs="Arial" w:eastAsia="Arial" w:hAnsi="Arial"/>
                <w:sz w:val="14"/>
                <w:szCs w:val="14"/>
                <w:color w:val="auto"/>
              </w:rPr>
              <w:t>Add adjustments: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8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contribution attributable to equity method investments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r>
      <w:tr>
        <w:trPr>
          <w:trHeight w:val="189"/>
        </w:trPr>
        <w:tc>
          <w:tcPr>
            <w:tcW w:w="8680" w:type="dxa"/>
            <w:vAlign w:val="bottom"/>
          </w:tcPr>
          <w:p>
            <w:pPr>
              <w:ind w:left="220"/>
              <w:spacing w:after="0"/>
              <w:rPr>
                <w:sz w:val="20"/>
                <w:szCs w:val="20"/>
                <w:color w:val="auto"/>
              </w:rPr>
            </w:pPr>
            <w:r>
              <w:rPr>
                <w:rFonts w:ascii="Arial" w:cs="Arial" w:eastAsia="Arial" w:hAnsi="Arial"/>
                <w:sz w:val="14"/>
                <w:szCs w:val="14"/>
                <w:color w:val="auto"/>
              </w:rPr>
              <w:t>Income tax provision</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596.3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189"/>
        </w:trPr>
        <w:tc>
          <w:tcPr>
            <w:tcW w:w="8680" w:type="dxa"/>
            <w:vAlign w:val="bottom"/>
            <w:shd w:val="clear" w:color="auto" w:fill="CCEEFF"/>
          </w:tcPr>
          <w:p>
            <w:pPr>
              <w:ind w:left="220"/>
              <w:spacing w:after="0" w:line="189" w:lineRule="exact"/>
              <w:rPr>
                <w:sz w:val="20"/>
                <w:szCs w:val="20"/>
                <w:color w:val="auto"/>
              </w:rPr>
            </w:pPr>
            <w:r>
              <w:rPr>
                <w:rFonts w:ascii="Arial" w:cs="Arial" w:eastAsia="Arial" w:hAnsi="Arial"/>
                <w:sz w:val="14"/>
                <w:szCs w:val="14"/>
                <w:color w:val="auto"/>
              </w:rPr>
              <w:t xml:space="preserve">Interest expense </w:t>
            </w:r>
            <w:r>
              <w:rPr>
                <w:rFonts w:ascii="Arial" w:cs="Arial" w:eastAsia="Arial" w:hAnsi="Arial"/>
                <w:sz w:val="18"/>
                <w:szCs w:val="18"/>
                <w:color w:val="auto"/>
                <w:vertAlign w:val="superscript"/>
              </w:rPr>
              <w:t>(a)</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w:t>
            </w:r>
          </w:p>
        </w:tc>
      </w:tr>
      <w:tr>
        <w:trPr>
          <w:trHeight w:val="189"/>
        </w:trPr>
        <w:tc>
          <w:tcPr>
            <w:tcW w:w="868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4"/>
                <w:szCs w:val="14"/>
                <w:color w:val="auto"/>
              </w:rPr>
              <w:t xml:space="preserve">Depreciation and amortization </w:t>
            </w:r>
            <w:r>
              <w:rPr>
                <w:rFonts w:ascii="Arial" w:cs="Arial" w:eastAsia="Arial" w:hAnsi="Arial"/>
                <w:sz w:val="18"/>
                <w:szCs w:val="18"/>
                <w:color w:val="auto"/>
                <w:vertAlign w:val="superscript"/>
              </w:rPr>
              <w:t>(b)</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415.0</w:t>
            </w:r>
          </w:p>
        </w:tc>
      </w:tr>
      <w:tr>
        <w:trPr>
          <w:trHeight w:val="18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EBITDA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582.9</w:t>
            </w:r>
          </w:p>
        </w:tc>
      </w:tr>
      <w:tr>
        <w:trPr>
          <w:trHeight w:val="189"/>
        </w:trPr>
        <w:tc>
          <w:tcPr>
            <w:tcW w:w="8680" w:type="dxa"/>
            <w:vAlign w:val="bottom"/>
          </w:tcPr>
          <w:p>
            <w:pPr>
              <w:ind w:left="140"/>
              <w:spacing w:after="0"/>
              <w:rPr>
                <w:sz w:val="20"/>
                <w:szCs w:val="20"/>
                <w:color w:val="auto"/>
              </w:rPr>
            </w:pPr>
            <w:r>
              <w:rPr>
                <w:rFonts w:ascii="Arial" w:cs="Arial" w:eastAsia="Arial" w:hAnsi="Arial"/>
                <w:sz w:val="14"/>
                <w:szCs w:val="14"/>
                <w:color w:val="auto"/>
              </w:rPr>
              <w:t>Add adjustments: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8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r>
      <w:tr>
        <w:trPr>
          <w:trHeight w:val="189"/>
        </w:trPr>
        <w:tc>
          <w:tcPr>
            <w:tcW w:w="8680" w:type="dxa"/>
            <w:vAlign w:val="bottom"/>
          </w:tcPr>
          <w:p>
            <w:pPr>
              <w:ind w:left="220"/>
              <w:spacing w:after="0"/>
              <w:rPr>
                <w:sz w:val="20"/>
                <w:szCs w:val="20"/>
                <w:color w:val="auto"/>
              </w:rPr>
            </w:pPr>
            <w:r>
              <w:rPr>
                <w:rFonts w:ascii="Arial" w:cs="Arial" w:eastAsia="Arial" w:hAnsi="Arial"/>
                <w:sz w:val="14"/>
                <w:szCs w:val="14"/>
                <w:color w:val="auto"/>
              </w:rPr>
              <w:t>Litigation settlements and other contingencies, net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89"/>
        </w:trPr>
        <w:tc>
          <w:tcPr>
            <w:tcW w:w="8680" w:type="dxa"/>
            <w:vAlign w:val="bottom"/>
            <w:shd w:val="clear" w:color="auto" w:fill="CCEEFF"/>
          </w:tcPr>
          <w:p>
            <w:pPr>
              <w:ind w:left="220"/>
              <w:spacing w:after="0" w:line="189" w:lineRule="exact"/>
              <w:rPr>
                <w:sz w:val="20"/>
                <w:szCs w:val="20"/>
                <w:color w:val="auto"/>
              </w:rPr>
            </w:pPr>
            <w:r>
              <w:rPr>
                <w:rFonts w:ascii="Arial" w:cs="Arial" w:eastAsia="Arial" w:hAnsi="Arial"/>
                <w:sz w:val="14"/>
                <w:szCs w:val="14"/>
                <w:color w:val="auto"/>
              </w:rPr>
              <w:t xml:space="preserve">Restructuring, acquisition related and other special items </w:t>
            </w:r>
            <w:r>
              <w:rPr>
                <w:rFonts w:ascii="Arial" w:cs="Arial" w:eastAsia="Arial" w:hAnsi="Arial"/>
                <w:sz w:val="18"/>
                <w:szCs w:val="18"/>
                <w:color w:val="auto"/>
                <w:vertAlign w:val="superscript"/>
              </w:rPr>
              <w:t>(c)</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412.9</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146.6</w:t>
            </w:r>
          </w:p>
        </w:tc>
      </w:tr>
      <w:tr>
        <w:trPr>
          <w:trHeight w:val="183"/>
        </w:trPr>
        <w:tc>
          <w:tcPr>
            <w:tcW w:w="868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1,636.6</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750.7</w:t>
            </w: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77" w:lineRule="exact"/>
        <w:rPr>
          <w:sz w:val="20"/>
          <w:szCs w:val="20"/>
          <w:color w:val="auto"/>
        </w:rPr>
      </w:pPr>
    </w:p>
    <w:p>
      <w:pPr>
        <w:ind w:left="680" w:hanging="348"/>
        <w:spacing w:after="0"/>
        <w:tabs>
          <w:tab w:leader="none" w:pos="68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Includes amortization of premiums and discounts on long-term debt.</w:t>
      </w:r>
    </w:p>
    <w:p>
      <w:pPr>
        <w:spacing w:after="0" w:line="53" w:lineRule="exact"/>
        <w:rPr>
          <w:rFonts w:ascii="Arial" w:cs="Arial" w:eastAsia="Arial" w:hAnsi="Arial"/>
          <w:sz w:val="23"/>
          <w:szCs w:val="23"/>
          <w:color w:val="auto"/>
          <w:vertAlign w:val="superscript"/>
        </w:rPr>
      </w:pPr>
    </w:p>
    <w:p>
      <w:pPr>
        <w:ind w:left="600" w:hanging="268"/>
        <w:spacing w:after="0" w:line="196" w:lineRule="auto"/>
        <w:tabs>
          <w:tab w:leader="none" w:pos="60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Includes purchase accounting related amortization.</w:t>
      </w:r>
    </w:p>
    <w:p>
      <w:pPr>
        <w:spacing w:after="0" w:line="54" w:lineRule="exact"/>
        <w:rPr>
          <w:rFonts w:ascii="Arial" w:cs="Arial" w:eastAsia="Arial" w:hAnsi="Arial"/>
          <w:sz w:val="23"/>
          <w:szCs w:val="23"/>
          <w:color w:val="auto"/>
          <w:vertAlign w:val="superscript"/>
        </w:rPr>
      </w:pPr>
    </w:p>
    <w:p>
      <w:pPr>
        <w:ind w:left="600" w:hanging="268"/>
        <w:spacing w:after="0" w:line="196" w:lineRule="auto"/>
        <w:tabs>
          <w:tab w:leader="none" w:pos="60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See items detailed in the Reconciliation of U.S. GAAP Net (Loss) Earnings to Adjusted Net Earnings.</w:t>
      </w:r>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of Total Revenues by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2021 Currency</w:t>
            </w:r>
          </w:p>
        </w:tc>
        <w:tc>
          <w:tcPr>
            <w:tcW w:w="11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2021 Constant</w:t>
            </w:r>
          </w:p>
        </w:tc>
        <w:tc>
          <w:tcPr>
            <w:tcW w:w="100" w:type="dxa"/>
            <w:vAlign w:val="bottom"/>
          </w:tcPr>
          <w:p>
            <w:pPr>
              <w:spacing w:after="0"/>
              <w:rPr>
                <w:sz w:val="12"/>
                <w:szCs w:val="12"/>
                <w:color w:val="auto"/>
              </w:rPr>
            </w:pPr>
          </w:p>
        </w:tc>
        <w:tc>
          <w:tcPr>
            <w:tcW w:w="13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35"/>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1"/>
                <w:szCs w:val="11"/>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3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 Change</w:t>
            </w:r>
          </w:p>
        </w:tc>
        <w:tc>
          <w:tcPr>
            <w:tcW w:w="12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Currency %</w:t>
            </w:r>
          </w:p>
        </w:tc>
        <w:tc>
          <w:tcPr>
            <w:tcW w:w="0" w:type="dxa"/>
            <w:vAlign w:val="bottom"/>
          </w:tcPr>
          <w:p>
            <w:pPr>
              <w:spacing w:after="0"/>
              <w:rPr>
                <w:sz w:val="1"/>
                <w:szCs w:val="1"/>
                <w:color w:val="auto"/>
              </w:rPr>
            </w:pPr>
          </w:p>
        </w:tc>
      </w:tr>
      <w:tr>
        <w:trPr>
          <w:trHeight w:val="175"/>
        </w:trPr>
        <w:tc>
          <w:tcPr>
            <w:tcW w:w="34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80" w:type="dxa"/>
            <w:vAlign w:val="bottom"/>
            <w:gridSpan w:val="3"/>
          </w:tcPr>
          <w:p>
            <w:pPr>
              <w:jc w:val="center"/>
              <w:ind w:right="100"/>
              <w:spacing w:after="0" w:line="176" w:lineRule="exact"/>
              <w:rPr>
                <w:sz w:val="20"/>
                <w:szCs w:val="20"/>
                <w:color w:val="auto"/>
              </w:rPr>
            </w:pPr>
            <w:r>
              <w:rPr>
                <w:rFonts w:ascii="Arial" w:cs="Arial" w:eastAsia="Arial" w:hAnsi="Arial"/>
                <w:sz w:val="14"/>
                <w:szCs w:val="14"/>
                <w:b w:val="1"/>
                <w:bCs w:val="1"/>
                <w:color w:val="auto"/>
                <w:w w:val="97"/>
              </w:rPr>
              <w:t xml:space="preserve">Impact </w:t>
            </w:r>
            <w:r>
              <w:rPr>
                <w:rFonts w:ascii="Arial" w:cs="Arial" w:eastAsia="Arial" w:hAnsi="Arial"/>
                <w:sz w:val="18"/>
                <w:szCs w:val="18"/>
                <w:b w:val="1"/>
                <w:bCs w:val="1"/>
                <w:color w:val="auto"/>
                <w:w w:val="97"/>
                <w:vertAlign w:val="superscript"/>
              </w:rPr>
              <w:t>(1)</w:t>
            </w:r>
          </w:p>
        </w:tc>
        <w:tc>
          <w:tcPr>
            <w:tcW w:w="180" w:type="dxa"/>
            <w:vAlign w:val="bottom"/>
          </w:tcPr>
          <w:p>
            <w:pPr>
              <w:spacing w:after="0"/>
              <w:rPr>
                <w:sz w:val="15"/>
                <w:szCs w:val="15"/>
                <w:color w:val="auto"/>
              </w:rPr>
            </w:pPr>
          </w:p>
        </w:tc>
        <w:tc>
          <w:tcPr>
            <w:tcW w:w="1000" w:type="dxa"/>
            <w:vAlign w:val="bottom"/>
          </w:tcPr>
          <w:p>
            <w:pPr>
              <w:jc w:val="center"/>
              <w:ind w:right="128"/>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97"/>
              </w:rPr>
              <w:t xml:space="preserve">Change </w:t>
            </w:r>
            <w:r>
              <w:rPr>
                <w:rFonts w:ascii="Arial" w:cs="Arial" w:eastAsia="Arial" w:hAnsi="Arial"/>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169"/>
        </w:trPr>
        <w:tc>
          <w:tcPr>
            <w:tcW w:w="34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sales</w:t>
            </w: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6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2,571.6</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1,986.4</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16"/>
                <w:szCs w:val="16"/>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(96.9)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2,474.7</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nm</w:t>
            </w:r>
          </w:p>
        </w:tc>
        <w:tc>
          <w:tcPr>
            <w:tcW w:w="6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592.1</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3460" w:type="dxa"/>
            <w:vAlign w:val="bottom"/>
          </w:tcPr>
          <w:p>
            <w:pPr>
              <w:ind w:left="220"/>
              <w:spacing w:after="0"/>
              <w:rPr>
                <w:sz w:val="20"/>
                <w:szCs w:val="20"/>
                <w:color w:val="auto"/>
              </w:rPr>
            </w:pPr>
            <w:r>
              <w:rPr>
                <w:rFonts w:ascii="Arial" w:cs="Arial" w:eastAsia="Arial" w:hAnsi="Arial"/>
                <w:sz w:val="14"/>
                <w:szCs w:val="14"/>
                <w:color w:val="auto"/>
              </w:rPr>
              <w:t>JANZ</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243.2</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98 %</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460.0</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89 %</w:t>
            </w: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754.7</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343.5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120 %</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754.4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120 %</w:t>
            </w:r>
          </w:p>
        </w:tc>
        <w:tc>
          <w:tcPr>
            <w:tcW w:w="0" w:type="dxa"/>
            <w:vAlign w:val="bottom"/>
          </w:tcPr>
          <w:p>
            <w:pPr>
              <w:spacing w:after="0"/>
              <w:rPr>
                <w:sz w:val="1"/>
                <w:szCs w:val="1"/>
                <w:color w:val="auto"/>
              </w:rPr>
            </w:pPr>
          </w:p>
        </w:tc>
      </w:tr>
      <w:tr>
        <w:trPr>
          <w:trHeight w:val="183"/>
        </w:trPr>
        <w:tc>
          <w:tcPr>
            <w:tcW w:w="3460" w:type="dxa"/>
            <w:vAlign w:val="bottom"/>
          </w:tcPr>
          <w:p>
            <w:pPr>
              <w:ind w:left="480"/>
              <w:spacing w:after="0"/>
              <w:rPr>
                <w:sz w:val="20"/>
                <w:szCs w:val="20"/>
                <w:color w:val="auto"/>
              </w:rPr>
            </w:pPr>
            <w:r>
              <w:rPr>
                <w:rFonts w:ascii="Arial" w:cs="Arial" w:eastAsia="Arial" w:hAnsi="Arial"/>
                <w:sz w:val="14"/>
                <w:szCs w:val="14"/>
                <w:color w:val="auto"/>
              </w:rPr>
              <w:t>Total net sales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4,400.1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2,588.2</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70 %</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9"/>
              </w:rPr>
              <w:t>(118.9)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4,281.2</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65 %</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60" w:type="dxa"/>
            <w:vAlign w:val="bottom"/>
            <w:tcBorders>
              <w:bottom w:val="single" w:sz="8" w:color="CCEEFF"/>
            </w:tcBorders>
          </w:tcPr>
          <w:p>
            <w:pPr>
              <w:ind w:left="140"/>
              <w:spacing w:after="0" w:line="189"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color w:val="auto"/>
                <w:vertAlign w:val="superscript"/>
              </w:rPr>
              <w:t>(3)</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31.0</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29.7</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8"/>
        </w:trPr>
        <w:tc>
          <w:tcPr>
            <w:tcW w:w="3460" w:type="dxa"/>
            <w:vAlign w:val="bottom"/>
            <w:tcBorders>
              <w:bottom w:val="single" w:sz="8" w:color="CCEEFF"/>
            </w:tcBorders>
            <w:shd w:val="clear" w:color="auto" w:fill="CCEEFF"/>
          </w:tcPr>
          <w:p>
            <w:pPr>
              <w:ind w:left="220"/>
              <w:spacing w:after="0" w:line="182" w:lineRule="exact"/>
              <w:rPr>
                <w:sz w:val="20"/>
                <w:szCs w:val="20"/>
                <w:color w:val="auto"/>
              </w:rPr>
            </w:pPr>
            <w:r>
              <w:rPr>
                <w:rFonts w:ascii="Arial" w:cs="Arial" w:eastAsia="Arial" w:hAnsi="Arial"/>
                <w:sz w:val="14"/>
                <w:szCs w:val="14"/>
                <w:color w:val="auto"/>
              </w:rPr>
              <w:t xml:space="preserve">Consolidated total revenues </w:t>
            </w:r>
            <w:r>
              <w:rPr>
                <w:rFonts w:ascii="Arial" w:cs="Arial" w:eastAsia="Arial" w:hAnsi="Arial"/>
                <w:sz w:val="18"/>
                <w:szCs w:val="18"/>
                <w:color w:val="auto"/>
                <w:vertAlign w:val="superscript"/>
              </w:rPr>
              <w:t>(4)</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4,430.3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2,619.2</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69 %</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(119.4)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4,310.9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36" w:lineRule="exact"/>
        <w:rPr>
          <w:sz w:val="20"/>
          <w:szCs w:val="20"/>
          <w:color w:val="auto"/>
        </w:rPr>
      </w:pPr>
    </w:p>
    <w:p>
      <w:pPr>
        <w:ind w:left="540" w:hanging="208"/>
        <w:spacing w:after="0"/>
        <w:tabs>
          <w:tab w:leader="none" w:pos="540" w:val="left"/>
        </w:tabs>
        <w:numPr>
          <w:ilvl w:val="0"/>
          <w:numId w:val="13"/>
        </w:numPr>
        <w:rPr>
          <w:rFonts w:ascii="Arial" w:cs="Arial" w:eastAsia="Arial" w:hAnsi="Arial"/>
          <w:sz w:val="9"/>
          <w:szCs w:val="9"/>
          <w:color w:val="auto"/>
        </w:rPr>
      </w:pPr>
      <w:r>
        <w:rPr>
          <w:rFonts w:ascii="Arial" w:cs="Arial" w:eastAsia="Arial" w:hAnsi="Arial"/>
          <w:sz w:val="14"/>
          <w:szCs w:val="14"/>
          <w:color w:val="auto"/>
        </w:rPr>
        <w:t>Currency impact is shown as unfavorable (favorable).</w:t>
      </w:r>
    </w:p>
    <w:p>
      <w:pPr>
        <w:spacing w:after="0" w:line="55" w:lineRule="exact"/>
        <w:rPr>
          <w:rFonts w:ascii="Arial" w:cs="Arial" w:eastAsia="Arial" w:hAnsi="Arial"/>
          <w:sz w:val="9"/>
          <w:szCs w:val="9"/>
          <w:color w:val="auto"/>
        </w:rPr>
      </w:pPr>
    </w:p>
    <w:p>
      <w:pPr>
        <w:ind w:left="660" w:hanging="328"/>
        <w:spacing w:after="0" w:line="258" w:lineRule="auto"/>
        <w:tabs>
          <w:tab w:leader="none" w:pos="554" w:val="left"/>
        </w:tabs>
        <w:numPr>
          <w:ilvl w:val="0"/>
          <w:numId w:val="13"/>
        </w:numPr>
        <w:rPr>
          <w:rFonts w:ascii="Arial" w:cs="Arial" w:eastAsia="Arial" w:hAnsi="Arial"/>
          <w:sz w:val="9"/>
          <w:szCs w:val="9"/>
          <w:color w:val="auto"/>
        </w:rPr>
      </w:pPr>
      <w:r>
        <w:rPr>
          <w:rFonts w:ascii="Arial" w:cs="Arial" w:eastAsia="Arial" w:hAnsi="Arial"/>
          <w:sz w:val="14"/>
          <w:szCs w:val="14"/>
          <w:color w:val="auto"/>
        </w:rPr>
        <w:t>The constant currency percentage change is derived by translating net sales or revenues for the current period at prior year comparative period exchange rates, and in doing so shows the percentage change from 2021 constant currency net sales or revenues to the corresponding amount in the prior year.</w:t>
      </w:r>
    </w:p>
    <w:p>
      <w:pPr>
        <w:spacing w:after="0" w:line="31" w:lineRule="exact"/>
        <w:rPr>
          <w:rFonts w:ascii="Arial" w:cs="Arial" w:eastAsia="Arial" w:hAnsi="Arial"/>
          <w:sz w:val="9"/>
          <w:szCs w:val="9"/>
          <w:color w:val="auto"/>
        </w:rPr>
      </w:pPr>
    </w:p>
    <w:p>
      <w:pPr>
        <w:ind w:left="660" w:hanging="328"/>
        <w:spacing w:after="0" w:line="258" w:lineRule="auto"/>
        <w:tabs>
          <w:tab w:leader="none" w:pos="653" w:val="left"/>
        </w:tabs>
        <w:numPr>
          <w:ilvl w:val="0"/>
          <w:numId w:val="13"/>
        </w:numPr>
        <w:rPr>
          <w:rFonts w:ascii="Arial" w:cs="Arial" w:eastAsia="Arial" w:hAnsi="Arial"/>
          <w:sz w:val="9"/>
          <w:szCs w:val="9"/>
          <w:color w:val="auto"/>
        </w:rPr>
      </w:pPr>
      <w:r>
        <w:rPr>
          <w:rFonts w:ascii="Arial" w:cs="Arial" w:eastAsia="Arial" w:hAnsi="Arial"/>
          <w:sz w:val="14"/>
          <w:szCs w:val="14"/>
          <w:color w:val="auto"/>
        </w:rPr>
        <w:t>For the three months ended March 31, 2021, other revenues in Developed Markets, Greater China, JANZ, and Emerging Markets were approximately $22.3 million, $1.4 million, $0.4 million, and $6.1 million, respectively.</w:t>
      </w:r>
    </w:p>
    <w:p>
      <w:pPr>
        <w:spacing w:after="0" w:line="31" w:lineRule="exact"/>
        <w:rPr>
          <w:rFonts w:ascii="Arial" w:cs="Arial" w:eastAsia="Arial" w:hAnsi="Arial"/>
          <w:sz w:val="9"/>
          <w:szCs w:val="9"/>
          <w:color w:val="auto"/>
        </w:rPr>
      </w:pPr>
    </w:p>
    <w:p>
      <w:pPr>
        <w:ind w:left="640" w:hanging="308"/>
        <w:spacing w:after="0"/>
        <w:tabs>
          <w:tab w:leader="none" w:pos="640" w:val="left"/>
        </w:tabs>
        <w:numPr>
          <w:ilvl w:val="0"/>
          <w:numId w:val="13"/>
        </w:numPr>
        <w:rPr>
          <w:rFonts w:ascii="Arial" w:cs="Arial" w:eastAsia="Arial" w:hAnsi="Arial"/>
          <w:sz w:val="9"/>
          <w:szCs w:val="9"/>
          <w:color w:val="auto"/>
        </w:rPr>
      </w:pPr>
      <w:r>
        <w:rPr>
          <w:rFonts w:ascii="Arial" w:cs="Arial" w:eastAsia="Arial" w:hAnsi="Arial"/>
          <w:sz w:val="14"/>
          <w:szCs w:val="14"/>
          <w:color w:val="auto"/>
        </w:rPr>
        <w:t>Amounts exclude intersegment revenue that eliminates on a consolidated basis.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34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Reconciliation of Income Statement Line Items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83"/>
        </w:trPr>
        <w:tc>
          <w:tcPr>
            <w:tcW w:w="84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r>
      <w:tr>
        <w:trPr>
          <w:trHeight w:val="183"/>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cost of sales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3,303.0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1,713.1</w:t>
            </w:r>
          </w:p>
        </w:tc>
      </w:tr>
      <w:tr>
        <w:trPr>
          <w:trHeight w:val="189"/>
        </w:trPr>
        <w:tc>
          <w:tcPr>
            <w:tcW w:w="848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related amortization</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(1,255.0)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(352.2)</w:t>
            </w:r>
          </w:p>
        </w:tc>
      </w:tr>
      <w:tr>
        <w:trPr>
          <w:trHeight w:val="189"/>
        </w:trPr>
        <w:tc>
          <w:tcPr>
            <w:tcW w:w="8480" w:type="dxa"/>
            <w:vAlign w:val="bottom"/>
          </w:tcPr>
          <w:p>
            <w:pPr>
              <w:ind w:left="220"/>
              <w:spacing w:after="0"/>
              <w:rPr>
                <w:sz w:val="20"/>
                <w:szCs w:val="20"/>
                <w:color w:val="auto"/>
              </w:rPr>
            </w:pPr>
            <w:r>
              <w:rPr>
                <w:rFonts w:ascii="Arial" w:cs="Arial" w:eastAsia="Arial" w:hAnsi="Arial"/>
                <w:sz w:val="14"/>
                <w:szCs w:val="14"/>
                <w:color w:val="auto"/>
              </w:rPr>
              <w:t>Acquisition related items</w:t>
            </w:r>
          </w:p>
        </w:tc>
        <w:tc>
          <w:tcPr>
            <w:tcW w:w="28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(0.8)</w:t>
            </w:r>
          </w:p>
        </w:tc>
      </w:tr>
      <w:tr>
        <w:trPr>
          <w:trHeight w:val="189"/>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related costs</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w:t>
            </w:r>
          </w:p>
        </w:tc>
      </w:tr>
      <w:tr>
        <w:trPr>
          <w:trHeight w:val="189"/>
        </w:trPr>
        <w:tc>
          <w:tcPr>
            <w:tcW w:w="848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(0.3)</w:t>
            </w:r>
          </w:p>
        </w:tc>
      </w:tr>
      <w:tr>
        <w:trPr>
          <w:trHeight w:val="189"/>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(86.7)</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(117.3)</w:t>
            </w:r>
          </w:p>
        </w:tc>
      </w:tr>
      <w:tr>
        <w:trPr>
          <w:trHeight w:val="183"/>
        </w:trPr>
        <w:tc>
          <w:tcPr>
            <w:tcW w:w="8480" w:type="dxa"/>
            <w:vAlign w:val="bottom"/>
          </w:tcPr>
          <w:p>
            <w:pPr>
              <w:ind w:left="20"/>
              <w:spacing w:after="0"/>
              <w:rPr>
                <w:sz w:val="20"/>
                <w:szCs w:val="20"/>
                <w:color w:val="auto"/>
              </w:rPr>
            </w:pPr>
            <w:r>
              <w:rPr>
                <w:rFonts w:ascii="Arial" w:cs="Arial" w:eastAsia="Arial" w:hAnsi="Arial"/>
                <w:sz w:val="14"/>
                <w:szCs w:val="14"/>
                <w:color w:val="auto"/>
              </w:rPr>
              <w:t>Adjusted cost of sales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1,790.4</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1,238.8</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8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9"/>
        </w:trPr>
        <w:tc>
          <w:tcPr>
            <w:tcW w:w="84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2,639.9</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1,380.4</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8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9"/>
        </w:trPr>
        <w:tc>
          <w:tcPr>
            <w:tcW w:w="84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60 %</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53 %</w:t>
            </w:r>
          </w:p>
        </w:tc>
      </w:tr>
      <w:tr>
        <w:trPr>
          <w:trHeight w:val="21"/>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83"/>
        </w:trPr>
        <w:tc>
          <w:tcPr>
            <w:tcW w:w="84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r>
      <w:tr>
        <w:trPr>
          <w:trHeight w:val="183"/>
        </w:trPr>
        <w:tc>
          <w:tcPr>
            <w:tcW w:w="8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U.S. GAAP R&amp;D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184.1</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114.2</w:t>
            </w:r>
          </w:p>
        </w:tc>
      </w:tr>
      <w:tr>
        <w:trPr>
          <w:trHeight w:val="189"/>
        </w:trPr>
        <w:tc>
          <w:tcPr>
            <w:tcW w:w="8460" w:type="dxa"/>
            <w:vAlign w:val="bottom"/>
          </w:tcPr>
          <w:p>
            <w:pPr>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 related costs</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8460" w:type="dxa"/>
            <w:vAlign w:val="bottom"/>
          </w:tcPr>
          <w:p>
            <w:pPr>
              <w:ind w:left="20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(0.2)</w:t>
            </w:r>
          </w:p>
        </w:tc>
      </w:tr>
      <w:tr>
        <w:trPr>
          <w:trHeight w:val="189"/>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Share-based compensation expense</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w:t>
            </w:r>
          </w:p>
        </w:tc>
      </w:tr>
      <w:tr>
        <w:trPr>
          <w:trHeight w:val="189"/>
        </w:trPr>
        <w:tc>
          <w:tcPr>
            <w:tcW w:w="84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Other special items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w:t>
            </w:r>
          </w:p>
        </w:tc>
      </w:tr>
      <w:tr>
        <w:trPr>
          <w:trHeight w:val="208"/>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Adjusted R&amp;D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161.8</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111.9</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4"/>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Adjusted R&amp;D as % of total revenues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83"/>
        </w:trPr>
        <w:tc>
          <w:tcPr>
            <w:tcW w:w="84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r>
      <w:tr>
        <w:trPr>
          <w:trHeight w:val="183"/>
        </w:trPr>
        <w:tc>
          <w:tcPr>
            <w:tcW w:w="8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U.S. GAAP SG&amp;A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1,186.5</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605.4</w:t>
            </w:r>
          </w:p>
        </w:tc>
      </w:tr>
      <w:tr>
        <w:trPr>
          <w:trHeight w:val="189"/>
        </w:trPr>
        <w:tc>
          <w:tcPr>
            <w:tcW w:w="8460" w:type="dxa"/>
            <w:vAlign w:val="bottom"/>
          </w:tcPr>
          <w:p>
            <w:pPr>
              <w:spacing w:after="0"/>
              <w:rPr>
                <w:sz w:val="20"/>
                <w:szCs w:val="20"/>
                <w:color w:val="auto"/>
              </w:rPr>
            </w:pPr>
            <w:r>
              <w:rPr>
                <w:rFonts w:ascii="Arial" w:cs="Arial" w:eastAsia="Arial" w:hAnsi="Arial"/>
                <w:sz w:val="14"/>
                <w:szCs w:val="14"/>
                <w:color w:val="auto"/>
              </w:rPr>
              <w:t>Add / (Deduct):</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 related costs</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(22.2)</w:t>
            </w:r>
          </w:p>
        </w:tc>
      </w:tr>
      <w:tr>
        <w:trPr>
          <w:trHeight w:val="189"/>
        </w:trPr>
        <w:tc>
          <w:tcPr>
            <w:tcW w:w="8460" w:type="dxa"/>
            <w:vAlign w:val="bottom"/>
          </w:tcPr>
          <w:p>
            <w:pPr>
              <w:ind w:left="20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(141.2)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(3.7)</w:t>
            </w:r>
          </w:p>
        </w:tc>
      </w:tr>
      <w:tr>
        <w:trPr>
          <w:trHeight w:val="189"/>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Share-based compensation expense</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w:t>
            </w:r>
          </w:p>
        </w:tc>
      </w:tr>
      <w:tr>
        <w:trPr>
          <w:trHeight w:val="189"/>
        </w:trPr>
        <w:tc>
          <w:tcPr>
            <w:tcW w:w="84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Other special items and reclassifications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w:t>
            </w:r>
          </w:p>
        </w:tc>
      </w:tr>
      <w:tr>
        <w:trPr>
          <w:trHeight w:val="208"/>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Adjusted SG&amp;A</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937.8</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564.3</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4"/>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Adjusted SG&amp;A as % of total revenues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22 %</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r>
      <w:tr>
        <w:trPr>
          <w:trHeight w:val="183"/>
        </w:trPr>
        <w:tc>
          <w:tcPr>
            <w:tcW w:w="86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83"/>
        </w:trPr>
        <w:tc>
          <w:tcPr>
            <w:tcW w:w="8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U.S. GAAP total operating expenses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1,393.5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721.4</w:t>
            </w:r>
          </w:p>
        </w:tc>
      </w:tr>
      <w:tr>
        <w:trPr>
          <w:trHeight w:val="189"/>
        </w:trPr>
        <w:tc>
          <w:tcPr>
            <w:tcW w:w="8680" w:type="dxa"/>
            <w:vAlign w:val="bottom"/>
          </w:tcPr>
          <w:p>
            <w:pPr>
              <w:spacing w:after="0"/>
              <w:rPr>
                <w:sz w:val="20"/>
                <w:szCs w:val="20"/>
                <w:color w:val="auto"/>
              </w:rPr>
            </w:pPr>
            <w:r>
              <w:rPr>
                <w:rFonts w:ascii="Arial" w:cs="Arial" w:eastAsia="Arial" w:hAnsi="Arial"/>
                <w:sz w:val="14"/>
                <w:szCs w:val="14"/>
                <w:color w:val="auto"/>
              </w:rPr>
              <w:t>(Deduct):</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8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Litigation settlements and other contingencies, net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9"/>
        </w:trPr>
        <w:tc>
          <w:tcPr>
            <w:tcW w:w="8680" w:type="dxa"/>
            <w:vAlign w:val="bottom"/>
          </w:tcPr>
          <w:p>
            <w:pPr>
              <w:ind w:left="200"/>
              <w:spacing w:after="0"/>
              <w:rPr>
                <w:sz w:val="20"/>
                <w:szCs w:val="20"/>
                <w:color w:val="auto"/>
              </w:rPr>
            </w:pPr>
            <w:r>
              <w:rPr>
                <w:rFonts w:ascii="Arial" w:cs="Arial" w:eastAsia="Arial" w:hAnsi="Arial"/>
                <w:sz w:val="14"/>
                <w:szCs w:val="14"/>
                <w:color w:val="auto"/>
              </w:rPr>
              <w:t>R&amp;D adjustments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89"/>
        </w:trPr>
        <w:tc>
          <w:tcPr>
            <w:tcW w:w="8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SG&amp;A adjustments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w:t>
            </w:r>
          </w:p>
        </w:tc>
      </w:tr>
      <w:tr>
        <w:trPr>
          <w:trHeight w:val="182"/>
        </w:trPr>
        <w:tc>
          <w:tcPr>
            <w:tcW w:w="8680" w:type="dxa"/>
            <w:vAlign w:val="bottom"/>
          </w:tcPr>
          <w:p>
            <w:pPr>
              <w:spacing w:after="0"/>
              <w:rPr>
                <w:sz w:val="20"/>
                <w:szCs w:val="20"/>
                <w:color w:val="auto"/>
              </w:rPr>
            </w:pPr>
            <w:r>
              <w:rPr>
                <w:rFonts w:ascii="Arial" w:cs="Arial" w:eastAsia="Arial" w:hAnsi="Arial"/>
                <w:sz w:val="14"/>
                <w:szCs w:val="14"/>
                <w:color w:val="auto"/>
              </w:rPr>
              <w:t>Adjusted total operating expenses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1,099.6</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676.2</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8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9"/>
        </w:trPr>
        <w:tc>
          <w:tcPr>
            <w:tcW w:w="8680" w:type="dxa"/>
            <w:vAlign w:val="bottom"/>
          </w:tcPr>
          <w:p>
            <w:pPr>
              <w:spacing w:after="0" w:line="189" w:lineRule="exact"/>
              <w:rPr>
                <w:sz w:val="20"/>
                <w:szCs w:val="20"/>
                <w:color w:val="auto"/>
              </w:rPr>
            </w:pPr>
            <w:r>
              <w:rPr>
                <w:rFonts w:ascii="Arial" w:cs="Arial" w:eastAsia="Arial" w:hAnsi="Arial"/>
                <w:sz w:val="14"/>
                <w:szCs w:val="14"/>
                <w:color w:val="auto"/>
              </w:rPr>
              <w:t xml:space="preserve">Adjusted earnings from operations </w:t>
            </w:r>
            <w:r>
              <w:rPr>
                <w:rFonts w:ascii="Arial" w:cs="Arial" w:eastAsia="Arial" w:hAnsi="Arial"/>
                <w:sz w:val="18"/>
                <w:szCs w:val="18"/>
                <w:color w:val="auto"/>
                <w:vertAlign w:val="superscript"/>
              </w:rPr>
              <w:t>(b)</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1,540.3</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704.2</w:t>
            </w:r>
          </w:p>
        </w:tc>
      </w:tr>
      <w:tr>
        <w:trPr>
          <w:trHeight w:val="20"/>
        </w:trPr>
        <w:tc>
          <w:tcPr>
            <w:tcW w:w="8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886" w:right="359" w:bottom="1440" w:gutter="0" w:footer="0" w:header="0"/>
        </w:sectPr>
      </w:pPr>
    </w:p>
    <w:bookmarkStart w:id="17" w:name="page18"/>
    <w:bookmarkEnd w:id="17"/>
    <w:tbl>
      <w:tblPr>
        <w:tblLayout w:type="fixed"/>
        <w:tblInd w:w="4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206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r>
      <w:tr>
        <w:trPr>
          <w:trHeight w:val="189"/>
        </w:trPr>
        <w:tc>
          <w:tcPr>
            <w:tcW w:w="86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6"/>
                <w:szCs w:val="16"/>
                <w:color w:val="auto"/>
              </w:rPr>
            </w:pPr>
          </w:p>
        </w:tc>
      </w:tr>
      <w:tr>
        <w:trPr>
          <w:trHeight w:val="183"/>
        </w:trPr>
        <w:tc>
          <w:tcPr>
            <w:tcW w:w="86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r>
      <w:tr>
        <w:trPr>
          <w:trHeight w:val="183"/>
        </w:trPr>
        <w:tc>
          <w:tcPr>
            <w:tcW w:w="8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U.S. GAAP interest expense</w:t>
            </w: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169.0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w:t>
            </w:r>
          </w:p>
        </w:tc>
      </w:tr>
      <w:tr>
        <w:trPr>
          <w:trHeight w:val="189"/>
        </w:trPr>
        <w:tc>
          <w:tcPr>
            <w:tcW w:w="8680" w:type="dxa"/>
            <w:vAlign w:val="bottom"/>
          </w:tcPr>
          <w:p>
            <w:pPr>
              <w:spacing w:after="0"/>
              <w:rPr>
                <w:sz w:val="20"/>
                <w:szCs w:val="20"/>
                <w:color w:val="auto"/>
              </w:rPr>
            </w:pPr>
            <w:r>
              <w:rPr>
                <w:rFonts w:ascii="Arial" w:cs="Arial" w:eastAsia="Arial" w:hAnsi="Arial"/>
                <w:sz w:val="14"/>
                <w:szCs w:val="14"/>
                <w:color w:val="auto"/>
              </w:rPr>
              <w:t>Add/(Deduct):</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89"/>
        </w:trPr>
        <w:tc>
          <w:tcPr>
            <w:tcW w:w="8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premiums and discounts on long-term debt</w:t>
            </w: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9"/>
        </w:trPr>
        <w:tc>
          <w:tcPr>
            <w:tcW w:w="86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Other special items</w:t>
            </w: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r>
      <w:tr>
        <w:trPr>
          <w:trHeight w:val="208"/>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Adjusted interest expense</w:t>
            </w:r>
          </w:p>
        </w:tc>
        <w:tc>
          <w:tcPr>
            <w:tcW w:w="76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6"/>
              </w:rPr>
              <w:t>182.3</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208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r>
      <w:tr>
        <w:trPr>
          <w:trHeight w:val="189"/>
        </w:trPr>
        <w:tc>
          <w:tcPr>
            <w:tcW w:w="86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6"/>
                <w:szCs w:val="16"/>
                <w:color w:val="auto"/>
              </w:rPr>
            </w:pPr>
          </w:p>
        </w:tc>
      </w:tr>
      <w:tr>
        <w:trPr>
          <w:trHeight w:val="182"/>
        </w:trPr>
        <w:tc>
          <w:tcPr>
            <w:tcW w:w="86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r>
      <w:tr>
        <w:trPr>
          <w:trHeight w:val="183"/>
        </w:trPr>
        <w:tc>
          <w:tcPr>
            <w:tcW w:w="8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U.S. GAAP other expense, net</w:t>
            </w: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r>
      <w:tr>
        <w:trPr>
          <w:trHeight w:val="189"/>
        </w:trPr>
        <w:tc>
          <w:tcPr>
            <w:tcW w:w="8680" w:type="dxa"/>
            <w:vAlign w:val="bottom"/>
          </w:tcPr>
          <w:p>
            <w:pPr>
              <w:spacing w:after="0"/>
              <w:rPr>
                <w:sz w:val="20"/>
                <w:szCs w:val="20"/>
                <w:color w:val="auto"/>
              </w:rPr>
            </w:pPr>
            <w:r>
              <w:rPr>
                <w:rFonts w:ascii="Arial" w:cs="Arial" w:eastAsia="Arial" w:hAnsi="Arial"/>
                <w:sz w:val="14"/>
                <w:szCs w:val="14"/>
                <w:color w:val="auto"/>
              </w:rPr>
              <w:t>Add / (Deduct):</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89"/>
        </w:trPr>
        <w:tc>
          <w:tcPr>
            <w:tcW w:w="8680" w:type="dxa"/>
            <w:vAlign w:val="bottom"/>
            <w:shd w:val="clear" w:color="auto" w:fill="CCEEFF"/>
          </w:tcPr>
          <w:p>
            <w:pPr>
              <w:ind w:left="200"/>
              <w:spacing w:after="0" w:line="189" w:lineRule="exact"/>
              <w:rPr>
                <w:sz w:val="20"/>
                <w:szCs w:val="20"/>
                <w:color w:val="auto"/>
              </w:rPr>
            </w:pPr>
            <w:r>
              <w:rPr>
                <w:rFonts w:ascii="Arial" w:cs="Arial" w:eastAsia="Arial" w:hAnsi="Arial"/>
                <w:sz w:val="14"/>
                <w:szCs w:val="14"/>
                <w:color w:val="auto"/>
              </w:rPr>
              <w:t xml:space="preserve">Clean energy investments pre-tax loss </w:t>
            </w:r>
            <w:r>
              <w:rPr>
                <w:rFonts w:ascii="Arial" w:cs="Arial" w:eastAsia="Arial" w:hAnsi="Arial"/>
                <w:sz w:val="18"/>
                <w:szCs w:val="18"/>
                <w:color w:val="auto"/>
                <w:vertAlign w:val="superscript"/>
              </w:rPr>
              <w:t>(c)</w:t>
            </w: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r>
      <w:tr>
        <w:trPr>
          <w:trHeight w:val="189"/>
        </w:trPr>
        <w:tc>
          <w:tcPr>
            <w:tcW w:w="8680" w:type="dxa"/>
            <w:vAlign w:val="bottom"/>
          </w:tcPr>
          <w:p>
            <w:pPr>
              <w:ind w:left="200"/>
              <w:spacing w:after="0"/>
              <w:rPr>
                <w:sz w:val="20"/>
                <w:szCs w:val="20"/>
                <w:color w:val="auto"/>
              </w:rPr>
            </w:pPr>
            <w:r>
              <w:rPr>
                <w:rFonts w:ascii="Arial" w:cs="Arial" w:eastAsia="Arial" w:hAnsi="Arial"/>
                <w:sz w:val="14"/>
                <w:szCs w:val="14"/>
                <w:color w:val="auto"/>
              </w:rPr>
              <w:t>Other items</w:t>
            </w:r>
          </w:p>
        </w:tc>
        <w:tc>
          <w:tcPr>
            <w:tcW w:w="76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08"/>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Adjusted other expense (income)</w:t>
            </w:r>
          </w:p>
        </w:tc>
        <w:tc>
          <w:tcPr>
            <w:tcW w:w="760" w:type="dxa"/>
            <w:vAlign w:val="bottom"/>
            <w:tcBorders>
              <w:top w:val="single" w:sz="8" w:color="auto"/>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83"/>
        </w:trPr>
        <w:tc>
          <w:tcPr>
            <w:tcW w:w="84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r>
      <w:tr>
        <w:trPr>
          <w:trHeight w:val="183"/>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(loss) earnings before income taxes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(441.3)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30.7</w:t>
            </w:r>
          </w:p>
        </w:tc>
      </w:tr>
      <w:tr>
        <w:trPr>
          <w:trHeight w:val="18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pre-tax non-GAAP adjustments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1,811.1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542.5</w:t>
            </w:r>
          </w:p>
        </w:tc>
      </w:tr>
      <w:tr>
        <w:trPr>
          <w:trHeight w:val="20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earnings before income taxes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1,369.8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573.2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income tax provision</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596.3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9.9</w:t>
            </w:r>
          </w:p>
        </w:tc>
      </w:tr>
      <w:tr>
        <w:trPr>
          <w:trHeight w:val="18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tax (benefit) expense</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(342.9)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96.1</w:t>
            </w:r>
          </w:p>
        </w:tc>
      </w:tr>
      <w:tr>
        <w:trPr>
          <w:trHeight w:val="20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tax provision</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253.4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106.0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20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effective tax rate</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18.5 %</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18.5 %</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44" w:lineRule="exact"/>
        <w:rPr>
          <w:sz w:val="20"/>
          <w:szCs w:val="20"/>
          <w:color w:val="auto"/>
        </w:rPr>
      </w:pPr>
    </w:p>
    <w:p>
      <w:pPr>
        <w:jc w:val="both"/>
        <w:ind w:left="660" w:hanging="328"/>
        <w:spacing w:after="0" w:line="220" w:lineRule="auto"/>
        <w:tabs>
          <w:tab w:leader="none" w:pos="653"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98" w:lineRule="exact"/>
        <w:rPr>
          <w:rFonts w:ascii="Arial" w:cs="Arial" w:eastAsia="Arial" w:hAnsi="Arial"/>
          <w:sz w:val="19"/>
          <w:szCs w:val="19"/>
          <w:color w:val="auto"/>
          <w:vertAlign w:val="superscript"/>
        </w:rPr>
      </w:pPr>
    </w:p>
    <w:p>
      <w:pPr>
        <w:ind w:left="660" w:hanging="328"/>
        <w:spacing w:after="0" w:line="211" w:lineRule="auto"/>
        <w:tabs>
          <w:tab w:leader="none" w:pos="653"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U.S. GAAP earnings from operations is calculated as U.S. GAAP gross profit less U.S. GAAP total operating expenses. Adjusted earnings from operations is calculated as adjusted gross profit less adjusted total operating expenses.</w:t>
      </w:r>
    </w:p>
    <w:p>
      <w:pPr>
        <w:spacing w:after="0" w:line="98" w:lineRule="exact"/>
        <w:rPr>
          <w:rFonts w:ascii="Arial" w:cs="Arial" w:eastAsia="Arial" w:hAnsi="Arial"/>
          <w:sz w:val="19"/>
          <w:szCs w:val="19"/>
          <w:color w:val="auto"/>
          <w:vertAlign w:val="superscript"/>
        </w:rPr>
      </w:pPr>
    </w:p>
    <w:p>
      <w:pPr>
        <w:ind w:left="660" w:hanging="328"/>
        <w:spacing w:after="0" w:line="211" w:lineRule="auto"/>
        <w:tabs>
          <w:tab w:leader="none" w:pos="647"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Adjustment represents exclusion of activity related to Mylan's clean energy investments, the activities of which qualify for income tax credits under section 45 of the U.S.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Estimated 2021 GAAP Net Cash Provided by Operating Activities to Free Cash Flow</w:t>
      </w:r>
    </w:p>
    <w:p>
      <w:pPr>
        <w:spacing w:after="0" w:line="13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(Unaudited; in millions)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2021 GAAP Net Cash provided by Operating Activities to Free Cash Flow is presented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GAAP Net Cash provided by Operating Activities</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w:t>
            </w:r>
          </w:p>
        </w:tc>
        <w:tc>
          <w:tcPr>
            <w:tcW w:w="1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$2,800</w:t>
            </w:r>
          </w:p>
        </w:tc>
      </w:tr>
      <w:tr>
        <w:trPr>
          <w:trHeight w:val="216"/>
        </w:trPr>
        <w:tc>
          <w:tcPr>
            <w:tcW w:w="8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9"/>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Capital Expenditures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$(650)</w:t>
            </w:r>
          </w:p>
        </w:tc>
      </w:tr>
      <w:tr>
        <w:trPr>
          <w:trHeight w:val="196"/>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89"/>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Free Cash Flow</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$2,300</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93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Combined Adjusted EBITDA - Three months ended March 31,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96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 March</w:t>
            </w:r>
          </w:p>
        </w:tc>
        <w:tc>
          <w:tcPr>
            <w:tcW w:w="0" w:type="dxa"/>
            <w:vAlign w:val="bottom"/>
          </w:tcPr>
          <w:p>
            <w:pPr>
              <w:spacing w:after="0"/>
              <w:rPr>
                <w:sz w:val="1"/>
                <w:szCs w:val="1"/>
                <w:color w:val="auto"/>
              </w:rPr>
            </w:pPr>
          </w:p>
        </w:tc>
      </w:tr>
      <w:tr>
        <w:trPr>
          <w:trHeight w:val="175"/>
        </w:trPr>
        <w:tc>
          <w:tcPr>
            <w:tcW w:w="928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183"/>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Upjohn - U.S. GAAP Income before taxes</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885.3</w:t>
            </w:r>
          </w:p>
        </w:tc>
        <w:tc>
          <w:tcPr>
            <w:tcW w:w="0" w:type="dxa"/>
            <w:vAlign w:val="bottom"/>
          </w:tcPr>
          <w:p>
            <w:pPr>
              <w:spacing w:after="0"/>
              <w:rPr>
                <w:sz w:val="1"/>
                <w:szCs w:val="1"/>
                <w:color w:val="auto"/>
              </w:rPr>
            </w:pPr>
          </w:p>
        </w:tc>
      </w:tr>
      <w:tr>
        <w:trPr>
          <w:trHeight w:val="189"/>
        </w:trPr>
        <w:tc>
          <w:tcPr>
            <w:tcW w:w="92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4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189"/>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4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183"/>
        </w:trPr>
        <w:tc>
          <w:tcPr>
            <w:tcW w:w="9280" w:type="dxa"/>
            <w:vAlign w:val="bottom"/>
          </w:tcPr>
          <w:p>
            <w:pPr>
              <w:ind w:left="20"/>
              <w:spacing w:after="0"/>
              <w:rPr>
                <w:sz w:val="20"/>
                <w:szCs w:val="20"/>
                <w:color w:val="auto"/>
              </w:rPr>
            </w:pPr>
            <w:r>
              <w:rPr>
                <w:rFonts w:ascii="Arial" w:cs="Arial" w:eastAsia="Arial" w:hAnsi="Arial"/>
                <w:sz w:val="14"/>
                <w:szCs w:val="14"/>
                <w:color w:val="auto"/>
              </w:rPr>
              <w:t>Upjohn EBITDA</w:t>
            </w:r>
          </w:p>
        </w:tc>
        <w:tc>
          <w:tcPr>
            <w:tcW w:w="400" w:type="dxa"/>
            <w:vAlign w:val="bottom"/>
          </w:tcPr>
          <w:p>
            <w:pPr>
              <w:ind w:left="2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1,015.7</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adjustments</w:t>
            </w: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183"/>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Upjohn Adjusted EBITDA</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1,076.6</w:t>
            </w:r>
          </w:p>
        </w:tc>
        <w:tc>
          <w:tcPr>
            <w:tcW w:w="0" w:type="dxa"/>
            <w:vAlign w:val="bottom"/>
          </w:tcPr>
          <w:p>
            <w:pPr>
              <w:spacing w:after="0"/>
              <w:rPr>
                <w:sz w:val="1"/>
                <w:szCs w:val="1"/>
                <w:color w:val="auto"/>
              </w:rPr>
            </w:pPr>
          </w:p>
        </w:tc>
      </w:tr>
      <w:tr>
        <w:trPr>
          <w:trHeight w:val="189"/>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Add: Mylan Adjusted EBITDA</w:t>
            </w: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750.7</w:t>
            </w:r>
          </w:p>
        </w:tc>
        <w:tc>
          <w:tcPr>
            <w:tcW w:w="0" w:type="dxa"/>
            <w:vAlign w:val="bottom"/>
          </w:tcPr>
          <w:p>
            <w:pPr>
              <w:spacing w:after="0"/>
              <w:rPr>
                <w:sz w:val="1"/>
                <w:szCs w:val="1"/>
                <w:color w:val="auto"/>
              </w:rPr>
            </w:pPr>
          </w:p>
        </w:tc>
      </w:tr>
      <w:tr>
        <w:trPr>
          <w:trHeight w:val="208"/>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Combined Adjusted EBITDA</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1,827.3</w:t>
            </w:r>
          </w:p>
        </w:tc>
        <w:tc>
          <w:tcPr>
            <w:tcW w:w="0" w:type="dxa"/>
            <w:vAlign w:val="bottom"/>
          </w:tcPr>
          <w:p>
            <w:pPr>
              <w:spacing w:after="0"/>
              <w:rPr>
                <w:sz w:val="1"/>
                <w:szCs w:val="1"/>
                <w:color w:val="auto"/>
              </w:rPr>
            </w:pP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sectPr>
      <w:pgSz w:w="11900" w:h="16838" w:orient="portrait"/>
      <w:cols w:equalWidth="0" w:num="1">
        <w:col w:w="11240"/>
      </w:cols>
      <w:pgMar w:left="320" w:top="13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2021-05-10T07:00:41Z</dcterms:created>
  <dcterms:modified xsi:type="dcterms:W3CDTF">2021-05-10T07:00:41Z</dcterms:modified>
</cp:coreProperties>
</file>