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31645"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1645" cy="471805"/>
                    </a:xfrm>
                    <a:prstGeom prst="rect">
                      <a:avLst/>
                    </a:prstGeom>
                    <a:noFill/>
                  </pic:spPr>
                </pic:pic>
              </a:graphicData>
            </a:graphic>
          </wp:anchor>
        </w:drawing>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Canonsburg, PA 15317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Phone: 724.514.1800</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8,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Attention: Vanessa Robertson and Kevin Vaughn,</w:t>
      </w:r>
    </w:p>
    <w:p>
      <w:pPr>
        <w:spacing w:after="0" w:line="2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Division of Corporation Finance, Office of Life Sciences</w:t>
      </w:r>
    </w:p>
    <w:p>
      <w:pPr>
        <w:spacing w:after="0" w:line="22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Re: Viatris Inc.</w:t>
      </w:r>
    </w:p>
    <w:p>
      <w:pPr>
        <w:spacing w:after="0" w:line="2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Form 10-K for the Fiscal Year Ended December 31, 2021</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Filed February 28, 2022</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Form 10-Q for the Quarterly Period ended March 31, 2022</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Filed May 9, 2022</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File No. 001-39695</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Robertson and Mr. Vaughn:</w:t>
      </w:r>
    </w:p>
    <w:p>
      <w:pPr>
        <w:spacing w:after="0" w:line="225" w:lineRule="exact"/>
        <w:rPr>
          <w:sz w:val="24"/>
          <w:szCs w:val="24"/>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letter sets forth the response of Viatris Inc. (“Viatris”, the “Company”, “we” or “our”) to the comment letter (the “Comment Letter”) dated July 27, 2022 from the staff (the “Staff”) of the United States Securities and Exchange Commission with respect to the above referenced filings. For ease of reference, we repeat the Staff’s comment in bold text prior to our response.</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10-Q for the quarterly period ended March 31, 2022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Revenues, page 48</w:t>
      </w:r>
    </w:p>
    <w:p>
      <w:pPr>
        <w:spacing w:after="0" w:line="230" w:lineRule="exact"/>
        <w:rPr>
          <w:sz w:val="24"/>
          <w:szCs w:val="24"/>
          <w:color w:val="auto"/>
        </w:rPr>
      </w:pPr>
    </w:p>
    <w:p>
      <w:pPr>
        <w:ind w:left="960" w:right="20" w:hanging="532"/>
        <w:spacing w:after="0" w:line="259" w:lineRule="auto"/>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disclose that the decrease in total revenues and net sales was primarily driven by a decrease of approximately $169.7 million in net sales from existing products as a result of lower pricing and volumes. Please provide us with proposed disclosure to be included in future periodic reports that quantifies the impact of price and volume separately. Alternatively, we note in your first quarter 2022 earnings presentation that you quantify the decrease in net sales due to competition on key US products and other base business erosion separately. Please refer to Item 303(a)(3)(iii) of Regulation S-K.</w:t>
      </w:r>
    </w:p>
    <w:p>
      <w:pPr>
        <w:sectPr>
          <w:pgSz w:w="11900" w:h="16838" w:orient="portrait"/>
          <w:cols w:equalWidth="0" w:num="1">
            <w:col w:w="11020"/>
          </w:cols>
          <w:pgMar w:left="440" w:top="229" w:right="439" w:bottom="1440" w:gutter="0" w:footer="0" w:header="0"/>
        </w:sectPr>
      </w:pPr>
    </w:p>
    <w:bookmarkStart w:id="1" w:name="page2"/>
    <w:bookmarkEnd w:id="1"/>
    <w:p>
      <w:pPr>
        <w:ind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31645" cy="471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471170"/>
                    </a:xfrm>
                    <a:prstGeom prst="rect">
                      <a:avLst/>
                    </a:prstGeom>
                    <a:noFill/>
                  </pic:spPr>
                </pic:pic>
              </a:graphicData>
            </a:graphic>
          </wp:anchor>
        </w:drawing>
        <w:t>Response</w:t>
      </w:r>
      <w:r>
        <w:rPr>
          <w:rFonts w:ascii="Times New Roman" w:cs="Times New Roman" w:eastAsia="Times New Roman" w:hAnsi="Times New Roman"/>
          <w:sz w:val="18"/>
          <w:szCs w:val="18"/>
          <w:color w:val="auto"/>
        </w:rPr>
        <w:t>: In response to the Staff’s comment, in future filings beginning with our Quarterly Report on Form 10-Q for the period ended June 30, 2022, the Company will revise its disclosure to further quantify material changes in total revenues and net sales.</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As an example of how we plan to address the Staff’s comment in future filings and for illustrative purposes only, we have revised our year-over-year comparative discussion for total revenues and net sales from the Management’s Discussion and Analysis of Financial Condition and Results of Operations in our Quarterly Report on Form 10-Q for the period ended March 31, 2022. The illustrative additions are denoted as underlined text and deleted text is denoted as struck through text.</w:t>
      </w:r>
    </w:p>
    <w:p>
      <w:pPr>
        <w:spacing w:after="0" w:line="72" w:lineRule="exact"/>
        <w:rPr>
          <w:sz w:val="20"/>
          <w:szCs w:val="20"/>
          <w:color w:val="auto"/>
        </w:rPr>
      </w:pPr>
    </w:p>
    <w:p>
      <w:pPr>
        <w:ind w:left="440" w:right="200" w:firstLine="423"/>
        <w:spacing w:after="0" w:line="261" w:lineRule="auto"/>
        <w:rPr>
          <w:sz w:val="20"/>
          <w:szCs w:val="20"/>
          <w:color w:val="auto"/>
        </w:rPr>
      </w:pPr>
      <w:r>
        <w:rPr>
          <w:rFonts w:ascii="Times New Roman" w:cs="Times New Roman" w:eastAsia="Times New Roman" w:hAnsi="Times New Roman"/>
          <w:sz w:val="18"/>
          <w:szCs w:val="18"/>
          <w:color w:val="auto"/>
        </w:rPr>
        <w:t>For the current quarter, Viatris reported total revenues of $4.19 billion, compared to $4.43 billion for the comparable prior year period, representing a decrease of $238.6 million, or 5%. Total revenues include both net sales and other revenues from third parties. Net sales for the current quarter were $4.18 billion, compared to $4.40 billion for the comparable prior year period, representing a decrease of $221.9 million, or 5%. Other revenues for the current quarter were $13.5 million, compared to $30.2 million for the comparable prior year period.</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decrease in total revenues and net sales was primarily driven by a decrease of approximately $169.7 million in net sales from existing</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products as a result of lower pricing and volumes, </w:t>
      </w:r>
      <w:r>
        <w:rPr>
          <w:rFonts w:ascii="Times New Roman" w:cs="Times New Roman" w:eastAsia="Times New Roman" w:hAnsi="Times New Roman"/>
          <w:sz w:val="18"/>
          <w:szCs w:val="18"/>
          <w:u w:val="single" w:color="auto"/>
          <w:color w:val="auto"/>
        </w:rPr>
        <w:t>due to competition on certain key U.S. products, representing a decline of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-70485</wp:posOffset>
            </wp:positionV>
            <wp:extent cx="18878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7855" cy="889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u w:val="single" w:color="auto"/>
          <w:color w:val="auto"/>
        </w:rPr>
        <w:t>$69 million, and approximately $100 million as a result of other base business erosion. The decrease in net sales from existing products was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partially offset by approximately $120 million of new product sales. New product sales include new products launched in 2022 and the carryover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impact of new products, including business development, launched within the last twelve months. The Company’s net sales were unfavorably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impacted by the effect of foreign currency translation, primarily reflecting changes in the U.S. Dollar as compared to the currencies of subsidiaries</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countries within the EU, Turkey, and Japan. The net unfavorable impact of foreign currency translation on net sales was approximately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$170.3 million, or 4%. On a constant currency basis, the decrease in net sales was approximately $51.6 million, or 1% for the three months ended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March 31, 2022.</w:t>
      </w:r>
    </w:p>
    <w:p>
      <w:pPr>
        <w:sectPr>
          <w:pgSz w:w="11900" w:h="16838" w:orient="portrait"/>
          <w:cols w:equalWidth="0" w:num="1">
            <w:col w:w="10980"/>
          </w:cols>
          <w:pgMar w:left="440" w:top="1228" w:right="479" w:bottom="1440" w:gutter="0" w:footer="0" w:header="0"/>
        </w:sectPr>
      </w:pPr>
    </w:p>
    <w:bookmarkStart w:id="2" w:name="page3"/>
    <w:bookmarkEnd w:id="2"/>
    <w:p>
      <w:pPr>
        <w:jc w:val="center"/>
        <w:ind w:right="-1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3164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471805"/>
                    </a:xfrm>
                    <a:prstGeom prst="rect">
                      <a:avLst/>
                    </a:prstGeom>
                    <a:noFill/>
                  </pic:spPr>
                </pic:pic>
              </a:graphicData>
            </a:graphic>
          </wp:anchor>
        </w:drawing>
        <w:t>* * *</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We hope that this response adequately addresses the Staff’s comment. If you have any questions concerning this response letter or require further information, please do not hesitate to contact Paul Campbell, Chief Accounting Officer and Corporate Controller (724-514-1883).</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Sanjeev Narula</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ind w:left="444" w:right="7020" w:hanging="444"/>
        <w:spacing w:after="0" w:line="312" w:lineRule="auto"/>
        <w:tabs>
          <w:tab w:leader="none" w:pos="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Brian Roman, Global General Counsel, Viatris John W. White, Cravath, Swaine &amp; Moore LLP</w:t>
      </w:r>
    </w:p>
    <w:sectPr>
      <w:pgSz w:w="11900" w:h="16838" w:orient="portrait"/>
      <w:cols w:equalWidth="0" w:num="1">
        <w:col w:w="10884"/>
      </w:cols>
      <w:pgMar w:left="436" w:top="1228"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2022-09-22T23:11:09Z</dcterms:created>
  <dcterms:modified xsi:type="dcterms:W3CDTF">2022-09-22T23:11:09Z</dcterms:modified>
</cp:coreProperties>
</file>