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36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PARRISH MARK W</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Viatris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VTRS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11/16/2020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103" w:space="720"/>
            <w:col w:w="3337"/>
          </w:cols>
          <w:pgMar w:left="460" w:top="222" w:right="359" w:bottom="368"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CANONSBURG PA</w:t>
            </w:r>
          </w:p>
        </w:tc>
        <w:tc>
          <w:tcPr>
            <w:tcW w:w="1620" w:type="dxa"/>
            <w:vAlign w:val="bottom"/>
          </w:tcPr>
          <w:p>
            <w:pPr>
              <w:ind w:left="440"/>
              <w:spacing w:after="0"/>
              <w:rPr>
                <w:sz w:val="20"/>
                <w:szCs w:val="20"/>
                <w:color w:val="auto"/>
              </w:rPr>
            </w:pPr>
            <w:r>
              <w:rPr>
                <w:rFonts w:ascii="Arial" w:cs="Arial" w:eastAsia="Arial" w:hAnsi="Arial"/>
                <w:sz w:val="17"/>
                <w:szCs w:val="17"/>
                <w:color w:val="0000FF"/>
              </w:rPr>
              <w:t>15317</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1096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096645"/>
                    </a:xfrm>
                    <a:prstGeom prst="rect">
                      <a:avLst/>
                    </a:prstGeom>
                    <a:noFill/>
                  </pic:spPr>
                </pic:pic>
              </a:graphicData>
            </a:graphic>
          </wp:anchor>
        </w:drawing>
      </w:r>
    </w:p>
    <w:p>
      <w:pPr>
        <w:spacing w:after="0" w:line="379" w:lineRule="exact"/>
        <w:rPr>
          <w:sz w:val="24"/>
          <w:szCs w:val="24"/>
          <w:color w:val="auto"/>
        </w:rPr>
      </w:pPr>
    </w:p>
    <w:p>
      <w:pPr>
        <w:sectPr>
          <w:pgSz w:w="11900" w:h="16838" w:orient="portrait"/>
          <w:cols w:equalWidth="0" w:num="2">
            <w:col w:w="3760" w:space="160"/>
            <w:col w:w="7160"/>
          </w:cols>
          <w:pgMar w:left="460" w:top="222" w:right="359" w:bottom="36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11/16/2020</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2"/>
              </w:rPr>
              <w:t>58,295</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0"/>
              <w:spacing w:after="0"/>
              <w:rPr>
                <w:sz w:val="20"/>
                <w:szCs w:val="20"/>
                <w:color w:val="auto"/>
              </w:rPr>
            </w:pPr>
            <w:r>
              <w:rPr>
                <w:rFonts w:ascii="Arial" w:cs="Arial" w:eastAsia="Arial" w:hAnsi="Arial"/>
                <w:sz w:val="11"/>
                <w:szCs w:val="11"/>
                <w:color w:val="008000"/>
              </w:rPr>
              <w:t>(2)</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259"/>
              <w:spacing w:after="0"/>
              <w:rPr>
                <w:sz w:val="20"/>
                <w:szCs w:val="20"/>
                <w:color w:val="auto"/>
              </w:rPr>
            </w:pPr>
            <w:r>
              <w:rPr>
                <w:rFonts w:ascii="Arial" w:cs="Arial" w:eastAsia="Arial" w:hAnsi="Arial"/>
                <w:sz w:val="17"/>
                <w:szCs w:val="17"/>
                <w:color w:val="0000FF"/>
              </w:rPr>
              <w:t>58,313</w:t>
            </w:r>
            <w:r>
              <w:rPr>
                <w:rFonts w:ascii="Arial" w:cs="Arial" w:eastAsia="Arial" w:hAnsi="Arial"/>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jc w:val="center"/>
              <w:ind w:right="2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2,974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45.72</w:t>
            </w: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2,974</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(5)</w:t>
            </w: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04/11/2024</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(4)</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2,974</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(4)</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2,603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50.66</w:t>
            </w: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2,603</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(6)</w:t>
            </w: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11/17/2025</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(4)</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2,603</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(4)</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2,788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46.27</w:t>
            </w: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2,788</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(7)</w:t>
            </w: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02/17/2026</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(4)</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2,788</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25"/>
                <w:szCs w:val="25"/>
                <w:color w:val="0000FF"/>
                <w:vertAlign w:val="subscript"/>
              </w:rPr>
              <w:t>Buy</w:t>
            </w:r>
            <w:r>
              <w:rPr>
                <w:rFonts w:ascii="Arial" w:cs="Arial" w:eastAsia="Arial" w:hAnsi="Arial"/>
                <w:sz w:val="11"/>
                <w:szCs w:val="11"/>
                <w:color w:val="008000"/>
              </w:rPr>
              <w:t>(4)</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2,928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45.18</w:t>
            </w: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2,928</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(8)</w:t>
            </w: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03/03/2027</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(4)</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2,928</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25"/>
                <w:szCs w:val="25"/>
                <w:color w:val="0000FF"/>
                <w:vertAlign w:val="subscript"/>
              </w:rPr>
              <w:t>Buy</w:t>
            </w:r>
            <w:r>
              <w:rPr>
                <w:rFonts w:ascii="Arial" w:cs="Arial" w:eastAsia="Arial" w:hAnsi="Arial"/>
                <w:sz w:val="11"/>
                <w:szCs w:val="11"/>
                <w:color w:val="008000"/>
              </w:rPr>
              <w:t>(4)</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2,984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40.97</w:t>
            </w: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2,984</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w w:val="88"/>
              </w:rPr>
              <w:t>(9)</w:t>
            </w: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03/02/2028</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(4)</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2,984</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(4)</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4,352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27.45</w:t>
            </w: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4,352</w:t>
            </w:r>
          </w:p>
        </w:tc>
        <w:tc>
          <w:tcPr>
            <w:tcW w:w="340" w:type="dxa"/>
            <w:vAlign w:val="bottom"/>
          </w:tcPr>
          <w:p>
            <w:pPr>
              <w:spacing w:after="0"/>
              <w:rPr>
                <w:sz w:val="6"/>
                <w:szCs w:val="6"/>
                <w:color w:val="auto"/>
              </w:rPr>
            </w:pPr>
          </w:p>
        </w:tc>
        <w:tc>
          <w:tcPr>
            <w:tcW w:w="76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(10)</w:t>
            </w: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03/01/2029</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(4)</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4,352</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-5903595</wp:posOffset>
            </wp:positionV>
            <wp:extent cx="7033260" cy="6654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6654165"/>
                    </a:xfrm>
                    <a:prstGeom prst="rect">
                      <a:avLst/>
                    </a:prstGeom>
                    <a:noFill/>
                  </pic:spPr>
                </pic:pic>
              </a:graphicData>
            </a:graphic>
          </wp:anchor>
        </w:drawing>
      </w:r>
    </w:p>
    <w:p>
      <w:pPr>
        <w:ind w:left="80"/>
        <w:spacing w:after="0" w:line="218"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(4)</w:t>
      </w:r>
    </w:p>
    <w:p>
      <w:pPr>
        <w:sectPr>
          <w:pgSz w:w="11900" w:h="16838" w:orient="portrait"/>
          <w:cols w:equalWidth="0" w:num="1">
            <w:col w:w="11080"/>
          </w:cols>
          <w:pgMar w:left="460" w:top="222" w:right="359" w:bottom="36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294640</wp:posOffset>
            </wp:positionH>
            <wp:positionV relativeFrom="page">
              <wp:posOffset>88900</wp:posOffset>
            </wp:positionV>
            <wp:extent cx="7033260" cy="2844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3260" cy="284480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6,151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ind w:right="1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17.48</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11/16/2020</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6,151</w:t>
            </w:r>
          </w:p>
        </w:tc>
        <w:tc>
          <w:tcPr>
            <w:tcW w:w="280" w:type="dxa"/>
            <w:vAlign w:val="bottom"/>
          </w:tcPr>
          <w:p>
            <w:pPr>
              <w:spacing w:after="0"/>
              <w:rPr>
                <w:sz w:val="6"/>
                <w:szCs w:val="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(11)</w:t>
            </w:r>
          </w:p>
        </w:tc>
        <w:tc>
          <w:tcPr>
            <w:tcW w:w="740" w:type="dxa"/>
            <w:vAlign w:val="bottom"/>
            <w:vMerge w:val="restart"/>
          </w:tcPr>
          <w:p>
            <w:pPr>
              <w:jc w:val="right"/>
              <w:ind w:right="1"/>
              <w:spacing w:after="0" w:line="143" w:lineRule="exact"/>
              <w:rPr>
                <w:sz w:val="20"/>
                <w:szCs w:val="20"/>
                <w:color w:val="auto"/>
              </w:rPr>
            </w:pPr>
            <w:r>
              <w:rPr>
                <w:rFonts w:ascii="Arial" w:cs="Arial" w:eastAsia="Arial" w:hAnsi="Arial"/>
                <w:sz w:val="13"/>
                <w:szCs w:val="13"/>
                <w:color w:val="0000FF"/>
              </w:rPr>
              <w:t>03/02/2030</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223"/>
              <w:spacing w:after="0"/>
              <w:rPr>
                <w:sz w:val="20"/>
                <w:szCs w:val="20"/>
                <w:color w:val="auto"/>
              </w:rPr>
            </w:pPr>
            <w:r>
              <w:rPr>
                <w:rFonts w:ascii="Arial" w:cs="Arial" w:eastAsia="Arial" w:hAnsi="Arial"/>
                <w:sz w:val="11"/>
                <w:szCs w:val="11"/>
                <w:color w:val="008000"/>
              </w:rPr>
              <w:t>(4)</w:t>
            </w:r>
          </w:p>
        </w:tc>
        <w:tc>
          <w:tcPr>
            <w:tcW w:w="9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6,151</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70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25"/>
                <w:szCs w:val="25"/>
                <w:color w:val="0000FF"/>
                <w:vertAlign w:val="subscript"/>
              </w:rPr>
              <w:t>Buy</w:t>
            </w:r>
            <w:r>
              <w:rPr>
                <w:rFonts w:ascii="Arial" w:cs="Arial" w:eastAsia="Arial" w:hAnsi="Arial"/>
                <w:sz w:val="11"/>
                <w:szCs w:val="11"/>
                <w:color w:val="008000"/>
              </w:rPr>
              <w:t>(4)</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9,440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1080" w:type="dxa"/>
            <w:vAlign w:val="bottom"/>
            <w:vMerge w:val="restart"/>
          </w:tcPr>
          <w:p>
            <w:pPr>
              <w:jc w:val="right"/>
              <w:ind w:right="179"/>
              <w:spacing w:after="0" w:line="139" w:lineRule="exact"/>
              <w:rPr>
                <w:sz w:val="20"/>
                <w:szCs w:val="20"/>
                <w:color w:val="auto"/>
              </w:rPr>
            </w:pPr>
            <w:r>
              <w:rPr>
                <w:rFonts w:ascii="Arial" w:cs="Arial" w:eastAsia="Arial" w:hAnsi="Arial"/>
                <w:sz w:val="13"/>
                <w:szCs w:val="13"/>
                <w:color w:val="0000FF"/>
              </w:rPr>
              <w:t>11/16/2020</w:t>
            </w:r>
          </w:p>
        </w:tc>
        <w:tc>
          <w:tcPr>
            <w:tcW w:w="1100" w:type="dxa"/>
            <w:vAlign w:val="bottom"/>
          </w:tcPr>
          <w:p>
            <w:pPr>
              <w:spacing w:after="0"/>
              <w:rPr>
                <w:sz w:val="6"/>
                <w:szCs w:val="6"/>
                <w:color w:val="auto"/>
              </w:rPr>
            </w:pPr>
          </w:p>
        </w:tc>
        <w:tc>
          <w:tcPr>
            <w:tcW w:w="8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39" w:lineRule="exact"/>
              <w:rPr>
                <w:sz w:val="20"/>
                <w:szCs w:val="20"/>
                <w:color w:val="auto"/>
              </w:rPr>
            </w:pPr>
            <w:r>
              <w:rPr>
                <w:rFonts w:ascii="Arial" w:cs="Arial" w:eastAsia="Arial" w:hAnsi="Arial"/>
                <w:sz w:val="13"/>
                <w:szCs w:val="13"/>
                <w:color w:val="0000FF"/>
              </w:rPr>
              <w:t>9,440</w:t>
            </w:r>
          </w:p>
        </w:tc>
        <w:tc>
          <w:tcPr>
            <w:tcW w:w="28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(13)</w:t>
            </w:r>
          </w:p>
        </w:tc>
        <w:tc>
          <w:tcPr>
            <w:tcW w:w="740" w:type="dxa"/>
            <w:vAlign w:val="bottom"/>
            <w:vMerge w:val="restart"/>
          </w:tcPr>
          <w:p>
            <w:pPr>
              <w:jc w:val="right"/>
              <w:ind w:right="221"/>
              <w:spacing w:after="0"/>
              <w:rPr>
                <w:sz w:val="20"/>
                <w:szCs w:val="20"/>
                <w:color w:val="auto"/>
              </w:rPr>
            </w:pPr>
            <w:r>
              <w:rPr>
                <w:rFonts w:ascii="Arial" w:cs="Arial" w:eastAsia="Arial" w:hAnsi="Arial"/>
                <w:sz w:val="11"/>
                <w:szCs w:val="11"/>
                <w:color w:val="008000"/>
              </w:rPr>
              <w:t>(13)</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183"/>
              <w:spacing w:after="0"/>
              <w:rPr>
                <w:sz w:val="20"/>
                <w:szCs w:val="20"/>
                <w:color w:val="auto"/>
              </w:rPr>
            </w:pPr>
            <w:r>
              <w:rPr>
                <w:rFonts w:ascii="Arial" w:cs="Arial" w:eastAsia="Arial" w:hAnsi="Arial"/>
                <w:sz w:val="11"/>
                <w:szCs w:val="11"/>
                <w:color w:val="008000"/>
              </w:rPr>
              <w:t>(12)</w:t>
            </w:r>
          </w:p>
        </w:tc>
        <w:tc>
          <w:tcPr>
            <w:tcW w:w="9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9,440</w:t>
            </w:r>
          </w:p>
        </w:tc>
        <w:tc>
          <w:tcPr>
            <w:tcW w:w="7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(12)</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jc w:val="both"/>
        <w:ind w:left="20" w:right="180" w:firstLine="3"/>
        <w:spacing w:after="0" w:line="294" w:lineRule="auto"/>
        <w:tabs>
          <w:tab w:leader="none" w:pos="15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November 16, 2020, Mylan N.V. ("Mylan") completed the transaction pursuant to which Mylan combined with Pfizer Inc.'s ("Pfizer") Upjohn business (the "Upjohn Business") in a Reverse Morris Trust transaction (the "Combination") and Upjohn Inc. ("Upjohn") became the parent entity of the combined Upjohn Business and Mylan business and was renamed "Viatris Inc." ("Viatris"). Pursuant to the terms of the Business Combination Agreement (as amended), dated July 29, 2019, by and among Mylan, Pfizer, Upjohn and certain other affiliated entities, Upjohn and Mylan effected the Combination through a series of transactions, including that each holder of Mylan ordinary shares received one share of Viatris common stock for each Mylan ordinary share held by such holder (subject to any required withholding tax).</w:t>
      </w:r>
    </w:p>
    <w:p>
      <w:pPr>
        <w:spacing w:after="0" w:line="3" w:lineRule="exact"/>
        <w:rPr>
          <w:rFonts w:ascii="Arial" w:cs="Arial" w:eastAsia="Arial" w:hAnsi="Arial"/>
          <w:sz w:val="11"/>
          <w:szCs w:val="11"/>
          <w:color w:val="008000"/>
        </w:rPr>
      </w:pPr>
    </w:p>
    <w:p>
      <w:pPr>
        <w:ind w:left="20" w:right="480" w:firstLine="3"/>
        <w:spacing w:after="0" w:line="252" w:lineRule="auto"/>
        <w:tabs>
          <w:tab w:leader="none" w:pos="15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Viatris common stock acquired in connection with the Combination on a one-for-one basis in exchange for ordinary shares of Mylan. On the effective date of the Combination, the closing price of a Mylan ordinary share was $15.85 per share.</w:t>
      </w:r>
    </w:p>
    <w:p>
      <w:pPr>
        <w:spacing w:after="0" w:line="23" w:lineRule="exact"/>
        <w:rPr>
          <w:rFonts w:ascii="Arial" w:cs="Arial" w:eastAsia="Arial" w:hAnsi="Arial"/>
          <w:sz w:val="13"/>
          <w:szCs w:val="13"/>
          <w:color w:val="008000"/>
        </w:rPr>
      </w:pPr>
    </w:p>
    <w:p>
      <w:pPr>
        <w:ind w:left="20" w:right="360" w:firstLine="3"/>
        <w:spacing w:after="0" w:line="252" w:lineRule="auto"/>
        <w:tabs>
          <w:tab w:leader="none" w:pos="15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18 shares of common stock acquired in the distribution on November 16, 2020 by Pfizer to its stockholders of all of the issued and outstanding shares of Upjohn common stock held by Pfizer by way of pro rata dividend.</w:t>
      </w:r>
    </w:p>
    <w:p>
      <w:pPr>
        <w:spacing w:after="0" w:line="23"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exchange for, and having substantially the same terms as, stock options to acquire Mylan ordinary shares in connection with the Combination.</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vested on April 11, 2015.</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vested on May 1, 2016.</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vested on February 17, 2017.</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vested on March 3, 2018.</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vested on March 2, 2019.</w:t>
      </w:r>
    </w:p>
    <w:p>
      <w:pPr>
        <w:spacing w:after="0" w:line="45" w:lineRule="exact"/>
        <w:rPr>
          <w:rFonts w:ascii="Arial" w:cs="Arial" w:eastAsia="Arial" w:hAnsi="Arial"/>
          <w:sz w:val="13"/>
          <w:szCs w:val="13"/>
          <w:color w:val="008000"/>
        </w:rPr>
      </w:pPr>
    </w:p>
    <w:p>
      <w:pPr>
        <w:ind w:left="220" w:hanging="197"/>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vested on March 2, 2020.</w:t>
      </w:r>
    </w:p>
    <w:p>
      <w:pPr>
        <w:spacing w:after="0" w:line="45" w:lineRule="exact"/>
        <w:rPr>
          <w:rFonts w:ascii="Arial" w:cs="Arial" w:eastAsia="Arial" w:hAnsi="Arial"/>
          <w:sz w:val="13"/>
          <w:szCs w:val="13"/>
          <w:color w:val="008000"/>
        </w:rPr>
      </w:pPr>
    </w:p>
    <w:p>
      <w:pPr>
        <w:ind w:left="220" w:hanging="197"/>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will vest on March 2, 2021.</w:t>
      </w:r>
    </w:p>
    <w:p>
      <w:pPr>
        <w:spacing w:after="0" w:line="45" w:lineRule="exact"/>
        <w:rPr>
          <w:rFonts w:ascii="Arial" w:cs="Arial" w:eastAsia="Arial" w:hAnsi="Arial"/>
          <w:sz w:val="13"/>
          <w:szCs w:val="13"/>
          <w:color w:val="008000"/>
        </w:rPr>
      </w:pPr>
    </w:p>
    <w:p>
      <w:pPr>
        <w:ind w:left="220" w:hanging="197"/>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exchange for, and having substantially the same terms as, restricted stock units ("RSUs") of Mylan in connection with the Combination.</w:t>
      </w:r>
    </w:p>
    <w:p>
      <w:pPr>
        <w:spacing w:after="0" w:line="45" w:lineRule="exact"/>
        <w:rPr>
          <w:rFonts w:ascii="Arial" w:cs="Arial" w:eastAsia="Arial" w:hAnsi="Arial"/>
          <w:sz w:val="13"/>
          <w:szCs w:val="13"/>
          <w:color w:val="008000"/>
        </w:rPr>
      </w:pPr>
    </w:p>
    <w:p>
      <w:pPr>
        <w:ind w:left="220" w:hanging="197"/>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The RSUs will vest on March 2, 2021.</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Kevin Macikowski, by</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11/18/2020</w:t>
            </w:r>
          </w:p>
        </w:tc>
        <w:tc>
          <w:tcPr>
            <w:tcW w:w="0" w:type="dxa"/>
            <w:vAlign w:val="bottom"/>
          </w:tcPr>
          <w:p>
            <w:pPr>
              <w:spacing w:after="0"/>
              <w:rPr>
                <w:sz w:val="1"/>
                <w:szCs w:val="1"/>
                <w:color w:val="auto"/>
              </w:rPr>
            </w:pPr>
          </w:p>
        </w:tc>
      </w:tr>
      <w:tr>
        <w:trPr>
          <w:trHeight w:val="84"/>
        </w:trPr>
        <w:tc>
          <w:tcPr>
            <w:tcW w:w="1740" w:type="dxa"/>
            <w:vAlign w:val="bottom"/>
            <w:tcBorders>
              <w:top w:val="single" w:sz="8" w:color="auto"/>
            </w:tcBorders>
            <w:gridSpan w:val="2"/>
            <w:vMerge w:val="restart"/>
          </w:tcPr>
          <w:p>
            <w:pPr>
              <w:spacing w:after="0" w:line="188" w:lineRule="exact"/>
              <w:rPr>
                <w:sz w:val="20"/>
                <w:szCs w:val="20"/>
                <w:color w:val="auto"/>
              </w:rPr>
            </w:pPr>
            <w:r>
              <w:rPr>
                <w:rFonts w:ascii="Arial" w:cs="Arial" w:eastAsia="Arial" w:hAnsi="Arial"/>
                <w:sz w:val="17"/>
                <w:szCs w:val="17"/>
                <w:color w:val="0000FF"/>
              </w:rPr>
              <w:t>power of attorney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74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520" w:firstLine="3"/>
        <w:spacing w:after="0" w:line="337" w:lineRule="auto"/>
        <w:tabs>
          <w:tab w:leader="none" w:pos="15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36452"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2020-11-18T18:53:27Z</dcterms:created>
  <dcterms:modified xsi:type="dcterms:W3CDTF">2020-11-18T18:53:27Z</dcterms:modified>
</cp:coreProperties>
</file>