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000-56114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83-4364296</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7"/>
              </w:rPr>
              <w:t>(IRS Employer of</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235 East 42nd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10017</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620" w:hanging="444"/>
        <w:spacing w:after="0" w:line="511"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 June 16, 2020, Upjohn Inc. (“Upjohn” or “Newco”) entered into the Revolving Credit Agreement and the Term Loan Credit Agreement (in each case as defined and described below) in connection with the previously announced combination (the “Combination”) of Pfizer Inc.’s (“Pfizer’s”) global, primarily off-patent branded and generic established medicines business (the “Upjohn Business”) and Mylan N.V. (“Mylan”) in a Reverse Morris Trust transaction pursuant to the Business Combination Agreement, dated as of July 29, 2019, among Pfizer, Mylan, Upjohn and certain of their affiliates, as amended on May 29, 2020, and the Separation and Distribution Agreement (as defined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On June 16, 2020, Upjohn entered into a revolving credit agreement (the “Revolving Credit Agreement”), by and among Upjohn, certain lenders and issuing banks from time to time party thereto and Bank of America, N.A., as administrative agent (in such capacity, the “Revolving Administrative Agent”). The Revolving Credit Agreement contains a revolving credit facility (the “Revolving Credit Facility”) under which Upjohn may obtain extensions of credit in an aggregate principal amount not to exceed $4,000,000,000, in U.S. dollars or alternative currencies including Euro, Sterling, Yen and any other currency that is approved by the Revolving Administrative Agent and each lender under the Revolving Credit Facility. The total commitments under the senior unsecured 364-day bridge loan facility pursuant to that certain commitment letter dated as of July 29, 2019 (as amended, supplemented or otherwise modified from time to time, the “Bridge Commitment Letter”), by and among Upjohn, Goldman Sachs Bank USA, Goldman Sachs Lending Partners LLC and the other parties party thereto, were reduced concurrently with the effectiveness of the Revolving Credit Agreement by an amount equal to $1,500,000,000.</w:t>
      </w:r>
    </w:p>
    <w:p>
      <w:pPr>
        <w:spacing w:after="0" w:line="18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Up to $1.5 billion under the Revolving Credit Facility will be available to Upjohn in a single draw on the Revolver Closing Date for the sole purpose of funding a portion of the cash payment of $12.0 billion by Upjohn to Pfizer as partial consideration for Pfizer’s contribution of the Upjohn Business to Upjohn (the “Cash Payment”), as required by the Separation and Distribution Agreement, dated as of July 29, 2019, between Pfizer and Upjohn, as amended on February 18, 2020 and on May 29, 2020, and as further amended, restated or modified from time to time (the “Separation and Distribution Agreement”), upon (a) its delivery of a certificate certifying that (i) the conditions to the consummation of the Combination have been satisfied or waived or are expected to be satisfied or waived on the date of funding of such facility or within one business day thereafter and (ii) the distribution by Pfizer to its stockholders of its shares of Upjohn’s common stock, by way of either, at Pfizer’s option, a spin-off or a split-off, pursuant to the Separation and Distribution Agreement (the “Distribution”) is expected to be, the Combination is expected to be, and the contribution of the Upjohn Business to Upjohn (the “Contribution”) has been or is expected to be consummated on the Revolver Closing Date (as defined below) or within one business day thereafter (an “RMT Condition Certificate”) and (b) the satisfaction of certain customary conditions (the date such conditions are satisfied or waived being referred to as the “Revolver Closing Date”). Other extensions of credit are available from and after the consummation of the Combination, subject to the satisfaction of certain customary conditions.</w:t>
      </w:r>
    </w:p>
    <w:p>
      <w:pPr>
        <w:spacing w:after="0" w:line="179"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Revolving Credit Agreement includes a $300,000,000 subfacility for the issuance of letters of credit and a $175,000,000 sublimit for swingline borrowings. The swingline borrowings will be made available in U.S. dollars only. Upjohn may seek additional commitments under the Revolving Credit Facility from lenders or other financial institutions designated by Upjohn up to an aggregate amount such that Upjohn would be in compliance with the financial covenant described below, after giving effect to such increase in the commitments and the application of proceeds therefrom. In determining pro forma compliance with the financial covenant described below, any indebtedness that is proposed to be incurred will be added to Upjohn’s consolidated total indebtedness, and if such indebtedness is incurred in connection with an acquisition, the consolidated EBITDA of the acquired business for the trailing four quarters will be added to (or, if negative, subtracted from) Upjohn’s consolidated EBITDA for the same period.</w:t>
      </w:r>
    </w:p>
    <w:p>
      <w:pPr>
        <w:sectPr>
          <w:pgSz w:w="11900" w:h="16838" w:orient="portrait"/>
          <w:cols w:equalWidth="0" w:num="1">
            <w:col w:w="11000"/>
          </w:cols>
          <w:pgMar w:left="440" w:top="270" w:right="459" w:bottom="1440" w:gutter="0" w:footer="0" w:header="0"/>
        </w:sectPr>
      </w:pPr>
    </w:p>
    <w:bookmarkStart w:id="2" w:name="page3"/>
    <w:bookmarkEnd w:id="2"/>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funding a portion of the Cash Payment, proceeds from the Revolving Credit Facility will be used for general lawful corporate purposes of Upjohn and its subsidiaries, including, without limitation, to repay outstanding obligations under Mylan Inc.’s existing $2,000,000,000 revolving credit facility, dated as of July 27, 2018 (as amended, restated or modified from time to time, the “Mylan Revolving Credit Facility”), among Mylan Inc., as borrower, Mylan, as a guarantor, certain lenders and issuing banks from time to time party thereto and Bank of America, N.A., as administrative agent.</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Within one business day after the consummation of the Combination, the Revolving Credit Facility will be guaranteed by each affiliate or subsidiary of Upjohn, including Mylan Inc., that is an issuer or guarantor of the senior unsecured notes issued by Mylan or Mylan Inc., and each other subsidiary of Upjohn that guarantees (or is otherwise a co-obligor of) third party indebtedness in excess of $500,000,000 other than (i) any wholly owned subsidiary of Upjohn which engages in no activities other than in connection with the financing of receivables of the receivables sellers and which is designated as a receivables entity by Upjohn (“Receivables Entity”) and (ii) Upjohn Finance B.V., a private limited liability company (</w:t>
      </w:r>
      <w:r>
        <w:rPr>
          <w:rFonts w:ascii="Arial" w:cs="Arial" w:eastAsia="Arial" w:hAnsi="Arial"/>
          <w:sz w:val="16"/>
          <w:szCs w:val="16"/>
          <w:i w:val="1"/>
          <w:iCs w:val="1"/>
          <w:color w:val="auto"/>
        </w:rPr>
        <w:t>besloten</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 met beperkte aansprakelijkheid</w:t>
      </w:r>
      <w:r>
        <w:rPr>
          <w:rFonts w:ascii="Arial" w:cs="Arial" w:eastAsia="Arial" w:hAnsi="Arial"/>
          <w:sz w:val="16"/>
          <w:szCs w:val="16"/>
          <w:color w:val="auto"/>
        </w:rPr>
        <w:t>) incorporated and existing under the laws of the Netherlands (“Finco”) so long as it (a) does not hold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and together with its subsidiaries) more than de minimis assets (other than (x) any intercompany notes or receivables that relate to the repayment of principal and interest of any indebtedness of Finco issued after June 16, 2020 and on or prior to the Revolver Closing Date, the proceeds of which are used to fund, in full or in part, the Cash Payment and related transaction fees and expenses, or (y) any proceeds from any indebtedness of Finco (so long as such proceeds are intended to be distributed to Upjohn) or intercompany notes or receivables that relate to the distribution of such proceeds), (b) does not generate more than de minimis consolidated EBITDA and (c) does not at any time guarantee any third-party indebtedness of Upjohn. As of June 16, 2020, no subsidiary of Upjohn (including Finco) is required to provide a guarantee of the Revolving Credit Facility, but will automatically do so upon the occurrence of the above. The Revolving Credit Facility is unsecured.</w:t>
      </w:r>
    </w:p>
    <w:p>
      <w:pPr>
        <w:spacing w:after="0" w:line="17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Revolving Credit Facility will initially bear interest at the LIBO Rate (determined in accordance with the Revolving Credit Agreement) plus 1.70% per annum, if Upjohn chooses to make LIBO Rate borrowings, or at a base rate (determined in accordance with the Revolving Credit Agreement) plus 0.70% per annum. The Revolving Credit Facility has a facility fee, which currently accrues at 0.30% on the daily amount of the aggregate revolving commitments of the lenders. The applicable margins over the LIBO Rate and the base rate for the revolver can fluctuate based on the long-term unsecured senior, non-credit enhanced debt rating of Upjohn by S&amp;P Global Ratings, Moody’s Investors Service, Inc. and Fitch Ratings, Inc.</w:t>
      </w:r>
    </w:p>
    <w:p>
      <w:pPr>
        <w:spacing w:after="0" w:line="16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Revolving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Upjohn’s lines of business. The Revolving Credit Agreement contains a financial covenant requiring maintenance of a leverage ratio no greater than 4.25 to 1.00 as of the last day of each of the first four full fiscal quarters ending after the Revolver Closing Date and 3.75 to 1.00 as of the last day of any fiscal quarter thereafter. Affirmative and negative covenants in the Revolving Credit Agreement are applicable only from and after the consummation of the Combination. The Upjohn Revolving Credit Facility is scheduled to expire on the date that is three years from the Revolver Closing Date.</w:t>
      </w:r>
    </w:p>
    <w:p>
      <w:pPr>
        <w:sectPr>
          <w:pgSz w:w="11900" w:h="16838" w:orient="portrait"/>
          <w:cols w:equalWidth="0" w:num="1">
            <w:col w:w="11000"/>
          </w:cols>
          <w:pgMar w:left="440" w:top="274" w:right="459" w:bottom="1440" w:gutter="0" w:footer="0" w:header="0"/>
        </w:sectPr>
      </w:pPr>
    </w:p>
    <w:bookmarkStart w:id="3" w:name="page4"/>
    <w:bookmarkEnd w:id="3"/>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Revolving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Upjohn or any subsidiary that becomes a guarantor as described above. If an event of default occurs under the Revolving Credit Agreement, the lenders may, among other things, terminate their commitments and declare immediately payable all borrowings. The default provisions in the Revolving Credit Agreement are applicable only from and after the Revolver Closing Date.</w:t>
      </w:r>
    </w:p>
    <w:p>
      <w:pPr>
        <w:spacing w:after="0" w:line="19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Amounts drawn on the Revolving Credit Facility become due and payable on the date that is three years from the Revolver Closing Date. Amounts drawn on the Revolving Credit Facility may be voluntarily prepaid without penalty or premium, other than customary breakage costs related to prepayments of LIBO Rate borrowings.</w:t>
      </w:r>
    </w:p>
    <w:p>
      <w:pPr>
        <w:spacing w:after="0" w:line="184"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The foregoing summary of the Revolving Credit Agreement does not purport to be complete and is subject to, and qualified in its entirety by, the full text of the Revolving Credit Agreement, which is attached hereto as Exhibit 10.1 and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Credit Agreement</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On June 16, 2020, Upjohn entered into a delayed draw term loan credit agreement (the “Term Loan Credit Agreement”), by and among Upjohn, Mizuho Bank, Ltd. and MUFG Bank, Ltd., as administrative agent. The Term Loan Credit Agreement provides for an 18-month $600,000,000 principal amount delayed draw senior unsecured term loan facility (the “Term Loan Credit Facility”). The total commitments under the Bridge Commitment Letter were reduced concurrently with the effectiveness of the Term Loan Credit Agreement by an amount equal to $600 million.</w:t>
      </w:r>
    </w:p>
    <w:p>
      <w:pPr>
        <w:spacing w:after="0" w:line="15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Term Loan Credit Facility will be available to Upjohn upon its delivery of an RMT Condition Certificate and upon satisfaction of certain customary conditions (the date such conditions are satisfied or waived being referred to as the “Term Closing Date”). Upjohn intends to borrow the full $600 million aggregate principal amount available under the Term Loan Credit Facility in order to fund a portion of the Cash Payment to Pfizer and related transaction fees and expenses, as required by the Separation and Distribution Agreement.</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Within one business day after the consummation of the Combination, the Term Loan Credit Facility will be guaranteed by each affiliate or subsidiary of Upjohn, including Mylan Inc., that is an issuer or guarantor of the senior unsecured notes issued by Mylan or Mylan Inc., and each other Subsidiary of Upjohn (other than Finco or a Receivables Entity) that guarantees (or is otherwise a co-obligor of) third party indebtedness in excess of $500,000,000 other than (i) any Receivables Entity and (ii) Finco so long as it (a) does not hold (directly, and together with its subsidiaries) more than de minimis assets (other than (x) any intercompany notes or receivables that relate to the repayment of principal and interest of any indebtedness of Finco issued after June 16, 2020 and on or prior to the Term Closing Date, the proceeds of which are used to fund, in full or in part, the Cash Payment and related transaction fees and expenses, or (y) any proceeds from any indebtedness of Finco (so long as such proceeds are intended to be distributed to Upjohn) or intercompany notes or receivables that relate to the distribution of such proceeds), (b) does not generate more than de minimis consolidated EBITDA and (c) does not at any time guarantee any third-party indebtedness of Upjohn. As of June 16, 2020, no subsidiary of Upjohn is required to provide a guarantee of the Term Loan Credit Facility, but will automatically do so upon the occurrence of the above. The Term Loan Credit Facility is unsecured.</w:t>
      </w:r>
    </w:p>
    <w:p>
      <w:pPr>
        <w:sectPr>
          <w:pgSz w:w="11900" w:h="16838" w:orient="portrait"/>
          <w:cols w:equalWidth="0" w:num="1">
            <w:col w:w="11000"/>
          </w:cols>
          <w:pgMar w:left="440" w:top="274" w:right="459" w:bottom="1440" w:gutter="0" w:footer="0" w:header="0"/>
        </w:sectPr>
      </w:pPr>
    </w:p>
    <w:bookmarkStart w:id="4" w:name="page5"/>
    <w:bookmarkEnd w:id="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 Loan Credit Facility will bear interest at the LIBO Rate (determined in accordance with the Term Loan Credit Agreement) plus 1.625% per annum (or 1.875% per annum beginning on the date that is nine months after the Term Closing Date), if Upjohn chooses to make a LIBO Rate borrowing, or at a base rate (determined in accordance with the Term Loan Credit Agreement) plus 0.625% per annum (or 0.875% per annum beginning on the date that is nine months after the Term Closing Date).</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The Term Loan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Upjohn’s lines of business. The Term Loan Credit Agreement contains a financial covenant requiring maintenance of a leverage ratio no greater than 4.25 to 1.00 as of the last day of each of the first four fiscal quarters ending after the Term Closing Date and 3.75 to 1.00 as of the last day of any fiscal quarter thereafter. Affirmative and negative covenants in the Term Loan Credit Agreement are applicable only from and after the consummation of the Combination. The Term Loan Credit Facility is scheduled to expire on the date that is eighteen months from the Term Closing Date.</w:t>
      </w:r>
    </w:p>
    <w:p>
      <w:pPr>
        <w:spacing w:after="0" w:line="18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Term Loan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Upjohn or any subsidiary that becomes a guarantor as described above. If an event of default occurs under the Term Loan Credit Agreement, the lenders may, among other things, declare immediately payable all borrowings. The default provisions in the Term Loan Credit Agreement are applicable only from and after the Term Closing Date. Amounts drawn on the Term Loan Credit Facility become due and payable on the date that is eighteen months from the Term Closing Date.</w:t>
      </w:r>
    </w:p>
    <w:p>
      <w:pPr>
        <w:spacing w:after="0" w:line="166"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The foregoing summary of the Term Loan Credit Agreement does not purport to be complete and is subject to, and qualified in its entirety by, the full text of the Term Loan Credit Agreement, which is attached hereto as Exhibit 10.2 and is incorporated herein by reference.</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information set forth in Item 1.01 of this Current Report on Form 8-K with respect to the Revolving Credit Agreement and Term Loan Credit Agreement is hereby incorporated by reference into this Item 2.03 of this Current Report on Form 8-K insofar as it relates to the creation of a direct financial obligation of Upjohn.</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financing transactions (including statements regarding the terms thereof, the closing date thereof or the use of proceeds therefrom), the proposed combination of Newco and Mylan, which will immediately follow the proposed separation of the Upjohn Business from Pfizer (the “proposed combination”), the expected timetable for completing the proposed combination, the benefits and synergies of the proposed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combination; changes in relevant tax and other laws; the parties’ ability to consummate the proposed combination; the conditions to the completion of the proposed combination, including receipt of approval of Mylan’s shareholders, not being satisfied or waived on the anticipated timeframe or at all; the regulatory approvals required for the proposed combination not being obtained on the terms expected or on the anticipated schedule or at all; inherent uncertainties involved in the estimates and judgments used in the preparation of financial statements and the providing of estimates of financial measures, in accordance with U.S. GAAP and related standards, or on an adjusted basis; the integration of Mylan and the Upjohn Business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combination within the expected time frames or at all or to successfully integrate Mylan and the Upjohn Business; customer loss and business disruption being greater than expected following the proposed combination; the retention of key employees being more difficult following the proposed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Mylan’s and Newco’s Annual Reports on Form 10-K, Quarterly Reports on Form 10-Q and other filings with the Securities and Exchange Commission (“SEC”). These risks, as well as other risks associated with Mylan, the Upjohn Business, the combined company and the proposed combination are also more fully discussed in the Registration Statement on Form S-4, as amended, which includes a proxy statement/prospectus (as amended, the “Form S-4”), which was filed by Newco with the SEC on October 25, 2019 and declared effective by the SEC on February 13, 2020, the Registration Statement on Form 10, as amended, which includes an information statement (the “Form 10”), which was filed by</w:t>
      </w:r>
    </w:p>
    <w:p>
      <w:pPr>
        <w:sectPr>
          <w:pgSz w:w="11900" w:h="16838" w:orient="portrait"/>
          <w:cols w:equalWidth="0" w:num="1">
            <w:col w:w="11000"/>
          </w:cols>
          <w:pgMar w:left="440" w:top="270" w:right="459" w:bottom="1440" w:gutter="0" w:footer="0" w:header="0"/>
        </w:sectPr>
      </w:pPr>
    </w:p>
    <w:bookmarkStart w:id="6" w:name="page7"/>
    <w:bookmarkEnd w:id="6"/>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Upjohn with the SEC on June 12, 2020 and has not yet been declared effective, a definitive proxy statement, which was filed by Mylan with the SEC on February 13, 2020 (the “Proxy Statement”), and a prospectus, which was filed by Newco with the SEC on February 13, 2020 (the “Prospectus”). You can access Pfizer’s, Mylan’s and Newco’s filings with the SEC through the SEC website at www.sec.gov. Except as required by applicable law, Pfizer, Mylan and Newco undertake no obligation to update any statements herein for revisions or changes after this communication is made.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the proposed combination except by means of a prospectus meeting the requirements of Section 10 of the Securities Act of 1933, as amended. In connection with the proposed combination, Newco and Mylan have filed certain materials with the SEC, including, among other materials, the Form S-4, Form 10 and Prospectus filed by Newco and the Proxy Statement filed by Mylan. The Form S-4 was declared effective on February 13, 2020 and the Proxy Statement and the Prospectus were first mailed to shareholders of Mylan on or about February 14, 2020 to seek approval of the proposed combination. The Form 10 has not yet become effective. After the Form 10 is effective, a definitive information statement will be made available to Pfizer stockholders relating to the proposed combination. Newco and Mylan intend to file additional relevant materials with the SEC in connection with the proposed combination. INVESTORS AND SECURITY HOLDERS ARE URGED TO READ DOCUMENTS FILED WITH THE SEC CAREFULLY AND IN THEIR ENTIRETY BECAUSE THEY WILL CONTAIN IMPORTANT INFORMATION ABOUT MYLAN, NEWCO, AND THE PROPOSED COMBINATION. The documents relating to the proposed combination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Newco and certain of their respective directors and executive officers may be deemed to be participants in the solicitation of proxies in connection with the proposed combination under the rules of the SEC. Information about the directors and executive officers of Newco following the completion of the proposed combination may be found in the Form 10,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the proxy statement filed with the SEC on April 7, 2020. Information about the directors and executive officers of Mylan may be found in its Annual Report on Form 10-K filed with the SEC on February 28, 2020, as amended on April 29, 2020, and its definitive proxy statement relating to its 2020 Annual General Meeting filed with the SEC on June 8, 2020. Additional information regarding the interests of these participants can also be found in the Form S-4, the Proxy Statement and the Prospectus. These documents can be obtained free of charge from the sources indicated above.</w:t>
      </w:r>
    </w:p>
    <w:p>
      <w:pPr>
        <w:sectPr>
          <w:pgSz w:w="11900" w:h="16838" w:orient="portrait"/>
          <w:cols w:equalWidth="0" w:num="1">
            <w:col w:w="11020"/>
          </w:cols>
          <w:pgMar w:left="440" w:top="274" w:right="439" w:bottom="1440" w:gutter="0" w:footer="0" w:header="0"/>
        </w:sectPr>
      </w:pPr>
    </w:p>
    <w:bookmarkStart w:id="7" w:name="page8"/>
    <w:bookmarkEnd w:id="7"/>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Exhibit</w:t>
            </w:r>
          </w:p>
        </w:tc>
        <w:tc>
          <w:tcPr>
            <w:tcW w:w="10200" w:type="dxa"/>
            <w:vAlign w:val="bottom"/>
            <w:vMerge w:val="restart"/>
          </w:tcPr>
          <w:p>
            <w:pPr>
              <w:ind w:left="4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No.</w:t>
            </w:r>
          </w:p>
        </w:tc>
        <w:tc>
          <w:tcPr>
            <w:tcW w:w="10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Pr>
          <w:p>
            <w:pPr>
              <w:ind w:left="220"/>
              <w:spacing w:after="0"/>
              <w:rPr>
                <w:sz w:val="20"/>
                <w:szCs w:val="20"/>
                <w:color w:val="auto"/>
              </w:rPr>
            </w:pPr>
            <w:r>
              <w:rPr>
                <w:rFonts w:ascii="Arial" w:cs="Arial" w:eastAsia="Arial" w:hAnsi="Arial"/>
                <w:sz w:val="18"/>
                <w:szCs w:val="18"/>
                <w:color w:val="auto"/>
                <w:w w:val="92"/>
              </w:rPr>
              <w:t>Revolving Credit Agreement, dated as of June 16, 2020, among Upjohn, the guarantors from time to time party thereto, the lenders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issuing banks from time to time party thereto and Bank of America, N.A., as administrative agent.*</w:t>
            </w:r>
          </w:p>
        </w:tc>
        <w:tc>
          <w:tcPr>
            <w:tcW w:w="0" w:type="dxa"/>
            <w:vAlign w:val="bottom"/>
          </w:tcPr>
          <w:p>
            <w:pPr>
              <w:spacing w:after="0"/>
              <w:rPr>
                <w:sz w:val="1"/>
                <w:szCs w:val="1"/>
                <w:color w:val="auto"/>
              </w:rPr>
            </w:pP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200" w:type="dxa"/>
            <w:vAlign w:val="bottom"/>
          </w:tcPr>
          <w:p>
            <w:pPr>
              <w:ind w:left="220"/>
              <w:spacing w:after="0"/>
              <w:rPr>
                <w:sz w:val="20"/>
                <w:szCs w:val="20"/>
                <w:color w:val="auto"/>
              </w:rPr>
            </w:pPr>
            <w:r>
              <w:rPr>
                <w:rFonts w:ascii="Arial" w:cs="Arial" w:eastAsia="Arial" w:hAnsi="Arial"/>
                <w:sz w:val="18"/>
                <w:szCs w:val="18"/>
                <w:color w:val="auto"/>
                <w:w w:val="90"/>
              </w:rPr>
              <w:t>Delayed Draw Term Loan Credit Agreement, dated as of June 16, 2020, among Upjohn, the guarantors from time to time party thereto,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200" w:type="dxa"/>
            <w:vAlign w:val="bottom"/>
          </w:tcPr>
          <w:p>
            <w:pPr>
              <w:ind w:left="220"/>
              <w:spacing w:after="0"/>
              <w:rPr>
                <w:sz w:val="20"/>
                <w:szCs w:val="20"/>
                <w:color w:val="auto"/>
              </w:rPr>
            </w:pPr>
            <w:r>
              <w:rPr>
                <w:rFonts w:ascii="Arial" w:cs="Arial" w:eastAsia="Arial" w:hAnsi="Arial"/>
                <w:sz w:val="18"/>
                <w:szCs w:val="18"/>
                <w:color w:val="auto"/>
              </w:rPr>
              <w:t>lenders from time to time party thereto and MUFG Bank, Ltd., as administrative agent.*</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tcPr>
          <w:p>
            <w:pPr>
              <w:ind w:left="220"/>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601(b)(2) of Regulation S-K. Upjohn agrees to furnish supplementally a copy of any omitted attachment to the SEC on a confidential basis upon request.</w:t>
      </w:r>
    </w:p>
    <w:p>
      <w:pPr>
        <w:sectPr>
          <w:pgSz w:w="11900" w:h="16838" w:orient="portrait"/>
          <w:cols w:equalWidth="0" w:num="1">
            <w:col w:w="10984"/>
          </w:cols>
          <w:pgMar w:left="436" w:top="270" w:right="4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000"/>
          </w:cols>
          <w:pgMar w:left="440" w:top="270"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Deal CUSIP Number: 91532PAA8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Facility CUSIP Number: 91532PAB6</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REVOLVING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16,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UPJOHN INC. (to be renamed VIATRIS),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and the Lenders and the Issuing Banks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Lead Arrangers and Bookrunners</w:t>
      </w:r>
    </w:p>
    <w:p>
      <w:pPr>
        <w:sectPr>
          <w:pgSz w:w="11900" w:h="16838" w:orient="portrait"/>
          <w:cols w:equalWidth="0" w:num="1">
            <w:col w:w="10020"/>
          </w:cols>
          <w:pgMar w:left="1440" w:top="27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80" w:type="dxa"/>
            <w:vAlign w:val="bottom"/>
            <w:gridSpan w:val="4"/>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0680" w:type="dxa"/>
            <w:vAlign w:val="bottom"/>
            <w:gridSpan w:val="4"/>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1.04   Accounting Terms;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1.05   Payments on Business 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1.06</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Divisions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1.07</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1.08   Additional Alternative Currencies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1.09   Change of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1.10</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Times of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1.11   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1.12   Exchange Rates; Currency Equivalents; LIBO Rate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3"/>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ARTICLE II The Credits</w:t>
            </w:r>
          </w:p>
        </w:tc>
        <w:tc>
          <w:tcPr>
            <w:tcW w:w="88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2.02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2.03   Requests for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Swingline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2.06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2.07   Market Disruption; Successor LIBOR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2.08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2.09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2.10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2.12</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2.13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2.14</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2.15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2.16</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2.18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2.19</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Expansion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2.20</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2.21   Extended Revolving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2.22</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Defaulting Lender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040" w:type="dxa"/>
            <w:vAlign w:val="bottom"/>
            <w:gridSpan w:val="6"/>
          </w:tcPr>
          <w:p>
            <w:pPr>
              <w:spacing w:after="0"/>
              <w:rPr>
                <w:sz w:val="20"/>
                <w:szCs w:val="20"/>
                <w:color w:val="auto"/>
              </w:rPr>
            </w:pPr>
            <w:r>
              <w:rPr>
                <w:rFonts w:ascii="Arial" w:cs="Arial" w:eastAsia="Arial" w:hAnsi="Arial"/>
                <w:sz w:val="18"/>
                <w:szCs w:val="18"/>
                <w:color w:val="auto"/>
              </w:rPr>
              <w:t>ARTICLE III Representations and Warranties</w:t>
            </w: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3.01   Organization; Powers; Subsidiaries</w:t>
            </w: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Authorization; Enforceability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3.03   Governmental Approvals; No Conflicts</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3.04   Financial Statements; Financial Condition; No Material Adverse Change</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Properties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3.06   Litigation and Environmental Matters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3.07   Compliance with Laws and Agreements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3.08   Investment Company Status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3.09</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Taxes</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3.10</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Solvency</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3.11</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[Reserved]</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Disclosure</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3.13   Federal Reserve Regulations</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3.14</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PATRIOT Act</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OFAC</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3.16   Beneficial Ownership Certification</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3.17   Representations as to Foreign Obligors</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3"/>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ARTICLE IV Conditions</w:t>
            </w:r>
          </w:p>
        </w:tc>
        <w:tc>
          <w:tcPr>
            <w:tcW w:w="82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4.01   Conditions Precedent to Effectiveness</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4.02   Conditions Precedent to Closing Date</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4.03   Conditions Precedent to All Extensions of Credit on the Closing Date (Excluding The Certain Funds Draw)</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4.04   Conditions Precedent to All Extensions of Credit After The Combination (Excluding The Certain Funds Draw)</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83"/>
        </w:trPr>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ARTICLE V Affirmative Covenants</w:t>
            </w:r>
          </w:p>
        </w:tc>
        <w:tc>
          <w:tcPr>
            <w:tcW w:w="74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5.02   Notices of Material Events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5.03   Existence; Conduct of Business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5.04   Payment of Obligations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5.05   Maintenance of Properties; Insurance</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5.06</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Inspection Rights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5.07   Compliance with Laws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5.08   Use of Proceeds and Letters of Credit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5.09</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Guarantees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3"/>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ARTICLE VI Negative Covenants</w:t>
            </w:r>
          </w:p>
        </w:tc>
        <w:tc>
          <w:tcPr>
            <w:tcW w:w="75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30"/>
        </w:trPr>
        <w:tc>
          <w:tcPr>
            <w:tcW w:w="1260" w:type="dxa"/>
            <w:vAlign w:val="bottom"/>
          </w:tcPr>
          <w:p>
            <w:pPr>
              <w:spacing w:after="0"/>
              <w:rPr>
                <w:sz w:val="20"/>
                <w:szCs w:val="20"/>
                <w:color w:val="auto"/>
              </w:rPr>
            </w:pPr>
            <w:r>
              <w:rPr>
                <w:rFonts w:ascii="Arial" w:cs="Arial" w:eastAsia="Arial" w:hAnsi="Arial"/>
                <w:sz w:val="18"/>
                <w:szCs w:val="18"/>
                <w:color w:val="auto"/>
              </w:rPr>
              <w:t>SECTION 6.01</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Indebtedness</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Liens</w:t>
            </w: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6.03</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Fundamental Changes</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6.04</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Restricted Payments</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6.06   Transactions with Affiliates</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6.07</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Financial Covenant</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6.08</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Lines of Business</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6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ARTICLE VII Events of Default</w:t>
            </w:r>
          </w:p>
        </w:tc>
        <w:tc>
          <w:tcPr>
            <w:tcW w:w="6420" w:type="dxa"/>
            <w:vAlign w:val="bottom"/>
            <w:gridSpan w:val="3"/>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ARTICLE VIII The Administrative Agent</w:t>
            </w:r>
          </w:p>
        </w:tc>
        <w:tc>
          <w:tcPr>
            <w:tcW w:w="57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8780" w:type="dxa"/>
            <w:vAlign w:val="bottom"/>
            <w:gridSpan w:val="7"/>
          </w:tcPr>
          <w:p>
            <w:pPr>
              <w:spacing w:after="0"/>
              <w:rPr>
                <w:sz w:val="20"/>
                <w:szCs w:val="20"/>
                <w:color w:val="auto"/>
              </w:rPr>
            </w:pPr>
            <w:r>
              <w:rPr>
                <w:rFonts w:ascii="Arial" w:cs="Arial" w:eastAsia="Arial" w:hAnsi="Arial"/>
                <w:sz w:val="18"/>
                <w:szCs w:val="18"/>
                <w:color w:val="auto"/>
              </w:rPr>
              <w:t>ARTICLE IX 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30"/>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9.01</w:t>
            </w: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Notices</w:t>
            </w:r>
          </w:p>
        </w:tc>
        <w:tc>
          <w:tcPr>
            <w:tcW w:w="6720" w:type="dxa"/>
            <w:vAlign w:val="bottom"/>
            <w:gridSpan w:val="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Waivers; Amendments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Expenses; Indemnity; Damage Waiver</w:t>
            </w:r>
          </w:p>
        </w:tc>
        <w:tc>
          <w:tcPr>
            <w:tcW w:w="2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Successors and Assigns</w:t>
            </w:r>
          </w:p>
        </w:tc>
        <w:tc>
          <w:tcPr>
            <w:tcW w:w="2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Survival</w:t>
            </w:r>
          </w:p>
        </w:tc>
        <w:tc>
          <w:tcPr>
            <w:tcW w:w="21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Right of Setoff</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Governing Law; Jurisdiction; Consent to Service of Process</w:t>
            </w:r>
          </w:p>
        </w:tc>
        <w:tc>
          <w:tcPr>
            <w:tcW w:w="21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WAIVER OF JURY TRIAL</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Headings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Confidentiality</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USA PATRIOT Act</w:t>
            </w:r>
          </w:p>
        </w:tc>
        <w:tc>
          <w:tcPr>
            <w:tcW w:w="21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Interest Rate Limitation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No Fiduciary Duty</w:t>
            </w:r>
          </w:p>
        </w:tc>
        <w:tc>
          <w:tcPr>
            <w:tcW w:w="2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Electronic Execution of this Agreement and Other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Joint and Several</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Enforcement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Netherlands Loan Party Representation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9.20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9.21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8780" w:type="dxa"/>
            <w:vAlign w:val="bottom"/>
            <w:gridSpan w:val="7"/>
          </w:tcPr>
          <w:p>
            <w:pPr>
              <w:spacing w:after="0"/>
              <w:rPr>
                <w:sz w:val="20"/>
                <w:szCs w:val="20"/>
                <w:color w:val="auto"/>
              </w:rPr>
            </w:pPr>
            <w:r>
              <w:rPr>
                <w:rFonts w:ascii="Arial" w:cs="Arial" w:eastAsia="Arial" w:hAnsi="Arial"/>
                <w:sz w:val="18"/>
                <w:szCs w:val="18"/>
                <w:color w:val="auto"/>
              </w:rPr>
              <w:t>ARTICLE X Guarantee</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30"/>
        </w:trPr>
        <w:tc>
          <w:tcPr>
            <w:tcW w:w="1300" w:type="dxa"/>
            <w:vAlign w:val="bottom"/>
          </w:tcPr>
          <w:p>
            <w:pPr>
              <w:spacing w:after="0"/>
              <w:rPr>
                <w:sz w:val="20"/>
                <w:szCs w:val="20"/>
                <w:color w:val="auto"/>
              </w:rPr>
            </w:pPr>
            <w:r>
              <w:rPr>
                <w:rFonts w:ascii="Arial" w:cs="Arial" w:eastAsia="Arial" w:hAnsi="Arial"/>
                <w:sz w:val="18"/>
                <w:szCs w:val="18"/>
                <w:color w:val="auto"/>
                <w:w w:val="98"/>
              </w:rPr>
              <w:t>SECTION 10.01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Guarantee</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Right of Contribution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No Subrogation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Amendments, etc., with Respect to the Obligations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Guarantee Absolute and Unconditional</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Reinstatement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Obligations Independent</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Subordination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10.10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Stay of Acceleration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10.11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Condition of Borrower</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8"/>
              </w:rPr>
              <w:t>SECTION 10.12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Releases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ARTICLE XI Certain ERISA Matters</w:t>
            </w:r>
          </w:p>
        </w:tc>
        <w:tc>
          <w:tcPr>
            <w:tcW w:w="606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45"/>
        </w:trPr>
        <w:tc>
          <w:tcPr>
            <w:tcW w:w="13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Certain ERISA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6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tcPr>
          <w:p>
            <w:pPr>
              <w:ind w:left="2320"/>
              <w:spacing w:after="0"/>
              <w:rPr>
                <w:sz w:val="20"/>
                <w:szCs w:val="20"/>
                <w:color w:val="auto"/>
              </w:rPr>
            </w:pPr>
            <w:r>
              <w:rPr>
                <w:rFonts w:ascii="Arial" w:cs="Arial" w:eastAsia="Arial" w:hAnsi="Arial"/>
                <w:sz w:val="18"/>
                <w:szCs w:val="18"/>
                <w:color w:val="auto"/>
              </w:rPr>
              <w:t>-iii-</w:t>
            </w:r>
          </w:p>
        </w:tc>
        <w:tc>
          <w:tcPr>
            <w:tcW w:w="2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SCHEDULES:</w:t>
            </w:r>
          </w:p>
        </w:tc>
        <w:tc>
          <w:tcPr>
            <w:tcW w:w="380" w:type="dxa"/>
            <w:vAlign w:val="bottom"/>
          </w:tcPr>
          <w:p>
            <w:pPr>
              <w:spacing w:after="0"/>
              <w:rPr>
                <w:sz w:val="20"/>
                <w:szCs w:val="20"/>
                <w:color w:val="auto"/>
              </w:rPr>
            </w:pPr>
          </w:p>
        </w:tc>
        <w:tc>
          <w:tcPr>
            <w:tcW w:w="926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Schedule 2.01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Specified Litigation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2.05</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Material Subsidiary Stocks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3.04(b)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Material Adverse Changes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3.06</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Disclosed Matters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3.07</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Compliance with Laws and Agreements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Indebtedness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6.02</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Liens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6.04</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Restricted Payments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6.05(e)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Investments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6.06</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Affiliate Transactions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 9.01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Notices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EXHIBITS:</w:t>
            </w:r>
          </w:p>
        </w:tc>
        <w:tc>
          <w:tcPr>
            <w:tcW w:w="38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Revolving Note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Swingline Loan Notice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F</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Guarantor Joinder Agreement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5"/>
              </w:rPr>
              <w:t>Form of U.S. Tax Compliance Certificate (For Foreign Lenders That Are Not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G-2</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2"/>
              </w:rPr>
              <w:t>Form of U.S. Tax Compliance Certificate (For Foreign Participants That Are Not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6"/>
              </w:rPr>
              <w:t>Form of U.S. Tax Compliance Certificate (For Foreign Participants That Are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G-4</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0"/>
              </w:rPr>
              <w:t>Form of U.S. Tax Compliance Certificate (For Foreign Lenders That Are Partnerships For U.S. Federal Income Tax Purposes)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Exhibit H</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Solvency Certificate</w:t>
            </w:r>
          </w:p>
        </w:tc>
      </w:tr>
      <w:tr>
        <w:trPr>
          <w:trHeight w:val="365"/>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tcPr>
          <w:p>
            <w:pPr>
              <w:ind w:left="3660"/>
              <w:spacing w:after="0"/>
              <w:rPr>
                <w:sz w:val="20"/>
                <w:szCs w:val="20"/>
                <w:color w:val="auto"/>
              </w:rPr>
            </w:pPr>
            <w:r>
              <w:rPr>
                <w:rFonts w:ascii="Arial" w:cs="Arial" w:eastAsia="Arial" w:hAnsi="Arial"/>
                <w:sz w:val="18"/>
                <w:szCs w:val="18"/>
                <w:color w:val="auto"/>
              </w:rPr>
              <w:t>-iv-</w:t>
            </w:r>
          </w:p>
        </w:tc>
      </w:tr>
    </w:tbl>
    <w:p>
      <w:pPr>
        <w:ind w:left="366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REVOLVING CREDIT AGREEMENT</w:t>
      </w:r>
    </w:p>
    <w:p>
      <w:pPr>
        <w:spacing w:after="0" w:line="22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REVOLVING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16, 2020 among UPJOHN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Affiliates and Subsidiaries of the Borrower from time to time party hereto as Guarantors, each Lender and Issuing Bank from time to time party hereto, and BANK OF AMERICA, N.A., as Administrative Agent.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pursuant to (i) the Separation and Distribution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and the Borrower and (ii) the Business Combination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Pfizer, the Borrower, Mylan N.V. (“</w:t>
      </w:r>
      <w:r>
        <w:rPr>
          <w:rFonts w:ascii="Arial" w:cs="Arial" w:eastAsia="Arial" w:hAnsi="Arial"/>
          <w:sz w:val="18"/>
          <w:szCs w:val="18"/>
          <w:u w:val="single" w:color="auto"/>
          <w:color w:val="auto"/>
        </w:rPr>
        <w:t>Mylan</w:t>
      </w:r>
      <w:r>
        <w:rPr>
          <w:rFonts w:ascii="Arial" w:cs="Arial" w:eastAsia="Arial" w:hAnsi="Arial"/>
          <w:sz w:val="18"/>
          <w:szCs w:val="18"/>
          <w:color w:val="auto"/>
        </w:rPr>
        <w:t>”) and the other parties thereto, the following transactions will be consummated:</w:t>
      </w:r>
    </w:p>
    <w:p>
      <w:pPr>
        <w:spacing w:after="0" w:line="188" w:lineRule="exact"/>
        <w:rPr>
          <w:sz w:val="20"/>
          <w:szCs w:val="20"/>
          <w:color w:val="auto"/>
        </w:rPr>
      </w:pPr>
    </w:p>
    <w:p>
      <w:pPr>
        <w:ind w:right="26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Pfizer (and together with Pfizer’s subsidiaries, the “</w:t>
      </w:r>
      <w:r>
        <w:rPr>
          <w:rFonts w:ascii="Arial" w:cs="Arial" w:eastAsia="Arial" w:hAnsi="Arial"/>
          <w:sz w:val="18"/>
          <w:szCs w:val="18"/>
          <w:u w:val="single" w:color="auto"/>
          <w:color w:val="auto"/>
        </w:rPr>
        <w:t>Pfizer Business</w:t>
      </w:r>
      <w:r>
        <w:rPr>
          <w:rFonts w:ascii="Arial" w:cs="Arial" w:eastAsia="Arial" w:hAnsi="Arial"/>
          <w:sz w:val="18"/>
          <w:szCs w:val="18"/>
          <w:color w:val="auto"/>
        </w:rPr>
        <w:t>”) will separate certain businesses, operations and activities, including Pfizer’s global, primarily off-patent branded and generic established medicines business (the “</w:t>
      </w:r>
      <w:r>
        <w:rPr>
          <w:rFonts w:ascii="Arial" w:cs="Arial" w:eastAsia="Arial" w:hAnsi="Arial"/>
          <w:sz w:val="18"/>
          <w:szCs w:val="18"/>
          <w:u w:val="single" w:color="auto"/>
          <w:color w:val="auto"/>
        </w:rPr>
        <w:t>Upjohn Business</w:t>
      </w:r>
      <w:r>
        <w:rPr>
          <w:rFonts w:ascii="Arial" w:cs="Arial" w:eastAsia="Arial" w:hAnsi="Arial"/>
          <w:sz w:val="18"/>
          <w:szCs w:val="18"/>
          <w:color w:val="auto"/>
        </w:rPr>
        <w:t>”) from the Pfizer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60" w:firstLine="987"/>
        <w:spacing w:after="0" w:line="277"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Separation, the Upjohn Business will be combined with Mylan (and together with Mylan’s subsidiaries, the “</w:t>
      </w:r>
      <w:r>
        <w:rPr>
          <w:rFonts w:ascii="Arial" w:cs="Arial" w:eastAsia="Arial" w:hAnsi="Arial"/>
          <w:sz w:val="18"/>
          <w:szCs w:val="18"/>
          <w:u w:val="single" w:color="auto"/>
          <w:color w:val="auto"/>
        </w:rPr>
        <w:t>Mylan</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w:t>
      </w:r>
      <w:r>
        <w:rPr>
          <w:rFonts w:ascii="Arial" w:cs="Arial" w:eastAsia="Arial" w:hAnsi="Arial"/>
          <w:sz w:val="18"/>
          <w:szCs w:val="18"/>
          <w:color w:val="auto"/>
        </w:rPr>
        <w:t>”, and the Mylan Business, together with the Upjohn Business, the “</w:t>
      </w:r>
      <w:r>
        <w:rPr>
          <w:rFonts w:ascii="Arial" w:cs="Arial" w:eastAsia="Arial" w:hAnsi="Arial"/>
          <w:sz w:val="18"/>
          <w:szCs w:val="18"/>
          <w:u w:val="single" w:color="auto"/>
          <w:color w:val="auto"/>
        </w:rPr>
        <w:t>Combined Businesses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Pfizer, in order to effect the Separation, will contribute the Upjohn Business to the Borrower, which is and will be a wholly owned subsidiary of Pfizer prior to the Distribution (as defined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987"/>
        <w:spacing w:after="0" w:line="277"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Separation and in partial consideration of the Contribution, the Borrower will make a cash payment to Pfizer in an aggregate amount of $12,000,000,000 (the “</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concurrently with or within one Business Day following the Borrower Cash Distribution, Pfizer will distribute to the holders of Pfizer common stock all of the issued and outstanding shares of the common stock of the Borrower by way of either, at Pfizer’s option, a spin-off or a split-off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right="200" w:firstLine="987"/>
        <w:spacing w:after="0" w:line="286" w:lineRule="auto"/>
        <w:tabs>
          <w:tab w:leader="none" w:pos="1351"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following the Distribution, the Borrower and Mylan will engage in a strategic business combination, following which Mylan (or its successor entity) shall become a wholly owned subsidiary of the Borrower (the “</w:t>
      </w:r>
      <w:r>
        <w:rPr>
          <w:rFonts w:ascii="Arial" w:cs="Arial" w:eastAsia="Arial" w:hAnsi="Arial"/>
          <w:sz w:val="17"/>
          <w:szCs w:val="17"/>
          <w:u w:val="single" w:color="auto"/>
          <w:color w:val="auto"/>
        </w:rPr>
        <w:t>Combination</w:t>
      </w:r>
      <w:r>
        <w:rPr>
          <w:rFonts w:ascii="Arial" w:cs="Arial" w:eastAsia="Arial" w:hAnsi="Arial"/>
          <w:sz w:val="17"/>
          <w:szCs w:val="17"/>
          <w:color w:val="auto"/>
        </w:rPr>
        <w:t>”, and together with the Separation, the Contribution, the Borrower Cash Distribution and the Distribution, collectively, the “</w:t>
      </w:r>
      <w:r>
        <w:rPr>
          <w:rFonts w:ascii="Arial" w:cs="Arial" w:eastAsia="Arial" w:hAnsi="Arial"/>
          <w:sz w:val="17"/>
          <w:szCs w:val="17"/>
          <w:u w:val="single" w:color="auto"/>
          <w:color w:val="auto"/>
        </w:rPr>
        <w:t>Combination Transactions</w:t>
      </w:r>
      <w:r>
        <w:rPr>
          <w:rFonts w:ascii="Arial" w:cs="Arial" w:eastAsia="Arial" w:hAnsi="Arial"/>
          <w:sz w:val="17"/>
          <w:szCs w:val="17"/>
          <w:color w:val="auto"/>
        </w:rPr>
        <w: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5" w:name="page16"/>
    <w:bookmarkEnd w:id="1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at the request of the Borrower, the Lenders have agreed to extend credit to the Borrower in the form of Loans and Letters of Credit at any time and from time to time on and after the Closing Date and prior to the Revolving Credit Maturity Date, in an aggregate principal amount not to exceed $4,000,000,000, subject to the terms and conditions hereinafter set forth;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1.01 Defined Terms. As used in this Agreement, the following terms have the meanings specified below (capitalized terms used but not defined in this Section 1.01 have the meanings specified in the Preliminary Statements):</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for the Lenders hereunder, or any successor administrative agent.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Currencies</w:t>
      </w:r>
      <w:r>
        <w:rPr>
          <w:rFonts w:ascii="Arial" w:cs="Arial" w:eastAsia="Arial" w:hAnsi="Arial"/>
          <w:sz w:val="18"/>
          <w:szCs w:val="18"/>
          <w:color w:val="auto"/>
        </w:rPr>
        <w:t>” means (a) Euro, (b) Sterling, (c) Yen and (d) each other currency (other than Dollars) approved in accordance with Section 1.08.</w:t>
      </w:r>
    </w:p>
    <w:p>
      <w:pPr>
        <w:spacing w:after="0" w:line="170"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Dollars or any Alternative Currency that bears interest at a rate based on LIBOR.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at any time, a percentage 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Applicable Margin for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Applicable Margin for</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Pricing</w:t>
            </w:r>
          </w:p>
        </w:tc>
        <w:tc>
          <w:tcPr>
            <w:tcW w:w="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Facility</w:t>
            </w:r>
          </w:p>
        </w:tc>
        <w:tc>
          <w:tcPr>
            <w:tcW w:w="24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 Rate Revolving</w:t>
            </w: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Debt Rating</w:t>
            </w:r>
          </w:p>
        </w:tc>
        <w:tc>
          <w:tcPr>
            <w:tcW w:w="1100" w:type="dxa"/>
            <w:vAlign w:val="bottom"/>
            <w:gridSpan w:val="2"/>
            <w:vMerge w:val="continue"/>
          </w:tcPr>
          <w:p>
            <w:pPr>
              <w:spacing w:after="0"/>
              <w:rPr>
                <w:sz w:val="12"/>
                <w:szCs w:val="12"/>
                <w:color w:val="auto"/>
              </w:rPr>
            </w:pPr>
          </w:p>
        </w:tc>
        <w:tc>
          <w:tcPr>
            <w:tcW w:w="246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Eurocurrency Revolving Loans</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Loans and Swingline</w:t>
            </w:r>
          </w:p>
        </w:tc>
        <w:tc>
          <w:tcPr>
            <w:tcW w:w="0" w:type="dxa"/>
            <w:vAlign w:val="bottom"/>
          </w:tcPr>
          <w:p>
            <w:pPr>
              <w:spacing w:after="0"/>
              <w:rPr>
                <w:sz w:val="1"/>
                <w:szCs w:val="1"/>
                <w:color w:val="auto"/>
              </w:rPr>
            </w:pPr>
          </w:p>
        </w:tc>
      </w:tr>
      <w:tr>
        <w:trPr>
          <w:trHeight w:val="182"/>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54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Fee</w:t>
            </w:r>
          </w:p>
        </w:tc>
        <w:tc>
          <w:tcPr>
            <w:tcW w:w="2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and Letter of Credit Fees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3"/>
        </w:trPr>
        <w:tc>
          <w:tcPr>
            <w:tcW w:w="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54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&gt;A-/A3/A-</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0.175%</w:t>
            </w:r>
          </w:p>
        </w:tc>
        <w:tc>
          <w:tcPr>
            <w:tcW w:w="5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1.20%</w:t>
            </w:r>
          </w:p>
        </w:tc>
        <w:tc>
          <w:tcPr>
            <w:tcW w:w="5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1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BBB+ / Baa1 / BBB+</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0.20%</w:t>
            </w:r>
          </w:p>
        </w:tc>
        <w:tc>
          <w:tcPr>
            <w:tcW w:w="5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5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4"/>
              </w:rPr>
              <w:t>BBB / Baa2 / BBB</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41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BBB- / Baa3 / BBB-</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0.30%</w:t>
            </w:r>
          </w:p>
        </w:tc>
        <w:tc>
          <w:tcPr>
            <w:tcW w:w="5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1.70%</w:t>
            </w:r>
          </w:p>
        </w:tc>
        <w:tc>
          <w:tcPr>
            <w:tcW w:w="5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0.70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4"/>
              </w:rPr>
              <w:t>£BB+ / Ba1 / BB+</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Initially, the Applicable Rate shall be determined based upon Pricing Level 4.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Arrangers</w:t>
      </w:r>
      <w:r>
        <w:rPr>
          <w:rFonts w:ascii="Arial" w:cs="Arial" w:eastAsia="Arial" w:hAnsi="Arial"/>
          <w:sz w:val="16"/>
          <w:szCs w:val="16"/>
          <w:color w:val="auto"/>
        </w:rPr>
        <w:t>” means, collectively, BofA Securities, Inc., Barclays Bank PLC, BNP Paribas Securities Corp., Citibank, N.A., Deutsche Bank Securities Inc., DNB Markets, Inc., Goldman Sachs Bank USA, ING Bank N.V., Dublin Branch, JPMorgan Chase Bank, N.A., Mizuho Bank, Ltd., Morgan Stanley MUFG Loan Partners, LLC, PNC Capital Markets LLC and RBC Capital Markets, LLC, as lead arrangers and bookrunners.</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commitment to make Swingline Loans, as the case may be, is terminated in accordance with the provisions of this Agreement.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8" w:name="page19"/>
    <w:bookmarkEnd w:id="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permitted successors and assigns.</w:t>
      </w:r>
    </w:p>
    <w:p>
      <w:pPr>
        <w:spacing w:after="0" w:line="225"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of interest per annum equal to the highest of (a) the Federal Funds Effective Rate in effect on such day plus 1/2 of 1%, (b) the rate of interest in effect for such day as publicly announced from time to time by Bank of America as its “prime rate,” and (c) the LIBO Rate in effect on such day plus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9" w:name="page20"/>
    <w:bookmarkEnd w:id="19"/>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70" w:lineRule="exact"/>
        <w:rPr>
          <w:sz w:val="20"/>
          <w:szCs w:val="20"/>
          <w:color w:val="auto"/>
        </w:rPr>
      </w:pPr>
    </w:p>
    <w:p>
      <w:pPr>
        <w:jc w:val="both"/>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Minimum</w:t>
      </w:r>
      <w:r>
        <w:rPr>
          <w:rFonts w:ascii="Arial" w:cs="Arial" w:eastAsia="Arial" w:hAnsi="Arial"/>
          <w:sz w:val="16"/>
          <w:szCs w:val="16"/>
          <w:color w:val="auto"/>
        </w:rPr>
        <w:t>” means, with respect to Eurocurrency Loans denominated in (i) Dollars, $5,000,000, (ii) Euros, €4,000,000, (iii) Sterling, £4,000,000, (iv) Yen, ¥500,000,000 and (v) any other Alternative Currency, such amount as may be specified by the Administrative Agent.</w:t>
      </w:r>
    </w:p>
    <w:p>
      <w:pPr>
        <w:spacing w:after="0" w:line="12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Multiple</w:t>
      </w:r>
      <w:r>
        <w:rPr>
          <w:rFonts w:ascii="Arial" w:cs="Arial" w:eastAsia="Arial" w:hAnsi="Arial"/>
          <w:sz w:val="16"/>
          <w:szCs w:val="16"/>
          <w:color w:val="auto"/>
        </w:rPr>
        <w:t>” means, with respect to Eurocurrency Loans denominated in (i) Dollars, $1,000,000, (ii) Euros, €1,000,000, (iii) Sterling, £1,000,000, (iv) Yen, ¥100,000,000 and (v) any other Alternative Currency, such amount as may be specified by the Administrative Agent.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Financing</w:t>
      </w:r>
      <w:r>
        <w:rPr>
          <w:rFonts w:ascii="Arial" w:cs="Arial" w:eastAsia="Arial" w:hAnsi="Arial"/>
          <w:sz w:val="18"/>
          <w:szCs w:val="18"/>
          <w:color w:val="auto"/>
        </w:rPr>
        <w:t>” means a senior unsecured 364-day bridge loan facility in an aggregate principal amount of up to $12,000,000,000 and having the terms set forth in the Bridge Financing Commitment Letter.</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Financing Commitment Letter</w:t>
      </w:r>
      <w:r>
        <w:rPr>
          <w:rFonts w:ascii="Arial" w:cs="Arial" w:eastAsia="Arial" w:hAnsi="Arial"/>
          <w:sz w:val="18"/>
          <w:szCs w:val="18"/>
          <w:color w:val="auto"/>
        </w:rPr>
        <w:t>” means that certain commitment letter dated as of July 29, 2019 (as amended, supplemented or otherwise modified from time to time) for the Bridge Financing by and among the Borrower, Goldman Sachs Bank USA, Goldman Sachs Lending Partners LLC and the other Persons parties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or the state of New York and:</w:t>
      </w:r>
    </w:p>
    <w:p>
      <w:pPr>
        <w:spacing w:after="0" w:line="76" w:lineRule="exact"/>
        <w:rPr>
          <w:sz w:val="20"/>
          <w:szCs w:val="20"/>
          <w:color w:val="auto"/>
        </w:rPr>
      </w:pPr>
    </w:p>
    <w:p>
      <w:pPr>
        <w:ind w:left="440" w:firstLine="419"/>
        <w:spacing w:after="0" w:line="259"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78" w:lineRule="exact"/>
        <w:rPr>
          <w:rFonts w:ascii="Arial" w:cs="Arial" w:eastAsia="Arial" w:hAnsi="Arial"/>
          <w:sz w:val="18"/>
          <w:szCs w:val="18"/>
          <w:color w:val="auto"/>
        </w:rPr>
      </w:pPr>
    </w:p>
    <w:p>
      <w:pPr>
        <w:ind w:left="440" w:right="500" w:firstLine="419"/>
        <w:spacing w:after="0" w:line="263" w:lineRule="auto"/>
        <w:tabs>
          <w:tab w:leader="none" w:pos="1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0" w:name="page21"/>
    <w:bookmarkEnd w:id="20"/>
    <w:p>
      <w:pPr>
        <w:ind w:left="440" w:right="180" w:firstLine="419"/>
        <w:spacing w:after="0" w:line="301" w:lineRule="auto"/>
        <w:tabs>
          <w:tab w:leader="none" w:pos="1253"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5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77"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 w:name="page22"/>
    <w:bookmarkEnd w:id="21"/>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46" w:lineRule="exact"/>
        <w:rPr>
          <w:sz w:val="20"/>
          <w:szCs w:val="20"/>
          <w:color w:val="auto"/>
        </w:rPr>
      </w:pPr>
    </w:p>
    <w:p>
      <w:pPr>
        <w:ind w:left="820" w:hanging="38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436"/>
        <w:spacing w:after="0" w:line="263"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236" w:lineRule="exact"/>
        <w:rPr>
          <w:rFonts w:ascii="Arial" w:cs="Arial" w:eastAsia="Arial" w:hAnsi="Arial"/>
          <w:sz w:val="17"/>
          <w:szCs w:val="17"/>
          <w:color w:val="auto"/>
        </w:rPr>
      </w:pPr>
    </w:p>
    <w:p>
      <w:pPr>
        <w:ind w:right="120" w:firstLine="436"/>
        <w:spacing w:after="0" w:line="259"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Certain Funds Draw</w:t>
      </w:r>
      <w:r>
        <w:rPr>
          <w:rFonts w:ascii="Arial" w:cs="Arial" w:eastAsia="Arial" w:hAnsi="Arial"/>
          <w:sz w:val="18"/>
          <w:szCs w:val="18"/>
          <w:color w:val="auto"/>
        </w:rPr>
        <w:t>” means a Borrowing of Revolving Loans in an aggregate principal amount not exceeding $1,500,000,000 in a single drawing on the Closing Date, subject to Section 4.02.</w:t>
      </w:r>
    </w:p>
    <w:p>
      <w:pPr>
        <w:spacing w:after="0" w:line="170"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after the Combination of beneficial ownership, directly or indirectly, by any Person or group (within the meaning of the Securities Exchange Act of 1934 and the rules of the SEC thereunder as in effect on the Effective Date) of Equity Interests representing more than 35% of the aggregate ordinary voting power represented by the issued and outstanding Equity Interests of the Borrower.</w:t>
      </w:r>
    </w:p>
    <w:p>
      <w:pPr>
        <w:spacing w:after="0" w:line="14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assigned to such term in Section 9.14.</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 (c) when used with respect to Lenders, refers to whether such Lender has a Loan or Commitment with respect to a particular Class of Loans or Commitments.</w:t>
      </w:r>
    </w:p>
    <w:p>
      <w:pPr>
        <w:spacing w:after="0" w:line="188"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or after the Effective Date but not after the Commitment Termination Date, on which all the conditions specified in Section 4.02 of this Agreement are satisfied (or waived in accordance with Section 9.02 of this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Transaction Representations</w:t>
      </w:r>
      <w:r>
        <w:rPr>
          <w:rFonts w:ascii="Arial" w:cs="Arial" w:eastAsia="Arial" w:hAnsi="Arial"/>
          <w:sz w:val="16"/>
          <w:szCs w:val="16"/>
          <w:color w:val="auto"/>
        </w:rPr>
        <w:t>” means the representations made by Pfizer with respect to the Borrower, the Spinco Subsidiaries (as defined in the Business Combination Agreement) or Spinco Sub (as defined in the Business Combination Agreement) in the Business Combination Agreement as are material to the interests of the Lenders and the Arrangers (in their capacities as such)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Businesses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earliest of (a) the date of termination of all Commitments pursuant to Section 2.08 hereof, (b) the date of termination of Mylan’s obligation to consummate the Combination pursuant to the Business Combination Agreement and (c) December 31, 2020, if the Closing Date has not occurred prior to 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 w:name="page24"/>
    <w:bookmarkEnd w:id="23"/>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w:t>
      </w:r>
    </w:p>
    <w:p>
      <w:pPr>
        <w:spacing w:after="0" w:line="1" w:lineRule="exact"/>
        <w:rPr>
          <w:sz w:val="20"/>
          <w:szCs w:val="20"/>
          <w:color w:val="auto"/>
        </w:rPr>
      </w:pPr>
    </w:p>
    <w:p>
      <w:pPr>
        <w:ind w:left="4" w:right="140" w:hanging="4"/>
        <w:spacing w:after="0" w:line="281" w:lineRule="auto"/>
        <w:tabs>
          <w:tab w:leader="none" w:pos="3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6"/>
          <w:szCs w:val="16"/>
          <w:u w:val="single" w:color="auto"/>
          <w:color w:val="auto"/>
        </w:rPr>
        <w:t>Schedule 2.03</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 w:hanging="4"/>
        <w:spacing w:after="0" w:line="281" w:lineRule="auto"/>
        <w:tabs>
          <w:tab w:leader="none" w:pos="3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connection with (1) the Combination Transactions, such actions have been taken within 24 months after the Closing Date and (2) any other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Consolidated Net Income, the sum of (xvi) any unusual, infrequent or extraordinary income or gains, (xvii) any other non-cash income or gains (except to the extent representing</w:t>
      </w:r>
    </w:p>
    <w:p>
      <w:pPr>
        <w:spacing w:after="0" w:line="8" w:lineRule="exact"/>
        <w:rPr>
          <w:rFonts w:ascii="Arial" w:cs="Arial" w:eastAsia="Arial" w:hAnsi="Arial"/>
          <w:sz w:val="16"/>
          <w:szCs w:val="16"/>
          <w:color w:val="auto"/>
        </w:rPr>
      </w:pPr>
    </w:p>
    <w:p>
      <w:pPr>
        <w:jc w:val="both"/>
        <w:ind w:left="4" w:right="120" w:hanging="4"/>
        <w:spacing w:after="0" w:line="25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included</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24" w:name="page25"/>
    <w:bookmarkEnd w:id="24"/>
    <w:p>
      <w:pPr>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6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00" w:hanging="4"/>
        <w:spacing w:after="0" w:line="281" w:lineRule="auto"/>
        <w:tabs>
          <w:tab w:leader="none" w:pos="3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hanging="4"/>
        <w:spacing w:after="0" w:line="281"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w:t>
      </w:r>
    </w:p>
    <w:p>
      <w:pPr>
        <w:spacing w:after="0" w:line="3" w:lineRule="exact"/>
        <w:rPr>
          <w:rFonts w:ascii="Arial" w:cs="Arial" w:eastAsia="Arial" w:hAnsi="Arial"/>
          <w:sz w:val="16"/>
          <w:szCs w:val="16"/>
          <w:color w:val="auto"/>
        </w:rPr>
      </w:pPr>
    </w:p>
    <w:p>
      <w:pPr>
        <w:ind w:left="4" w:right="120" w:hanging="4"/>
        <w:spacing w:after="0" w:line="281"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 Subsidiaries (other than the Captive Insurance Subsidiary) of the type described in clause</w:t>
      </w:r>
    </w:p>
    <w:p>
      <w:pPr>
        <w:spacing w:after="0" w:line="1" w:lineRule="exact"/>
        <w:rPr>
          <w:rFonts w:ascii="Arial" w:cs="Arial" w:eastAsia="Arial" w:hAnsi="Arial"/>
          <w:sz w:val="16"/>
          <w:szCs w:val="16"/>
          <w:color w:val="auto"/>
        </w:rPr>
      </w:pPr>
    </w:p>
    <w:p>
      <w:pPr>
        <w:ind w:left="4" w:hanging="4"/>
        <w:spacing w:after="0" w:line="260"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(f) of the definition of “Indebtedness” for such period and (h) the interest component of all Attributable Receivables Indebtedness of the Borrower and its Subsidiaries (other than the Captive Insurance Subsidiary).</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left="4" w:right="3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25" w:name="page26"/>
    <w:bookmarkEnd w:id="25"/>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w:t>
      </w:r>
    </w:p>
    <w:p>
      <w:pPr>
        <w:spacing w:after="0" w:line="4" w:lineRule="exact"/>
        <w:rPr>
          <w:sz w:val="20"/>
          <w:szCs w:val="20"/>
          <w:color w:val="auto"/>
        </w:rPr>
      </w:pPr>
    </w:p>
    <w:p>
      <w:pPr>
        <w:ind w:left="4" w:hanging="4"/>
        <w:spacing w:after="0" w:line="271"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78"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principal amount of any obligations of any</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4" w:right="519" w:bottom="1440" w:gutter="0" w:footer="0" w:header="0"/>
        </w:sectPr>
      </w:pPr>
    </w:p>
    <w:bookmarkStart w:id="26" w:name="page27"/>
    <w:bookmarkEnd w:id="26"/>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w:t>
      </w:r>
    </w:p>
    <w:p>
      <w:pPr>
        <w:spacing w:after="0" w:line="4" w:lineRule="exact"/>
        <w:rPr>
          <w:sz w:val="20"/>
          <w:szCs w:val="20"/>
          <w:color w:val="auto"/>
        </w:rPr>
      </w:pPr>
    </w:p>
    <w:p>
      <w:pPr>
        <w:jc w:val="both"/>
        <w:ind w:left="4" w:right="280" w:hanging="4"/>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Coronavirus Disease 2019, as defined by the International Committee on Taxonomy of Viruses and the World Health Organization.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means, as to any Lender at any time, such Lender’s Revolving Credit Exposure at such time.</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Fitch,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the Borrower’s non-credit-enhanced, senior unsecured long-term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left="1424" w:hanging="433"/>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all three Debt Ratings are in effect, and two or more ratings are at the same Pricing Level, that Pricing Level will apply;</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all three Debt Ratings are in effect, each at a different Pricing Level, the Pricing Level of the middle Debt Rating shall apply;</w:t>
      </w:r>
    </w:p>
    <w:p>
      <w:pPr>
        <w:spacing w:after="0" w:line="236" w:lineRule="exact"/>
        <w:rPr>
          <w:rFonts w:ascii="Arial" w:cs="Arial" w:eastAsia="Arial" w:hAnsi="Arial"/>
          <w:sz w:val="17"/>
          <w:szCs w:val="17"/>
          <w:color w:val="auto"/>
        </w:rPr>
      </w:pPr>
    </w:p>
    <w:p>
      <w:pPr>
        <w:ind w:left="4" w:firstLine="987"/>
        <w:spacing w:after="0" w:line="263" w:lineRule="auto"/>
        <w:tabs>
          <w:tab w:leader="none" w:pos="13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only two Debt Ratings are in effect, the Pricing Level of the higher of such Debt Ratings shall apply (with the Debt Rating for Pricing Level 1 being the highest and the Debt Rating for Pricing Level 4 being the lowest), unless the ratings differential is two levels or more, in which case the Pricing Level that is one level lower than the Pricing Level of the higher Debt Rating shall apply;</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there exists only one Debt Rating, such Debt Rating shall apply;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27" w:name="page28"/>
    <w:bookmarkEnd w:id="27"/>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sz w:val="20"/>
          <w:szCs w:val="20"/>
          <w:color w:val="auto"/>
        </w:rPr>
        <w:tab/>
      </w:r>
      <w:r>
        <w:rPr>
          <w:rFonts w:ascii="Arial" w:cs="Arial" w:eastAsia="Arial" w:hAnsi="Arial"/>
          <w:sz w:val="16"/>
          <w:szCs w:val="16"/>
          <w:color w:val="auto"/>
        </w:rPr>
        <w:t>if no Debt Rating is available, Pricing Level 5 shall apply.</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2.12(c).</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or has a direct or indirect parent company that has, become the subject of a Bail-In Action.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each Issuing Bank, the Swingline Lender and each Lender.</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Disclosed Matters</w:t>
      </w:r>
      <w:r>
        <w:rPr>
          <w:rFonts w:ascii="Arial" w:cs="Arial" w:eastAsia="Arial" w:hAnsi="Arial"/>
          <w:sz w:val="17"/>
          <w:szCs w:val="17"/>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or Mylan with the SEC or furnished by the Borrower or Mylan to the SEC pursuant to the Securities Exchange Act, in each case, filed or furnished before the Effective Date and which are available to the Lenders before the Effective Date and (b) on </w:t>
      </w:r>
      <w:r>
        <w:rPr>
          <w:rFonts w:ascii="Arial" w:cs="Arial" w:eastAsia="Arial" w:hAnsi="Arial"/>
          <w:sz w:val="17"/>
          <w:szCs w:val="17"/>
          <w:u w:val="single" w:color="auto"/>
          <w:color w:val="auto"/>
        </w:rPr>
        <w:t>Schedule 3.06</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Latest Maturity Date.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all of the conditions specified in Section 4.01 shall have been satisfied.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0" w:name="page31"/>
    <w:bookmarkEnd w:id="30"/>
    <w:p>
      <w:pPr>
        <w:ind w:left="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in a Person, and any warrants, options or other rights entitling the holder thereof to purchase or acquire any such equity interest (other than, prior to such conversion, Indebtedness that is convertible into any such equity interests).</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LIBO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right="20" w:hanging="4"/>
        <w:spacing w:after="0" w:line="253"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1" w:name="page32"/>
    <w:bookmarkEnd w:id="31"/>
    <w:p>
      <w:pPr>
        <w:ind w:right="8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the Revolving Credit Agreement, dated as of July 27, 2018 (as amended, restated, supplemented or otherwise modified from time to time), among Mylan Inc., as the borrower, Mylan N.V., as the parent and a guarantor, the other guarantors from time to time party thereto, the lenders and issuing banks from time to time party thereto and Bank of America, N.A., as administrative agent.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2" w:name="page33"/>
    <w:bookmarkEnd w:id="32"/>
    <w:p>
      <w:pPr>
        <w:ind w:right="1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Federal Funds Effective Rate shall be less than zero, the Federal Funds Effective Rate shall be deemed zero for purposes of this Agreement.</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and on or prior to the Closing Date, the proceeds of which are used to fund, in full or in part, the Borrower Cash Distribution and related transaction fees and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3" w:name="page34"/>
    <w:bookmarkEnd w:id="33"/>
    <w:p>
      <w:pPr>
        <w:ind w:left="4"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of any guaranteeing person shall be deemed to be the lower of</w:t>
      </w:r>
    </w:p>
    <w:p>
      <w:pPr>
        <w:spacing w:after="0" w:line="6" w:lineRule="exact"/>
        <w:rPr>
          <w:sz w:val="20"/>
          <w:szCs w:val="20"/>
          <w:color w:val="auto"/>
        </w:rPr>
      </w:pPr>
    </w:p>
    <w:p>
      <w:pPr>
        <w:ind w:left="244" w:hanging="244"/>
        <w:spacing w:after="0"/>
        <w:tabs>
          <w:tab w:leader="none" w:pos="2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amount equal to the stated or determinable amount of the primary obligation, or portion thereof, in respect of which such Guarantee is made and</w:t>
      </w:r>
    </w:p>
    <w:p>
      <w:pPr>
        <w:spacing w:after="0" w:line="32" w:lineRule="exact"/>
        <w:rPr>
          <w:rFonts w:ascii="Arial" w:cs="Arial" w:eastAsia="Arial" w:hAnsi="Arial"/>
          <w:sz w:val="16"/>
          <w:szCs w:val="16"/>
          <w:color w:val="auto"/>
        </w:rPr>
      </w:pPr>
    </w:p>
    <w:p>
      <w:pPr>
        <w:ind w:left="4" w:right="160" w:hanging="4"/>
        <w:spacing w:after="0" w:line="253"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93"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from and after the consummation of the Combination, each Affiliate or Subsidiary of the Borrower (including each Mylan Guarantor), if any, that provides a guarantee of the Obligations pursuant to Section 5.09(a)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set forth in Section 2.13(a).</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4" w:name="page35"/>
    <w:bookmarkEnd w:id="3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Increased Commitments</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140" w:hanging="4"/>
        <w:spacing w:after="0" w:line="281"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78"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5" w:name="page36"/>
    <w:bookmarkEnd w:id="3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 Section 2.03.</w:t>
      </w:r>
    </w:p>
    <w:p>
      <w:pPr>
        <w:spacing w:after="0" w:line="23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Base Rate Loan (other than a Swingline Loan), the last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under any Class of Commitments, the period commencing on the date of such Borrowing and ending on the numerically corresponding day in the calendar month that is one, two, three or six months thereafter (in each case, subject to availability), or such other period that is twelve months or less requested by the Borrower and that is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Investing Person</w:t>
      </w:r>
      <w:r>
        <w:rPr>
          <w:rFonts w:ascii="Arial" w:cs="Arial" w:eastAsia="Arial" w:hAnsi="Arial"/>
          <w:sz w:val="17"/>
          <w:szCs w:val="17"/>
          <w:color w:val="auto"/>
        </w:rPr>
        <w:t>”) transfers an amount of cash or other Property (the “</w:t>
      </w:r>
      <w:r>
        <w:rPr>
          <w:rFonts w:ascii="Arial" w:cs="Arial" w:eastAsia="Arial" w:hAnsi="Arial"/>
          <w:sz w:val="17"/>
          <w:szCs w:val="17"/>
          <w:u w:val="single" w:color="auto"/>
          <w:color w:val="auto"/>
        </w:rPr>
        <w:t>Invested Amount</w:t>
      </w:r>
      <w:r>
        <w:rPr>
          <w:rFonts w:ascii="Arial" w:cs="Arial" w:eastAsia="Arial" w:hAnsi="Arial"/>
          <w:sz w:val="17"/>
          <w:szCs w:val="17"/>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7"/>
          <w:szCs w:val="17"/>
          <w:u w:val="single" w:color="auto"/>
          <w:color w:val="auto"/>
        </w:rPr>
        <w:t>Subject Person</w:t>
      </w:r>
      <w:r>
        <w:rPr>
          <w:rFonts w:ascii="Arial" w:cs="Arial" w:eastAsia="Arial" w:hAnsi="Arial"/>
          <w:sz w:val="17"/>
          <w:szCs w:val="17"/>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7"/>
          <w:szCs w:val="17"/>
          <w:u w:val="single" w:color="auto"/>
          <w:color w:val="auto"/>
        </w:rPr>
        <w:t>Intermediate Investing Person</w:t>
      </w:r>
      <w:r>
        <w:rPr>
          <w:rFonts w:ascii="Arial" w:cs="Arial" w:eastAsia="Arial" w:hAnsi="Arial"/>
          <w:sz w:val="17"/>
          <w:szCs w:val="17"/>
          <w:color w:val="auto"/>
        </w:rPr>
        <w:t>”), including through the incurrence or repayment of intercompany Indebtedness,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Borrower (or any Subsidiary) or in favor of the applicable Issuing Bank and relating to such Letter of Credit.</w:t>
      </w:r>
    </w:p>
    <w:p>
      <w:pPr>
        <w:spacing w:after="0" w:line="184" w:lineRule="exact"/>
        <w:rPr>
          <w:sz w:val="20"/>
          <w:szCs w:val="20"/>
          <w:color w:val="auto"/>
        </w:rPr>
      </w:pPr>
    </w:p>
    <w:p>
      <w:pPr>
        <w:jc w:val="both"/>
        <w:ind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Bank of America, Goldman Sachs Bank USA and any other Lender (subject to such Lender’s consent) designated by the Borrower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include any such Affiliate with respect to Letters of Credit issued by such Affiliate.</w:t>
      </w:r>
    </w:p>
    <w:p>
      <w:pPr>
        <w:spacing w:after="0" w:line="17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Revolving Lender’s funding of its participation in any L/C Borrowing in accordance with its Applicable Percentage. All L/C Advances shall be denominated in Dollars.</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an L/C Disbursement under any Letter of Credit which has not been reimbursed on the date when made or refinanced as a Base Rate Revolving Borrowing. All L/C Borrowings shall be denominated in Dollars.</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40" w:top="274" w:right="559" w:bottom="1440" w:gutter="0" w:footer="0" w:header="0"/>
        </w:sectPr>
      </w:pPr>
    </w:p>
    <w:bookmarkStart w:id="37" w:name="page38"/>
    <w:bookmarkEnd w:id="37"/>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Outstanding Amount of all Letters of Credit at such time plus (b) the aggregate Outstanding Amount of all L/C Disbursements, including Unreimbursed Amounts, that have not yet been reimbursed by or on behalf of the Borrower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 Sublimit</w:t>
      </w:r>
      <w:r>
        <w:rPr>
          <w:rFonts w:ascii="Arial" w:cs="Arial" w:eastAsia="Arial" w:hAnsi="Arial"/>
          <w:sz w:val="18"/>
          <w:szCs w:val="18"/>
          <w:color w:val="auto"/>
        </w:rPr>
        <w:t xml:space="preserve">” means $300,000,000;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Letters of Credit for which Bank of America (together with its successors and assigns) acts as Issuing Bank shall not exceed $150,000,000 at any time (as such amount may be increased from time to time in the sole discretion of Bank of America, so long as such amount does not exceed the L/C Exposure Sublimit and notice of such increase is provided to the Administrative Agent) and (ii) the Letters of Credit for which Goldman Sachs Bank USA (together with its successors and assigns) acts as Issuing Bank shall not exceed $150,000,000 at any time (as such amount may be increased from time to time in the sole discretion of Goldman Sachs Bank USA, so long as such amount does not exceed the L/C Exposure Sublimit).</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184"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means, collectively, the Administrative Agent, the Lenders (including the Swingline Lender), the Issuing Banks and each co-agent or sub-agent appointed by the Administrative Agent from time to time pursuant to clause (e) of Article VIII.</w:t>
      </w:r>
    </w:p>
    <w:p>
      <w:pPr>
        <w:spacing w:after="0" w:line="14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issued pursuant to Section 2.05.</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Issuing Bank.</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LIBO Rate</w:t>
      </w:r>
      <w:r>
        <w:rPr>
          <w:rFonts w:ascii="Arial" w:cs="Arial" w:eastAsia="Arial" w:hAnsi="Arial"/>
          <w:sz w:val="18"/>
          <w:szCs w:val="18"/>
          <w:color w:val="auto"/>
        </w:rPr>
        <w:t>” means:</w:t>
      </w:r>
    </w:p>
    <w:p>
      <w:pPr>
        <w:spacing w:after="0" w:line="225" w:lineRule="exact"/>
        <w:rPr>
          <w:sz w:val="20"/>
          <w:szCs w:val="20"/>
          <w:color w:val="auto"/>
        </w:rPr>
      </w:pPr>
    </w:p>
    <w:p>
      <w:pPr>
        <w:ind w:left="1360" w:hanging="373"/>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 respect to any Credit Event:</w:t>
      </w:r>
    </w:p>
    <w:p>
      <w:pPr>
        <w:spacing w:after="0" w:line="117" w:lineRule="exact"/>
        <w:rPr>
          <w:rFonts w:ascii="Arial" w:cs="Arial" w:eastAsia="Arial" w:hAnsi="Arial"/>
          <w:sz w:val="18"/>
          <w:szCs w:val="18"/>
          <w:color w:val="auto"/>
        </w:rPr>
      </w:pPr>
    </w:p>
    <w:p>
      <w:pPr>
        <w:ind w:left="440" w:firstLine="419"/>
        <w:spacing w:after="0" w:line="257"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Borrowing or Loan, denominated in any LIBOR Quoted Currency,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79" w:lineRule="exact"/>
        <w:rPr>
          <w:rFonts w:ascii="Arial" w:cs="Arial" w:eastAsia="Arial" w:hAnsi="Arial"/>
          <w:sz w:val="18"/>
          <w:szCs w:val="18"/>
          <w:color w:val="auto"/>
        </w:rPr>
      </w:pPr>
    </w:p>
    <w:p>
      <w:pPr>
        <w:jc w:val="both"/>
        <w:ind w:left="440" w:right="20" w:firstLine="419"/>
        <w:spacing w:after="0" w:line="263" w:lineRule="auto"/>
        <w:tabs>
          <w:tab w:leader="none" w:pos="12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Borrowing or Loan, denominated in any Non-LIBOR Quoted Currency, the rate per annum as designated with respect to such Alternative Currency at the time such Alternative Currency is approved by the Administrative Agent and the Revolving Lenders pursuant to Section 1.08(a); and</w:t>
      </w:r>
    </w:p>
    <w:p>
      <w:pPr>
        <w:spacing w:after="0" w:line="183" w:lineRule="exact"/>
        <w:rPr>
          <w:rFonts w:ascii="Arial" w:cs="Arial" w:eastAsia="Arial" w:hAnsi="Arial"/>
          <w:sz w:val="18"/>
          <w:szCs w:val="18"/>
          <w:color w:val="auto"/>
        </w:rPr>
      </w:pPr>
    </w:p>
    <w:p>
      <w:pPr>
        <w:ind w:right="320" w:firstLine="987"/>
        <w:spacing w:after="0" w:line="308" w:lineRule="auto"/>
        <w:tabs>
          <w:tab w:leader="none" w:pos="1381"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any rate calculation with respect to a Base Rate Loan on any date, the rate per annum equal to LIBOR, at or about 11:00 a.m., London time determined two Business Days prior to such date for Dollar deposits with a term of one month commencing that day;</w:t>
      </w:r>
    </w:p>
    <w:p>
      <w:pPr>
        <w:spacing w:after="0" w:line="146" w:lineRule="exact"/>
        <w:rPr>
          <w:rFonts w:ascii="Arial" w:cs="Arial" w:eastAsia="Arial" w:hAnsi="Arial"/>
          <w:sz w:val="17"/>
          <w:szCs w:val="17"/>
          <w:color w:val="auto"/>
        </w:rPr>
      </w:pPr>
    </w:p>
    <w:p>
      <w:pPr>
        <w:ind w:right="140" w:firstLine="987"/>
        <w:spacing w:after="0" w:line="277" w:lineRule="auto"/>
        <w:tabs>
          <w:tab w:leader="none" w:pos="137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LIBOR or the rate referred to in clause (a)(ii) shall be less than zero, such rate shall in each case be deemed zero for purposes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LIBO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Sterling; and Yen; in each case as long as there is a published LIBOR rate with respect thereto.</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Issuer Documents, any promissory notes executed and delivered pursuant to Section 2.09(e) and any amendments, waivers, supplements or other modifications to any of the foregoing.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(including the loan made under the Certain Funds Draw).</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immediately following the consummation of the Combination, is an issuer or guarantor of any Mylan Notes or is otherwise required to provide a guarantee of the Obligations pursuant to Section 5.09(a).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225" w:lineRule="exact"/>
        <w:rPr>
          <w:sz w:val="20"/>
          <w:szCs w:val="20"/>
          <w:color w:val="auto"/>
        </w:rPr>
      </w:pPr>
    </w:p>
    <w:p>
      <w:pPr>
        <w:ind w:left="1360" w:hanging="373"/>
        <w:spacing w:after="0"/>
        <w:tabs>
          <w:tab w:leader="none" w:pos="1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firstLine="987"/>
        <w:spacing w:after="0" w:line="277" w:lineRule="auto"/>
        <w:tabs>
          <w:tab w:leader="none" w:pos="13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as guarantor,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as parent, and The Bank of New York Mellon, as trustee, to the indenture dated as of December 21, 2012;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40" w:name="page41"/>
    <w:bookmarkEnd w:id="40"/>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November 29, 2013, by and between Mylan Inc., as issuer, and The Bank of New York Mellon, as trustee;</w:t>
      </w:r>
    </w:p>
    <w:p>
      <w:pPr>
        <w:spacing w:after="0" w:line="236" w:lineRule="exact"/>
        <w:rPr>
          <w:rFonts w:ascii="Arial" w:cs="Arial" w:eastAsia="Arial" w:hAnsi="Arial"/>
          <w:sz w:val="17"/>
          <w:szCs w:val="17"/>
          <w:color w:val="auto"/>
        </w:rPr>
      </w:pPr>
    </w:p>
    <w:p>
      <w:pPr>
        <w:ind w:right="460" w:firstLine="987"/>
        <w:spacing w:after="0" w:line="277" w:lineRule="auto"/>
        <w:tabs>
          <w:tab w:leader="none" w:pos="1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80" w:firstLine="987"/>
        <w:spacing w:after="0" w:line="277" w:lineRule="auto"/>
        <w:tabs>
          <w:tab w:leader="none" w:pos="13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0" w:firstLine="987"/>
        <w:spacing w:after="0" w:line="277" w:lineRule="auto"/>
        <w:tabs>
          <w:tab w:leader="none" w:pos="13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June 9, 2016, among Mylan, as issuer, Mylan Inc., as guarantor, and The Bank of New York Mellon, as trustee;</w:t>
      </w:r>
    </w:p>
    <w:p>
      <w:pPr>
        <w:spacing w:after="0" w:line="248" w:lineRule="exact"/>
        <w:rPr>
          <w:rFonts w:ascii="Arial" w:cs="Arial" w:eastAsia="Arial" w:hAnsi="Arial"/>
          <w:sz w:val="16"/>
          <w:szCs w:val="16"/>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Indenture dated as of May 24, 2017, among Mylan, as issuer, Mylan Inc., as guarantor, and Citibank, N.A., London Branch,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210" w:lineRule="exact"/>
        <w:rPr>
          <w:rFonts w:ascii="Arial" w:cs="Arial" w:eastAsia="Arial" w:hAnsi="Arial"/>
          <w:sz w:val="17"/>
          <w:szCs w:val="17"/>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April 9, 2018, by and between Mylan Inc., as issuer, Mylan, as guarantor, and The Bank of New York Mellon,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 and</w:t>
      </w:r>
    </w:p>
    <w:p>
      <w:pPr>
        <w:spacing w:after="0" w:line="210" w:lineRule="exact"/>
        <w:rPr>
          <w:rFonts w:ascii="Arial" w:cs="Arial" w:eastAsia="Arial" w:hAnsi="Arial"/>
          <w:sz w:val="16"/>
          <w:szCs w:val="16"/>
          <w:color w:val="auto"/>
        </w:rPr>
      </w:pPr>
    </w:p>
    <w:p>
      <w:pPr>
        <w:ind w:left="1420" w:hanging="433"/>
        <w:spacing w:after="0"/>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May 23, 2018, by and between Mylan Inc., as issuer, Mylan, as guarantor, and Citibank, N.A., London Branch,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means any senior notes issued by Mylan and Mylan Inc., as applicable, under the Mylan Indentures and that remain outstanding upon the consummation of the Combination.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made by the Borrower in favor of a Lender evidencing Loans made by such Lender to the Borrower, substantially in the form of Exhibit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1" w:name="page42"/>
    <w:bookmarkEnd w:id="41"/>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in Section 2.17(a).</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the Borrower of Unreimbursed Amounts.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 w:name="page43"/>
    <w:bookmarkEnd w:id="42"/>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Effective Rate and (ii) an overnight rate reasonably determined by the Administrative Agent, the applicable Issuing Bank, or the Swingline Lender, as the case may be, in accordance with banking industry rules on interbank compensation, and (b) with respect to any amount denominated in an Alternative Currency, an overnight rate reasonably determined by the Administrative Agent or the applicable Issuing Bank, as the case may be, in accordance with banking industry rules on interbank compensation.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1240" w:hanging="381"/>
        <w:spacing w:after="0"/>
        <w:tabs>
          <w:tab w:leader="none" w:pos="1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3" w:name="page44"/>
    <w:bookmarkEnd w:id="43"/>
    <w:p>
      <w:pPr>
        <w:ind w:left="440" w:right="20" w:firstLine="419"/>
        <w:spacing w:after="0" w:line="263"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jc w:val="both"/>
        <w:ind w:left="440" w:right="120" w:firstLine="419"/>
        <w:spacing w:after="0" w:line="263"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4" w:name="page45"/>
    <w:bookmarkEnd w:id="44"/>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8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with respect to any Person, any amendment,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Latest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86"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and ending on the two-year anniversary of the Closing Date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w:t>
      </w:r>
      <w:r>
        <w:rPr>
          <w:rFonts w:ascii="Arial" w:cs="Arial" w:eastAsia="Arial" w:hAnsi="Arial"/>
          <w:sz w:val="18"/>
          <w:szCs w:val="18"/>
          <w:color w:val="auto"/>
        </w:rPr>
        <w:t>” means the applicable pricing level under the column titled ‘Pricing Level’ in the table set forth in the definition of “Applicable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6" w:name="page47"/>
    <w:bookmarkEnd w:id="46"/>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the acquisition by the Borrower or a Subsidiary of an Acquired Entity or Business which acquisition has been designated to the Lenders by a Responsible Officer of the Borrower as a “Qualified Acquisition” so long as, on a Pro Forma Basis,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7" w:name="page48"/>
    <w:bookmarkEnd w:id="4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Consolidated Leverage Ratio as of the last day of the most recently completed Test Period (for which financial statements have been delivered pursuant to Section 5.01(a) or (b)) prior to such acquisition would be at least 3.25 to 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and any Issuing Bank,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Credit Exposure and unused Commitments representing more than 50% of the sum of the total Credit Exposure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Credit Exposure held or deemed held by, any Defaulting Lender shall be excluded for purposes of making a determination of Required Lenders.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48" w:name="page49"/>
    <w:bookmarkEnd w:id="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(a) with respect to any Loan, each of the following: (i) each date of a Borrowing of a Eurocurrency Loan denominated in an Alternative Currency, (ii) each date of a continuation of a Eurocurrency Loan denominated in an Alternative Currency,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any Issuing Bank under any Letter of Credit denominated in an Alternative Currency, (iv) the first Business Day of each month following the issuance of a Letter of Credit and (v) such additional dates as the Administrative Agent or the Issuing Banks shall determine or the Required Lenders shall require.</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$4,000,000,000.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9" w:name="page50"/>
    <w:bookmarkEnd w:id="49"/>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Dollar Equivalent of such Lender’s Revolving Loans, L/C Exposure and Swingline Exposure at such time.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Maturity Date</w:t>
      </w:r>
      <w:r>
        <w:rPr>
          <w:rFonts w:ascii="Arial" w:cs="Arial" w:eastAsia="Arial" w:hAnsi="Arial"/>
          <w:sz w:val="17"/>
          <w:szCs w:val="17"/>
          <w:color w:val="auto"/>
        </w:rPr>
        <w:t>” means (i) with respect to the Revolving Commitments made pursuant to Section 2.01, the date that is three years from the Closing Date,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Amendment</w:t>
      </w:r>
      <w:r>
        <w:rPr>
          <w:rFonts w:ascii="Arial" w:cs="Arial" w:eastAsia="Arial" w:hAnsi="Arial"/>
          <w:sz w:val="18"/>
          <w:szCs w:val="18"/>
          <w:color w:val="auto"/>
        </w:rPr>
        <w:t>” has the meaning assigned to such term in Section 2.21(c).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Series</w:t>
      </w:r>
      <w:r>
        <w:rPr>
          <w:rFonts w:ascii="Arial" w:cs="Arial" w:eastAsia="Arial" w:hAnsi="Arial"/>
          <w:sz w:val="18"/>
          <w:szCs w:val="18"/>
          <w:color w:val="auto"/>
        </w:rPr>
        <w:t>” has the meaning assigned to such term in Section 2.21(e).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each Lender that has a Revolving Commitment or that holds Revolving Credit Exposure.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 (including the Loan made under the Certain Funds Draw).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Banks,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has the meaning assigned in Section 2.07(b).</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440" w:top="274" w:right="599" w:bottom="1440" w:gutter="0" w:footer="0" w:header="0"/>
        </w:sectPr>
      </w:pPr>
    </w:p>
    <w:bookmarkStart w:id="50" w:name="page51"/>
    <w:bookmarkEnd w:id="5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2.20.</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with respect to the Borrower made by the Borrower set forth in the following sections of this Agreement:</w:t>
      </w:r>
    </w:p>
    <w:p>
      <w:pPr>
        <w:spacing w:after="0" w:line="170" w:lineRule="exact"/>
        <w:rPr>
          <w:sz w:val="20"/>
          <w:szCs w:val="20"/>
          <w:color w:val="auto"/>
        </w:rPr>
      </w:pPr>
    </w:p>
    <w:p>
      <w:pPr>
        <w:ind w:left="1360" w:hanging="373"/>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3.01(with respect to the incorporation or formation and status of the Borrower);</w:t>
      </w:r>
    </w:p>
    <w:p>
      <w:pPr>
        <w:spacing w:after="0" w:line="225"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3.02 (in the case of the first sentence of Section 3.02, with respect to the organizational power and authority of the Borrower to enter into, deliver and perform this Agreement and the other Loan Documents);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3.03(b)(i);</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3.03(b)(ii);</w:t>
      </w:r>
    </w:p>
    <w:p>
      <w:pPr>
        <w:spacing w:after="0" w:line="225" w:lineRule="exact"/>
        <w:rPr>
          <w:rFonts w:ascii="Arial" w:cs="Arial" w:eastAsia="Arial" w:hAnsi="Arial"/>
          <w:sz w:val="18"/>
          <w:szCs w:val="18"/>
          <w:color w:val="auto"/>
        </w:rPr>
      </w:pPr>
    </w:p>
    <w:p>
      <w:pPr>
        <w:ind w:firstLine="987"/>
        <w:spacing w:after="0" w:line="259"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Section 3.03(c) (with respect to any indenture, agreement or other instrument binding on the Borrower or its assets with respect to indebtedness for borrowed money of the Borrower or its subsidiaries (after giving effect to the Combination Transactions) in a committed or outstanding principal amount of $500 million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representation and warranty shall not be subject to the Material Adverse Effect proviso to Section 3.03);</w:t>
      </w:r>
    </w:p>
    <w:p>
      <w:pPr>
        <w:spacing w:after="0" w:line="186" w:lineRule="exact"/>
        <w:rPr>
          <w:rFonts w:ascii="Arial" w:cs="Arial" w:eastAsia="Arial" w:hAnsi="Arial"/>
          <w:sz w:val="18"/>
          <w:szCs w:val="18"/>
          <w:color w:val="auto"/>
        </w:rPr>
      </w:pPr>
    </w:p>
    <w:p>
      <w:pPr>
        <w:ind w:left="1400" w:hanging="413"/>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3.08;</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3.10(a);</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3.13;</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3.14 (with respect to the second sentence of Section 3.14 only);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51" w:name="page52"/>
    <w:bookmarkEnd w:id="51"/>
    <w:p>
      <w:pPr>
        <w:ind w:left="1340" w:hanging="353"/>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3.15(b).</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Borrower or any Subsidiary in excess of $50,000,000.</w:t>
      </w:r>
    </w:p>
    <w:p>
      <w:pPr>
        <w:spacing w:after="0" w:line="17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applicable Issuing Bank may use such spot rate quoted on the date as of which the foreign exchange computation is made in the case of any Letter of Credit denominated in an Alternative Currency.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2" w:name="page53"/>
    <w:bookmarkEnd w:id="52"/>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(through itself or through one of its designated Affiliates or branch offices), in its capacity as lender of Swingline Loans hereunder, or any successor swingline lender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 Notice</w:t>
      </w:r>
      <w:r>
        <w:rPr>
          <w:rFonts w:ascii="Arial" w:cs="Arial" w:eastAsia="Arial" w:hAnsi="Arial"/>
          <w:sz w:val="17"/>
          <w:szCs w:val="17"/>
          <w:color w:val="auto"/>
        </w:rPr>
        <w:t xml:space="preserve">” means a notice of a Swingline Loan Borrowing pursuant to Section 2.04, which, shall be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 Sublimit</w:t>
      </w:r>
      <w:r>
        <w:rPr>
          <w:rFonts w:ascii="Arial" w:cs="Arial" w:eastAsia="Arial" w:hAnsi="Arial"/>
          <w:sz w:val="18"/>
          <w:szCs w:val="18"/>
          <w:color w:val="auto"/>
        </w:rPr>
        <w:t>” means $175,000,000.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the execution, delivery and performance by the Loan Parties of this Agreement and the other Loan Documents, the borrowing of Loans, the use of the proceeds thereof, the issuance of Letters of Credit hereunder and the payment of fees and expenses hereunder;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after the consummation of the Combination, “Transactions” shall also include the Combination Transactions and the payment of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40" w:top="274" w:right="579" w:bottom="1440" w:gutter="0" w:footer="0" w:header="0"/>
        </w:sectPr>
      </w:pPr>
    </w:p>
    <w:bookmarkStart w:id="53" w:name="page54"/>
    <w:bookmarkEnd w:id="53"/>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Upjohn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5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Japan.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1.02 Classification of Loans and Borrowings.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9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Accounting Terms; GAAP.</w:t>
      </w:r>
    </w:p>
    <w:p>
      <w:pPr>
        <w:spacing w:after="0" w:line="117" w:lineRule="exact"/>
        <w:rPr>
          <w:sz w:val="20"/>
          <w:szCs w:val="20"/>
          <w:color w:val="auto"/>
        </w:rPr>
      </w:pPr>
    </w:p>
    <w:p>
      <w:pPr>
        <w:ind w:right="60" w:firstLine="987"/>
        <w:spacing w:after="0" w:line="269" w:lineRule="auto"/>
        <w:tabs>
          <w:tab w:leader="none" w:pos="13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firstLine="987"/>
        <w:spacing w:after="0" w:line="263"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5" w:name="page56"/>
    <w:bookmarkEnd w:id="55"/>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1.05 Payments on Business Days.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1.06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5"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SECTION 1.07 Rounding.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57"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color w:val="auto"/>
        </w:rPr>
        <w:t>Additional Alternative Currencies.</w:t>
      </w:r>
    </w:p>
    <w:p>
      <w:pPr>
        <w:spacing w:after="0" w:line="117" w:lineRule="exact"/>
        <w:rPr>
          <w:sz w:val="20"/>
          <w:szCs w:val="20"/>
          <w:color w:val="auto"/>
        </w:rPr>
      </w:pPr>
    </w:p>
    <w:p>
      <w:pPr>
        <w:ind w:right="20" w:firstLine="987"/>
        <w:spacing w:after="0" w:line="255"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Eurocurrency Loans be made and/or Letters of Credit be issued in a currency other than Dollars and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6" w:name="page57"/>
    <w:bookmarkEnd w:id="56"/>
    <w:p>
      <w:pPr>
        <w:ind w:left="4" w:right="40" w:firstLine="987"/>
        <w:spacing w:after="0" w:line="284" w:lineRule="auto"/>
        <w:tabs>
          <w:tab w:leader="none" w:pos="1375"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Banks,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Revolving Loans) or the applicable Issuing Bank (in the case of a request pertaining to Letters of Credit) shall notify the Administrative Agent, not later than 11:00 a.m., ten</w:t>
      </w:r>
    </w:p>
    <w:p>
      <w:pPr>
        <w:spacing w:after="0" w:line="4" w:lineRule="exact"/>
        <w:rPr>
          <w:rFonts w:ascii="Arial" w:cs="Arial" w:eastAsia="Arial" w:hAnsi="Arial"/>
          <w:sz w:val="16"/>
          <w:szCs w:val="16"/>
          <w:color w:val="auto"/>
        </w:rPr>
      </w:pPr>
    </w:p>
    <w:p>
      <w:pPr>
        <w:ind w:left="4" w:right="520" w:hanging="4"/>
        <w:spacing w:after="0" w:line="260" w:lineRule="auto"/>
        <w:tabs>
          <w:tab w:leader="none" w:pos="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Days after receipt of such request whether it consents, in its sole discretion, to the making of Eurocurrency Loans or the issuance of Letters of Credit, as the case may be, in such requested currency.</w:t>
      </w:r>
    </w:p>
    <w:p>
      <w:pPr>
        <w:spacing w:after="0" w:line="185" w:lineRule="exact"/>
        <w:rPr>
          <w:rFonts w:ascii="Arial" w:cs="Arial" w:eastAsia="Arial" w:hAnsi="Arial"/>
          <w:sz w:val="18"/>
          <w:szCs w:val="18"/>
          <w:color w:val="auto"/>
        </w:rPr>
      </w:pPr>
    </w:p>
    <w:p>
      <w:pPr>
        <w:ind w:left="4" w:firstLine="987"/>
        <w:spacing w:after="0" w:line="287" w:lineRule="auto"/>
        <w:tabs>
          <w:tab w:leader="none" w:pos="136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failure by a Revolving Lender or an Issuing Bank, as the case may be, to respond to such request within the time period specified in the preceding sentence shall be deemed to be a refusal by such Revolving Lender or such Issuing Bank, as the case may be, to permit Eurocurrency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 and the Borrower may replace such non-consenting Lender, subject to Section 2.18(b).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280"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color w:val="auto"/>
        </w:rPr>
        <w:t>Change of Currency.</w:t>
      </w:r>
    </w:p>
    <w:p>
      <w:pPr>
        <w:spacing w:after="0" w:line="117" w:lineRule="exact"/>
        <w:rPr>
          <w:sz w:val="20"/>
          <w:szCs w:val="20"/>
          <w:color w:val="auto"/>
        </w:rPr>
      </w:pPr>
    </w:p>
    <w:p>
      <w:pPr>
        <w:ind w:left="4" w:right="60" w:firstLine="987"/>
        <w:spacing w:after="0" w:line="272" w:lineRule="auto"/>
        <w:tabs>
          <w:tab w:leader="none" w:pos="13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Arial" w:cs="Arial" w:eastAsia="Arial" w:hAnsi="Arial"/>
          <w:sz w:val="17"/>
          <w:szCs w:val="17"/>
          <w:color w:val="auto"/>
        </w:rPr>
      </w:pPr>
    </w:p>
    <w:p>
      <w:pPr>
        <w:ind w:left="4" w:right="120" w:firstLine="987"/>
        <w:spacing w:after="0" w:line="263" w:lineRule="auto"/>
        <w:tabs>
          <w:tab w:leader="none" w:pos="1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4" w:right="439" w:bottom="1440" w:gutter="0" w:footer="0" w:header="0"/>
        </w:sectPr>
      </w:pPr>
    </w:p>
    <w:bookmarkStart w:id="57" w:name="page58"/>
    <w:bookmarkEnd w:id="57"/>
    <w:p>
      <w:pPr>
        <w:ind w:firstLine="987"/>
        <w:spacing w:after="0" w:line="263" w:lineRule="auto"/>
        <w:tabs>
          <w:tab w:leader="none" w:pos="1371"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SECTION 1.10 Times of Day. Unless otherwise specified, all references herein to times of day shall be references to Eastern time (daylight or standard, as applicable).</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1.11 Letter of Credit Amounts.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color w:val="auto"/>
        </w:rPr>
        <w:t>Exchange Rates; Currency Equivalents; LIBO Rate.</w:t>
      </w:r>
    </w:p>
    <w:p>
      <w:pPr>
        <w:spacing w:after="0" w:line="117" w:lineRule="exact"/>
        <w:rPr>
          <w:sz w:val="20"/>
          <w:szCs w:val="20"/>
          <w:color w:val="auto"/>
        </w:rPr>
      </w:pPr>
    </w:p>
    <w:p>
      <w:pPr>
        <w:ind w:right="140" w:firstLine="987"/>
        <w:spacing w:after="0" w:line="293" w:lineRule="auto"/>
        <w:tabs>
          <w:tab w:leader="none" w:pos="13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w:t>
      </w:r>
    </w:p>
    <w:p>
      <w:pPr>
        <w:spacing w:after="0" w:line="164" w:lineRule="exact"/>
        <w:rPr>
          <w:rFonts w:ascii="Arial" w:cs="Arial" w:eastAsia="Arial" w:hAnsi="Arial"/>
          <w:sz w:val="16"/>
          <w:szCs w:val="16"/>
          <w:color w:val="auto"/>
        </w:rPr>
      </w:pPr>
    </w:p>
    <w:p>
      <w:pPr>
        <w:ind w:right="40" w:firstLine="987"/>
        <w:spacing w:after="0" w:line="257" w:lineRule="auto"/>
        <w:tabs>
          <w:tab w:leader="none" w:pos="13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7" w:lineRule="exact"/>
        <w:rPr>
          <w:rFonts w:ascii="Arial" w:cs="Arial" w:eastAsia="Arial" w:hAnsi="Arial"/>
          <w:sz w:val="18"/>
          <w:szCs w:val="18"/>
          <w:color w:val="auto"/>
        </w:rPr>
      </w:pPr>
    </w:p>
    <w:p>
      <w:pPr>
        <w:ind w:right="280" w:firstLine="987"/>
        <w:spacing w:after="0" w:line="259" w:lineRule="auto"/>
        <w:tabs>
          <w:tab w:leader="none" w:pos="1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rate that is an alternative or replacement for or successor to any of such rate (including any LIBOR Successor Rate) or the effect of any of the foregoing, or of any LIBOR Successor Rate Conforming Changes.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Commitments.</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Subject to the terms and conditions set forth herein, each Revolving Lender severally agrees to make Revolving Loans to the Borrower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 may borrow, prepay and reborrow Revolving Loans.</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Loans and Borrowings.</w:t>
      </w:r>
    </w:p>
    <w:p>
      <w:pPr>
        <w:spacing w:after="0" w:line="117" w:lineRule="exact"/>
        <w:rPr>
          <w:sz w:val="20"/>
          <w:szCs w:val="20"/>
          <w:color w:val="auto"/>
        </w:rPr>
      </w:pPr>
    </w:p>
    <w:p>
      <w:pPr>
        <w:ind w:right="100" w:firstLine="987"/>
        <w:spacing w:after="0" w:line="257" w:lineRule="auto"/>
        <w:tabs>
          <w:tab w:leader="none" w:pos="1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87" w:lineRule="exact"/>
        <w:rPr>
          <w:rFonts w:ascii="Arial" w:cs="Arial" w:eastAsia="Arial" w:hAnsi="Arial"/>
          <w:sz w:val="18"/>
          <w:szCs w:val="18"/>
          <w:color w:val="auto"/>
        </w:rPr>
      </w:pPr>
    </w:p>
    <w:p>
      <w:pPr>
        <w:jc w:val="both"/>
        <w:ind w:firstLine="987"/>
        <w:spacing w:after="0" w:line="301" w:lineRule="auto"/>
        <w:tabs>
          <w:tab w:leader="none" w:pos="13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Subject to Section 2.13, each Borrowing shall be comprised entirely of Base Rate Loans or Eurocurrency Loans as the Borrower may request in accordance herewith. Each Base Rate Loan shall only be made in Dollars. Each Swingline Loan shall be a Base Rate Loan.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57" w:lineRule="exact"/>
        <w:rPr>
          <w:rFonts w:ascii="Arial" w:cs="Arial" w:eastAsia="Arial" w:hAnsi="Arial"/>
          <w:sz w:val="16"/>
          <w:szCs w:val="16"/>
          <w:color w:val="auto"/>
        </w:rPr>
      </w:pPr>
    </w:p>
    <w:p>
      <w:pPr>
        <w:ind w:firstLine="987"/>
        <w:spacing w:after="0" w:line="272" w:lineRule="auto"/>
        <w:tabs>
          <w:tab w:leader="none" w:pos="13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Eurocurrency Loans and Base Rate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twenty (20) Eurocurrency Borrowings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9" w:name="page60"/>
    <w:bookmarkEnd w:id="59"/>
    <w:p>
      <w:pPr>
        <w:ind w:left="4" w:right="600" w:firstLine="987"/>
        <w:spacing w:after="0" w:line="277" w:lineRule="auto"/>
        <w:tabs>
          <w:tab w:leader="none" w:pos="138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Agreement, the Borrower shall not be entitled to request, or to elect to convert or continue, any Borrowing if the Interest Period requested would end after the applicable Revolving Credit Maturity Date.</w:t>
      </w:r>
    </w:p>
    <w:p>
      <w:pPr>
        <w:spacing w:after="0" w:line="170"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SECTION 2.03 Requests for Borrowings. To request a Borrowing, a conversion of Loans from one Type to the other or a continuation of Eurocurrency Loans, the Borrower shall irrevocably notify the Administrative Agent of such request by (A) telephone or (B) a written Borrowing Request in a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Business Days prior to the requested date of any Borrowing of, conversion to or continuation of Eurocurrency Loans denominated in Dollars or of any conversion of Eurocurrency Loans denominated in Dollars to Base Rate Loans,</w:t>
      </w:r>
    </w:p>
    <w:p>
      <w:pPr>
        <w:spacing w:after="0" w:line="1" w:lineRule="exact"/>
        <w:rPr>
          <w:sz w:val="20"/>
          <w:szCs w:val="20"/>
          <w:color w:val="auto"/>
        </w:rPr>
      </w:pPr>
    </w:p>
    <w:p>
      <w:pPr>
        <w:ind w:left="4" w:hanging="4"/>
        <w:spacing w:after="0" w:line="285" w:lineRule="auto"/>
        <w:tabs>
          <w:tab w:leader="none" w:pos="2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four Business Days (or five Business Days in the case of a Special Notice Currency) prior to the requested date of any Borrowing or continuation of Eurocurrency Loans denominated in Alternative Currencies, and (iii) on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Eurocurrency Loans having an Interest Period other than one, two, three or six months in duration as provided in the definition of “Interest Period,” the applicable notice must be received by the Administrative Agent not later than noon (i) four Business Days prior to the requested date of such Borrowing, conversion or continuation of Eurocurrency Loans denominated in Dollars, or (ii) five Business Days (or six Business Days in the case of a Special Notice Currency) prior to the requested date of such Borrowing, conversion or continuation of Eurocurrency Loans denominated in Alternative Currencies, whereupon the Administrative Agent shall give prompt notice to the applicable Lenders of such request and determine whether the requested Interest Period is acceptable to all of them. Not later than 11:00 a.m., (i) three Business Days before the requested date of such Borrowing, conversion or continuation of Eurocurrency Loans denominated in Dollars, or (ii) four Business Days (or five Business Days in the case of a Special Notice Currency) prior to the requested date of such Borrowing, conversion or continuation of Eurocurrency Loans denominated in Alternative Currencies, the Administrative Agent shall notify the Borrower (which notice may be by telephone) whether or not the requested Interest Period has been consented to by all the applicable Lenders. Each Borrowing Request shall specify the following information in compliance with Section 2.02:(i) the aggregate amount of the requested Borrowing, conversion or continuation;</w:t>
      </w:r>
    </w:p>
    <w:p>
      <w:pPr>
        <w:spacing w:after="0" w:line="61" w:lineRule="exact"/>
        <w:rPr>
          <w:rFonts w:ascii="Arial" w:cs="Arial" w:eastAsia="Arial" w:hAnsi="Arial"/>
          <w:sz w:val="16"/>
          <w:szCs w:val="16"/>
          <w:color w:val="auto"/>
        </w:rPr>
      </w:pPr>
    </w:p>
    <w:p>
      <w:pPr>
        <w:ind w:left="1264" w:hanging="401"/>
        <w:spacing w:after="0"/>
        <w:tabs>
          <w:tab w:leader="none" w:pos="12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date of such Borrowing, conversion or continuation, which shall be a Business Day;</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whether such Borrowing is a Certain Funds Draw;</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whether such Borrowing, conversion or continuation is to be a Base Rate Borrowing or a Eurocurrency Borrowing;</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60" w:name="page61"/>
    <w:bookmarkEnd w:id="60"/>
    <w:p>
      <w:pPr>
        <w:ind w:left="1240" w:hanging="38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currency in which such Borrowing is to be made, which shall be Dollars or an Alternative Currency;</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3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Eurocurrency Borrowing, the Interest Period to be applicable thereto, which shall be a period contemplated by the definition of the term “Interest Period”;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2.06;</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4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Borrower is requesting a new Borrowing, a conversion of Loans from one Type to the other, or a continuation of Eurocurrency Loans;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Type of Loans to be borrowed or to which existing Loans are to be converted.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no election as to the Type of Borrowing is specified, then, in the case of a Borrowing denominated in Dollars to the Borrower, the requested Revolving Borrowing shall be a Base Rate Borrowing. In the case of a failure to timely request a conversion or continuation of Eurocurrency Loans, such Loans shall be continued as Eurocurrency Loans in their original currency with an Interest Period of one month’s duration. If no Interest Period is specified with respect to any requested Eurocurrency Borrowing or conversion or continuation of Eurocurrency Loans, then the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 Administrative Agent shall advise each Lender of the details thereof and of the amount (and currency) of such Lender’s Loan to be made as part of the requested Borrowing. Except as otherwise provided herein, a Eurocurrency Loan may be continued or converted only on the last day of an Interest Period for such Eurocurrency Loan. During the existence of a Default, no Loans may be requested as, converted to or continued as Eurocurrency Loans (whether in Dollars or any Alternative Currency) without the consent of the Required Lenders, and the Required Lenders may demand that any or all of the then outstanding Eurocurrency Loans denominated in an Alternative Currency be prepaid, or redenominated into Dollars in the amount of the Dollar Equivalent thereof, on the last day of the then current Interest Period with respect thereto. No Loan may be converted into or continued as a Loan denominated in a different currency, but instead must be prepaid in the original currency of such Loan and reborrowed in the other currency.</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Swingline Loans.</w:t>
      </w:r>
    </w:p>
    <w:p>
      <w:pPr>
        <w:spacing w:after="0" w:line="117" w:lineRule="exact"/>
        <w:rPr>
          <w:sz w:val="20"/>
          <w:szCs w:val="20"/>
          <w:color w:val="auto"/>
        </w:rPr>
      </w:pPr>
    </w:p>
    <w:p>
      <w:pPr>
        <w:ind w:right="160" w:firstLine="987"/>
        <w:spacing w:after="0" w:line="257" w:lineRule="auto"/>
        <w:tabs>
          <w:tab w:leader="none" w:pos="13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Swingline Lender agrees, in reliance upon the agreements of the other Lenders set forth in this Section 2.04, to make Swingline Loans in Dollars to the Borrower from time to time during the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Swingline Loan shall be permitted if, after giving effect thereto, (i) the aggregate principal amount of outstanding Swingline Loans would exceed the Swingline Loan Sublimit, (ii) the aggregate Revolving Credit Exposures would exceed the total Revolving Commitments or (iii) such Swingline Lender’s Credit Exposure would exceed its Revolving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1" w:name="page62"/>
    <w:bookmarkEnd w:id="61"/>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88" w:lineRule="exact"/>
        <w:rPr>
          <w:sz w:val="20"/>
          <w:szCs w:val="20"/>
          <w:color w:val="auto"/>
        </w:rPr>
      </w:pPr>
    </w:p>
    <w:p>
      <w:pPr>
        <w:ind w:firstLine="987"/>
        <w:spacing w:after="0" w:line="268" w:lineRule="auto"/>
        <w:tabs>
          <w:tab w:leader="none" w:pos="137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and Swingline Lender of such request, which may be given by (A) telephone or (B) by a Swingline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Loan Borrowing (A) directing the Swingline Lender not to make such Swingline Loan as a result of the limitations set forth in Section 2.04(a), or (B) that one or more of the applicable conditions specified in Article IV is not then satisfied, then, the Swingline Lender shall make such Swingline Loan available to the Borrower by means of a credit to the general deposit account of the Borrower with the Swingline Lender (or, in the case of a Swingline Loan made to finance the reimbursement of an L/C Disbursement as provided in Section 2.05(c), by remittance to the relevant Issuing Bank) by 3:00 p.m. on the requested date of such Swingline Loan.</w:t>
      </w:r>
    </w:p>
    <w:p>
      <w:pPr>
        <w:spacing w:after="0" w:line="184" w:lineRule="exact"/>
        <w:rPr>
          <w:rFonts w:ascii="Arial" w:cs="Arial" w:eastAsia="Arial" w:hAnsi="Arial"/>
          <w:sz w:val="17"/>
          <w:szCs w:val="17"/>
          <w:color w:val="auto"/>
        </w:rPr>
      </w:pPr>
    </w:p>
    <w:p>
      <w:pPr>
        <w:ind w:right="60" w:firstLine="987"/>
        <w:spacing w:after="0" w:line="287" w:lineRule="auto"/>
        <w:tabs>
          <w:tab w:leader="none" w:pos="13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 conditions set forth in Section 4.03 or Section 4.04, as applicable. The Swingline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Borrower in such amount. The Administrative Agent shall remit the funds so received to the Swingline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62" w:name="page63"/>
    <w:bookmarkEnd w:id="62"/>
    <w:p>
      <w:pPr>
        <w:ind w:left="440" w:firstLine="419"/>
        <w:spacing w:after="0" w:line="286" w:lineRule="auto"/>
        <w:tabs>
          <w:tab w:leader="none" w:pos="126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 Revolving Lender (through the Administrative Agent) with respect to any amounts owing under this clause (ii) shall be conclusive absent manifest error.</w:t>
      </w:r>
    </w:p>
    <w:p>
      <w:pPr>
        <w:spacing w:after="0" w:line="65" w:lineRule="exact"/>
        <w:rPr>
          <w:rFonts w:ascii="Arial" w:cs="Arial" w:eastAsia="Arial" w:hAnsi="Arial"/>
          <w:sz w:val="16"/>
          <w:szCs w:val="16"/>
          <w:color w:val="auto"/>
        </w:rPr>
      </w:pPr>
    </w:p>
    <w:p>
      <w:pPr>
        <w:ind w:left="440" w:right="20" w:firstLine="419"/>
        <w:spacing w:after="0" w:line="272" w:lineRule="auto"/>
        <w:tabs>
          <w:tab w:leader="none" w:pos="13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Revolving Lender’s obligation to make Base Rate Loans pursuant to this Section 2.04(c) is subject to the conditions set forth in Section 4.03 or Section 4.04, as applicable. No such funding of risk participations shall relieve or otherwise impair the obligation of the Borrower to repay Swingline Loans, together with interest as provided herein.</w:t>
      </w:r>
    </w:p>
    <w:p>
      <w:pPr>
        <w:spacing w:after="0" w:line="177" w:lineRule="exact"/>
        <w:rPr>
          <w:sz w:val="20"/>
          <w:szCs w:val="20"/>
          <w:color w:val="auto"/>
        </w:rPr>
      </w:pPr>
    </w:p>
    <w:p>
      <w:pPr>
        <w:ind w:right="480" w:firstLine="987"/>
        <w:spacing w:after="0" w:line="263" w:lineRule="auto"/>
        <w:tabs>
          <w:tab w:leader="none" w:pos="1381" w:val="left"/>
        </w:tabs>
        <w:numPr>
          <w:ilvl w:val="1"/>
          <w:numId w:val="47"/>
        </w:numPr>
        <w:rPr>
          <w:rFonts w:ascii="Arial" w:cs="Arial" w:eastAsia="Arial" w:hAnsi="Arial"/>
          <w:sz w:val="18"/>
          <w:szCs w:val="18"/>
          <w:color w:val="auto"/>
        </w:rPr>
      </w:pPr>
      <w:r>
        <w:rPr>
          <w:rFonts w:ascii="Arial" w:cs="Arial" w:eastAsia="Arial" w:hAnsi="Arial"/>
          <w:sz w:val="18"/>
          <w:szCs w:val="18"/>
          <w:color w:val="auto"/>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75" w:lineRule="exact"/>
        <w:rPr>
          <w:rFonts w:ascii="Arial" w:cs="Arial" w:eastAsia="Arial" w:hAnsi="Arial"/>
          <w:sz w:val="18"/>
          <w:szCs w:val="18"/>
          <w:color w:val="auto"/>
        </w:rPr>
      </w:pPr>
    </w:p>
    <w:p>
      <w:pPr>
        <w:ind w:left="440" w:firstLine="419"/>
        <w:spacing w:after="0" w:line="257" w:lineRule="auto"/>
        <w:tabs>
          <w:tab w:leader="none" w:pos="1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from time to time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3" w:name="page64"/>
    <w:bookmarkEnd w:id="63"/>
    <w:p>
      <w:pPr>
        <w:ind w:left="42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The Administrative Agent will make such demand upon the request of the Swingline Lender. The obligations of the Revolving Lenders under this clause shall survive the payment in full of the Obligations and the termination of this Agreement.</w:t>
      </w:r>
    </w:p>
    <w:p>
      <w:pPr>
        <w:spacing w:after="0" w:line="170" w:lineRule="exact"/>
        <w:rPr>
          <w:sz w:val="20"/>
          <w:szCs w:val="20"/>
          <w:color w:val="auto"/>
        </w:rPr>
      </w:pPr>
    </w:p>
    <w:p>
      <w:pPr>
        <w:ind w:left="-20" w:right="160" w:firstLine="987"/>
        <w:spacing w:after="0" w:line="286" w:lineRule="auto"/>
        <w:tabs>
          <w:tab w:leader="none" w:pos="13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Swingline Lender shall be responsible for invoicing the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165" w:lineRule="exact"/>
        <w:rPr>
          <w:rFonts w:ascii="Arial" w:cs="Arial" w:eastAsia="Arial" w:hAnsi="Arial"/>
          <w:sz w:val="17"/>
          <w:szCs w:val="17"/>
          <w:color w:val="auto"/>
        </w:rPr>
      </w:pPr>
    </w:p>
    <w:p>
      <w:pPr>
        <w:ind w:left="1320" w:hanging="353"/>
        <w:spacing w:after="0"/>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Borrower shall make all payments of principal and interest in respect of its Swingline Loans directly to the Swingline Lender.</w:t>
      </w:r>
    </w:p>
    <w:p>
      <w:pPr>
        <w:spacing w:after="0" w:line="34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Letters of Credit.</w:t>
      </w:r>
    </w:p>
    <w:p>
      <w:pPr>
        <w:spacing w:after="0" w:line="117" w:lineRule="exact"/>
        <w:rPr>
          <w:sz w:val="20"/>
          <w:szCs w:val="20"/>
          <w:color w:val="auto"/>
        </w:rPr>
      </w:pPr>
    </w:p>
    <w:p>
      <w:pPr>
        <w:ind w:left="1220" w:hanging="381"/>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sz w:val="20"/>
          <w:szCs w:val="20"/>
          <w:color w:val="auto"/>
        </w:rPr>
      </w:pPr>
    </w:p>
    <w:p>
      <w:pPr>
        <w:ind w:left="420" w:firstLine="419"/>
        <w:spacing w:after="0" w:line="286" w:lineRule="auto"/>
        <w:tabs>
          <w:tab w:leader="none" w:pos="11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Issuing Bank agrees, in reliance upon the agreements of the Revolving Lenders set forth in this Section 2.05, (1) from time to time on any Business Day during the period from the Closing Date until the Letter of Credit Expiration Date, to issue Letters of Credit denominated in Dollars or in one or more Alternative Currencies for the account of the Borrower or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aggregate L/C Exposure shall not exceed the L/C Exposure Sublimit, (y) the total Revolving Credit Exposures shall not exceed the total Revolving Commitments, and (z) such Issuing Bank’s Credit Exposure shall not exceed its Revolving Commitment;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Goldman Sachs Bank USA (or any of its Affiliates) is an Issuing Bank for the purposes of this Agreement only in respect of standby Letters of Credit.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59" w:lineRule="exact"/>
        <w:rPr>
          <w:rFonts w:ascii="Arial" w:cs="Arial" w:eastAsia="Arial" w:hAnsi="Arial"/>
          <w:sz w:val="16"/>
          <w:szCs w:val="16"/>
          <w:color w:val="auto"/>
        </w:rPr>
      </w:pPr>
    </w:p>
    <w:p>
      <w:pPr>
        <w:ind w:left="420" w:right="200" w:firstLine="419"/>
        <w:spacing w:after="0" w:line="259" w:lineRule="auto"/>
        <w:tabs>
          <w:tab w:leader="none" w:pos="12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64" w:name="page65"/>
    <w:bookmarkEnd w:id="6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 shall immediately Cash Collateralize the then Outstanding Amount of all L/C Exposure in accordance with Section 2.05(g)).</w:t>
      </w:r>
    </w:p>
    <w:p>
      <w:pPr>
        <w:spacing w:after="0" w:line="41" w:lineRule="exact"/>
        <w:rPr>
          <w:sz w:val="20"/>
          <w:szCs w:val="20"/>
          <w:color w:val="auto"/>
        </w:rPr>
      </w:pPr>
    </w:p>
    <w:p>
      <w:pPr>
        <w:ind w:left="860" w:hanging="441"/>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Issuing Bank shall be under any obligation to issue any Letter of Credit if:</w:t>
      </w:r>
    </w:p>
    <w:p>
      <w:pPr>
        <w:spacing w:after="0" w:line="117" w:lineRule="exact"/>
        <w:rPr>
          <w:sz w:val="20"/>
          <w:szCs w:val="20"/>
          <w:color w:val="auto"/>
        </w:rPr>
      </w:pPr>
    </w:p>
    <w:p>
      <w:pPr>
        <w:ind w:firstLine="419"/>
        <w:spacing w:after="0" w:line="272" w:lineRule="auto"/>
        <w:tabs>
          <w:tab w:leader="none" w:pos="8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69" w:lineRule="exact"/>
        <w:rPr>
          <w:rFonts w:ascii="Arial" w:cs="Arial" w:eastAsia="Arial" w:hAnsi="Arial"/>
          <w:sz w:val="17"/>
          <w:szCs w:val="17"/>
          <w:color w:val="auto"/>
        </w:rPr>
      </w:pPr>
    </w:p>
    <w:p>
      <w:pPr>
        <w:ind w:left="840" w:hanging="421"/>
        <w:spacing w:after="0"/>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 credit generally;</w:t>
      </w:r>
    </w:p>
    <w:p>
      <w:pPr>
        <w:spacing w:after="0" w:line="140" w:lineRule="exact"/>
        <w:rPr>
          <w:rFonts w:ascii="Arial" w:cs="Arial" w:eastAsia="Arial" w:hAnsi="Arial"/>
          <w:sz w:val="16"/>
          <w:szCs w:val="16"/>
          <w:color w:val="auto"/>
        </w:rPr>
      </w:pPr>
    </w:p>
    <w:p>
      <w:pPr>
        <w:ind w:right="20" w:firstLine="419"/>
        <w:spacing w:after="0" w:line="277" w:lineRule="auto"/>
        <w:tabs>
          <w:tab w:leader="none" w:pos="8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in an initial stated amount less than $100,000, in the case of a commercial Letter of Credit, or $500,000, in the case of a standby Letter of Credit;</w:t>
      </w:r>
    </w:p>
    <w:p>
      <w:pPr>
        <w:spacing w:after="0" w:line="62" w:lineRule="exact"/>
        <w:rPr>
          <w:rFonts w:ascii="Arial" w:cs="Arial" w:eastAsia="Arial" w:hAnsi="Arial"/>
          <w:sz w:val="18"/>
          <w:szCs w:val="18"/>
          <w:color w:val="auto"/>
        </w:rPr>
      </w:pPr>
    </w:p>
    <w:p>
      <w:pPr>
        <w:ind w:right="540" w:firstLine="419"/>
        <w:spacing w:after="0" w:line="277" w:lineRule="auto"/>
        <w:tabs>
          <w:tab w:leader="none" w:pos="8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to be denominated in a currency other than Dollars or an Alternative Currency;</w:t>
      </w:r>
    </w:p>
    <w:p>
      <w:pPr>
        <w:spacing w:after="0" w:line="62" w:lineRule="exact"/>
        <w:rPr>
          <w:rFonts w:ascii="Arial" w:cs="Arial" w:eastAsia="Arial" w:hAnsi="Arial"/>
          <w:sz w:val="18"/>
          <w:szCs w:val="18"/>
          <w:color w:val="auto"/>
        </w:rPr>
      </w:pPr>
    </w:p>
    <w:p>
      <w:pPr>
        <w:ind w:left="820" w:hanging="401"/>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Issuing Bank does not as of the issuance date of such requested Letter of Credit issue Letters of Credit in the requested currency;</w:t>
      </w:r>
    </w:p>
    <w:p>
      <w:pPr>
        <w:spacing w:after="0" w:line="140" w:lineRule="exact"/>
        <w:rPr>
          <w:rFonts w:ascii="Arial" w:cs="Arial" w:eastAsia="Arial" w:hAnsi="Arial"/>
          <w:sz w:val="16"/>
          <w:szCs w:val="16"/>
          <w:color w:val="auto"/>
        </w:rPr>
      </w:pPr>
    </w:p>
    <w:p>
      <w:pPr>
        <w:ind w:left="820" w:hanging="401"/>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 or</w:t>
      </w:r>
    </w:p>
    <w:p>
      <w:pPr>
        <w:spacing w:after="0" w:line="128" w:lineRule="exact"/>
        <w:rPr>
          <w:rFonts w:ascii="Arial" w:cs="Arial" w:eastAsia="Arial" w:hAnsi="Arial"/>
          <w:sz w:val="17"/>
          <w:szCs w:val="17"/>
          <w:color w:val="auto"/>
        </w:rPr>
      </w:pPr>
    </w:p>
    <w:p>
      <w:pPr>
        <w:ind w:right="460" w:firstLine="419"/>
        <w:spacing w:after="0" w:line="311" w:lineRule="auto"/>
        <w:tabs>
          <w:tab w:leader="none" w:pos="85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default of any Revolving Lender’s obligations to fund under Section 2.05(c) exists or any Revolving Lender is at such time a Defaulting Lender hereunder, unless such Issuing Bank has entered into satisfactory arrangements (in such Issuing Bank’s sole and absolute discretion) with the Borrower or such Revolving Lender to eliminate such Issuing Bank’s risk with respect to such Revolving Lender.</w:t>
      </w:r>
    </w:p>
    <w:p>
      <w:pPr>
        <w:spacing w:after="0" w:line="41" w:lineRule="exact"/>
        <w:rPr>
          <w:sz w:val="20"/>
          <w:szCs w:val="20"/>
          <w:color w:val="auto"/>
        </w:rPr>
      </w:pPr>
    </w:p>
    <w:p>
      <w:pPr>
        <w:ind w:right="280" w:firstLine="419"/>
        <w:spacing w:after="0" w:line="277" w:lineRule="auto"/>
        <w:tabs>
          <w:tab w:leader="none" w:pos="8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Issuing Bank shall amend any Letter of Credit if such Issuing Bank would not be permitted at such time to issue such Letter of Credit in its amended form under the terms hereof.</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20"/>
          </w:cols>
          <w:pgMar w:left="880" w:top="274" w:right="499" w:bottom="1440" w:gutter="0" w:footer="0" w:header="0"/>
        </w:sectPr>
      </w:pPr>
    </w:p>
    <w:bookmarkStart w:id="65" w:name="page66"/>
    <w:bookmarkEnd w:id="65"/>
    <w:p>
      <w:pPr>
        <w:ind w:right="60" w:firstLine="419"/>
        <w:spacing w:after="0" w:line="263" w:lineRule="auto"/>
        <w:tabs>
          <w:tab w:leader="none" w:pos="813"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right="40" w:firstLine="419"/>
        <w:spacing w:after="0" w:line="296" w:lineRule="auto"/>
        <w:tabs>
          <w:tab w:leader="none" w:pos="8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pacing w:after="0" w:line="269" w:lineRule="exact"/>
        <w:rPr>
          <w:sz w:val="20"/>
          <w:szCs w:val="20"/>
          <w:color w:val="auto"/>
        </w:rPr>
      </w:pPr>
    </w:p>
    <w:p>
      <w:pPr>
        <w:ind w:left="940" w:hanging="393"/>
        <w:spacing w:after="0"/>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19"/>
        <w:spacing w:after="0" w:line="286" w:lineRule="auto"/>
        <w:tabs>
          <w:tab w:leader="none" w:pos="773"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the applicable Issuing Bank may require. Additionally, the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59" w:lineRule="exact"/>
        <w:rPr>
          <w:rFonts w:ascii="Arial" w:cs="Arial" w:eastAsia="Arial" w:hAnsi="Arial"/>
          <w:sz w:val="16"/>
          <w:szCs w:val="16"/>
          <w:color w:val="auto"/>
        </w:rPr>
      </w:pPr>
    </w:p>
    <w:p>
      <w:pPr>
        <w:ind w:firstLine="419"/>
        <w:spacing w:after="0" w:line="263" w:lineRule="auto"/>
        <w:tabs>
          <w:tab w:leader="none" w:pos="8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4" w:right="459" w:bottom="1440" w:gutter="0" w:footer="0" w:header="0"/>
        </w:sectPr>
      </w:pPr>
    </w:p>
    <w:bookmarkStart w:id="66" w:name="page67"/>
    <w:bookmarkEnd w:id="6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pacing w:after="0" w:line="70" w:lineRule="exact"/>
        <w:rPr>
          <w:sz w:val="20"/>
          <w:szCs w:val="20"/>
          <w:color w:val="auto"/>
        </w:rPr>
      </w:pPr>
    </w:p>
    <w:p>
      <w:pPr>
        <w:ind w:firstLine="419"/>
        <w:spacing w:after="0" w:line="286" w:lineRule="auto"/>
        <w:tabs>
          <w:tab w:leader="none" w:pos="8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Issuing Bank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Issuing Bank, the Borrower shall not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ten Business Days before the Non-Extension Notice Date (1) from the Administrative Agent that the Required Lenders have elected not to permit such extension or (2) from the Administrative Agent, or any Revolving Lender or the Borrower that one or more of the applicable conditions specified in Section 4.03 or Section 4.04, as applicable, is not then satisfied, and in each such case directing such Issuing Bank not to permit such extension.</w:t>
      </w:r>
    </w:p>
    <w:p>
      <w:pPr>
        <w:spacing w:after="0" w:line="62" w:lineRule="exact"/>
        <w:rPr>
          <w:rFonts w:ascii="Arial" w:cs="Arial" w:eastAsia="Arial" w:hAnsi="Arial"/>
          <w:sz w:val="16"/>
          <w:szCs w:val="16"/>
          <w:color w:val="auto"/>
        </w:rPr>
      </w:pPr>
    </w:p>
    <w:p>
      <w:pPr>
        <w:ind w:firstLine="419"/>
        <w:spacing w:after="0" w:line="263" w:lineRule="auto"/>
        <w:tabs>
          <w:tab w:leader="none" w:pos="8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291" w:lineRule="exact"/>
        <w:rPr>
          <w:rFonts w:ascii="Arial" w:cs="Arial" w:eastAsia="Arial" w:hAnsi="Arial"/>
          <w:sz w:val="18"/>
          <w:szCs w:val="18"/>
          <w:color w:val="auto"/>
        </w:rPr>
      </w:pPr>
    </w:p>
    <w:p>
      <w:pPr>
        <w:ind w:left="920" w:hanging="373"/>
        <w:spacing w:after="0"/>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63" w:lineRule="auto"/>
        <w:tabs>
          <w:tab w:leader="none" w:pos="7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Issuing Bank shall notify the Borrower and the Administrative Agent thereof. In the case of a Letter of Credit denominated in an Alternative Currency, the Borrower shall reimburse the applicable Issuing Bank in such</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67" w:name="page68"/>
    <w:bookmarkEnd w:id="6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an Alternative Currency, the applicable Issuing Bank shall notify the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Arial" w:cs="Arial" w:eastAsia="Arial" w:hAnsi="Arial"/>
          <w:sz w:val="17"/>
          <w:szCs w:val="17"/>
          <w:u w:val="single" w:color="auto"/>
          <w:color w:val="auto"/>
        </w:rPr>
        <w:t>Honor</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Borrower 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 Dollar amount paid by the Borrower on the date of payment by the Borrower (whether on or after the Honor Date) shall not be adequate on the date of such payment to purchase in accordance with normal banking procedures a sum denominated in the Alternative Currency equal to the drawing, the Borrower agrees, as a separate and independent obligation, to indemnify the applicable Issuing Bank for the loss resulting from its inability on that date to purchase the Alternative Currency in the full amount of the drawing. If the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Revolving Lender’s Applicable Percentage thereof. In such event, the Borrower shall be deemed to have requested a Revolving Credit Borrowing of Base Rate Loans to be disbursed on the Business Day following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4.03 or Section 4.04, as applicable (other than the delivery of a Borrowing Request). Any notice given by the applicable Issuing Bank or the Administrative Agent pursuant to this Section 2.05(c)(i)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4" w:lineRule="exact"/>
        <w:rPr>
          <w:sz w:val="20"/>
          <w:szCs w:val="20"/>
          <w:color w:val="auto"/>
        </w:rPr>
      </w:pPr>
    </w:p>
    <w:p>
      <w:pPr>
        <w:ind w:firstLine="419"/>
        <w:spacing w:after="0" w:line="255" w:lineRule="auto"/>
        <w:tabs>
          <w:tab w:leader="none" w:pos="8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Borrower in such amount. The Administrative Agent shall remit the funds so received to the applicable Issuing Bank in Dollars.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60"/>
          </w:cols>
          <w:pgMar w:left="880" w:top="274" w:right="459" w:bottom="1440" w:gutter="0" w:footer="0" w:header="0"/>
        </w:sectPr>
      </w:pPr>
    </w:p>
    <w:bookmarkStart w:id="68" w:name="page69"/>
    <w:bookmarkEnd w:id="68"/>
    <w:p>
      <w:pPr>
        <w:ind w:left="4" w:right="20" w:firstLine="419"/>
        <w:spacing w:after="0" w:line="253" w:lineRule="auto"/>
        <w:tabs>
          <w:tab w:leader="none" w:pos="876"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drawing under any Letter of Credit is not reimbursed on the date of drawing, the Dollar Equivalent of the amount of such drawing shall accrue interest at the rate applicable to Base Rate Revolving Loans; provided that with respect to any Unreimbursed Amount in respect of a Letter of Credit that is not fully refinanced by a Revolving Borrowing of Base Rate Loans because the conditions set forth in Section 4.03 or Section 4.04, as applicable,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88" w:lineRule="exact"/>
        <w:rPr>
          <w:rFonts w:ascii="Arial" w:cs="Arial" w:eastAsia="Arial" w:hAnsi="Arial"/>
          <w:sz w:val="18"/>
          <w:szCs w:val="18"/>
          <w:color w:val="auto"/>
        </w:rPr>
      </w:pPr>
    </w:p>
    <w:p>
      <w:pPr>
        <w:ind w:left="4" w:right="20" w:firstLine="419"/>
        <w:spacing w:after="0" w:line="263" w:lineRule="auto"/>
        <w:tabs>
          <w:tab w:leader="none" w:pos="8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pacing w:after="0" w:line="75" w:lineRule="exact"/>
        <w:rPr>
          <w:rFonts w:ascii="Arial" w:cs="Arial" w:eastAsia="Arial" w:hAnsi="Arial"/>
          <w:sz w:val="18"/>
          <w:szCs w:val="18"/>
          <w:color w:val="auto"/>
        </w:rPr>
      </w:pPr>
    </w:p>
    <w:p>
      <w:pPr>
        <w:ind w:left="4" w:right="160" w:firstLine="419"/>
        <w:spacing w:after="0" w:line="286" w:lineRule="auto"/>
        <w:tabs>
          <w:tab w:leader="none" w:pos="816"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the Borrower, any Subsidiary or any other Person for any reason whatsoever; (B) the occurrence or continuance of a Default, or</w:t>
      </w:r>
    </w:p>
    <w:p>
      <w:pPr>
        <w:spacing w:after="0" w:line="1" w:lineRule="exact"/>
        <w:rPr>
          <w:rFonts w:ascii="Arial" w:cs="Arial" w:eastAsia="Arial" w:hAnsi="Arial"/>
          <w:sz w:val="16"/>
          <w:szCs w:val="16"/>
          <w:color w:val="auto"/>
        </w:rPr>
      </w:pPr>
    </w:p>
    <w:p>
      <w:pPr>
        <w:ind w:left="4" w:hanging="4"/>
        <w:spacing w:after="0" w:line="253" w:lineRule="auto"/>
        <w:tabs>
          <w:tab w:leader="none" w:pos="2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Revolving Loans pursuant to this Section 2.05(c) is subject to the conditions set forth in Section 4.03 or Section 4.04, as applicable (other than delivery by the Borrower of a Borrowing Request). No such making of an L/C Advance shall relieve or otherwise impair the obligation of the Borrower to reimburse an Issuing Bank for the amount of any payment made by such Issuing Bank under any Letter of Credit, together with interest as provided herein.</w:t>
      </w:r>
    </w:p>
    <w:p>
      <w:pPr>
        <w:spacing w:after="0" w:line="82" w:lineRule="exact"/>
        <w:rPr>
          <w:rFonts w:ascii="Arial" w:cs="Arial" w:eastAsia="Arial" w:hAnsi="Arial"/>
          <w:sz w:val="18"/>
          <w:szCs w:val="18"/>
          <w:color w:val="auto"/>
        </w:rPr>
      </w:pPr>
    </w:p>
    <w:p>
      <w:pPr>
        <w:ind w:left="4" w:right="20" w:firstLine="419"/>
        <w:spacing w:after="0" w:line="271" w:lineRule="auto"/>
        <w:tabs>
          <w:tab w:leader="none" w:pos="866"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any Revolving Lender fails to make available to the Administrative Agent for the account of an Issuing Bank any amount required to be paid by such Revolving Lender pursuant to the foregoing provisions of this Section 2.05(c) by the time specified in Section 2.05(c)(ii),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If such Revolving Lender pays such amount (with interest and fees as aforesaid), the amount so paid shall constitute such Revolving Lender’s Revolving Loan included in the relevant Borrowing or L/C</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4"/>
          </w:cols>
          <w:pgMar w:left="876" w:top="274" w:right="459" w:bottom="1440" w:gutter="0" w:footer="0" w:header="0"/>
        </w:sectPr>
      </w:pPr>
    </w:p>
    <w:bookmarkStart w:id="69" w:name="page70"/>
    <w:bookmarkEnd w:id="69"/>
    <w:p>
      <w:pPr>
        <w:ind w:left="420"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Advance in respect of the relevant L/C Borrowing, as the case may be. A certificate of an Issuing Bank submitted to any Lender (through the Administrative Agent) with respect to any amounts owing under this clause (vi) shall be conclusive absent manifest error.</w:t>
      </w:r>
    </w:p>
    <w:p>
      <w:pPr>
        <w:spacing w:after="0" w:line="254" w:lineRule="exact"/>
        <w:rPr>
          <w:sz w:val="20"/>
          <w:szCs w:val="20"/>
          <w:color w:val="auto"/>
        </w:rPr>
      </w:pPr>
    </w:p>
    <w:p>
      <w:pPr>
        <w:ind w:left="1360" w:hanging="393"/>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19"/>
        <w:spacing w:after="0" w:line="296" w:lineRule="auto"/>
        <w:tabs>
          <w:tab w:leader="none" w:pos="11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53" w:lineRule="exact"/>
        <w:rPr>
          <w:rFonts w:ascii="Arial" w:cs="Arial" w:eastAsia="Arial" w:hAnsi="Arial"/>
          <w:sz w:val="16"/>
          <w:szCs w:val="16"/>
          <w:color w:val="auto"/>
        </w:rPr>
      </w:pPr>
    </w:p>
    <w:p>
      <w:pPr>
        <w:ind w:left="420" w:firstLine="419"/>
        <w:spacing w:after="0" w:line="273" w:lineRule="auto"/>
        <w:tabs>
          <w:tab w:leader="none" w:pos="12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Issuing Bank pursuant to Section 2.05(c)(i)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ind w:left="-20" w:right="80" w:firstLine="987"/>
        <w:spacing w:after="0" w:line="286" w:lineRule="auto"/>
        <w:tabs>
          <w:tab w:leader="none" w:pos="135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 of the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Issuing Bank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such Issuing Bank’s protection and not the protection of any Loan Party or any Subsidiary or any waiver by any Issuing Bank which does not in fact materially prejudice the Borrower;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60" w:top="274" w:right="459" w:bottom="1440" w:gutter="0" w:footer="0" w:header="0"/>
        </w:sectPr>
      </w:pPr>
    </w:p>
    <w:bookmarkStart w:id="70" w:name="page71"/>
    <w:bookmarkEnd w:id="70"/>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w:t>
      </w:r>
    </w:p>
    <w:p>
      <w:pPr>
        <w:spacing w:after="0" w:line="172" w:lineRule="exact"/>
        <w:rPr>
          <w:sz w:val="20"/>
          <w:szCs w:val="20"/>
          <w:color w:val="auto"/>
        </w:rPr>
      </w:pPr>
    </w:p>
    <w:p>
      <w:pPr>
        <w:ind w:left="4" w:right="80" w:firstLine="987"/>
        <w:spacing w:after="0" w:line="284" w:lineRule="auto"/>
        <w:tabs>
          <w:tab w:leader="none" w:pos="135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Role of Issuing Banks</w:t>
      </w:r>
      <w:r>
        <w:rPr>
          <w:rFonts w:ascii="Arial" w:cs="Arial" w:eastAsia="Arial" w:hAnsi="Arial"/>
          <w:sz w:val="16"/>
          <w:szCs w:val="16"/>
          <w:color w:val="auto"/>
        </w:rPr>
        <w:t>. Each Revolving Lender and the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4" w:lineRule="exact"/>
        <w:rPr>
          <w:rFonts w:ascii="Arial" w:cs="Arial" w:eastAsia="Arial" w:hAnsi="Arial"/>
          <w:sz w:val="16"/>
          <w:szCs w:val="16"/>
          <w:color w:val="auto"/>
        </w:rPr>
      </w:pPr>
    </w:p>
    <w:p>
      <w:pPr>
        <w:ind w:left="4" w:right="220" w:hanging="4"/>
        <w:spacing w:after="0" w:line="281" w:lineRule="auto"/>
        <w:tabs>
          <w:tab w:leader="none" w:pos="31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through (ix) of Section 2.05(e);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Borrower may have a claim against any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4" w:right="479" w:bottom="1440" w:gutter="0" w:footer="0" w:header="0"/>
        </w:sectPr>
      </w:pPr>
    </w:p>
    <w:bookmarkStart w:id="71" w:name="page72"/>
    <w:bookmarkEnd w:id="71"/>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292" w:lineRule="exact"/>
        <w:rPr>
          <w:sz w:val="20"/>
          <w:szCs w:val="20"/>
          <w:color w:val="auto"/>
        </w:rPr>
      </w:pPr>
    </w:p>
    <w:p>
      <w:pPr>
        <w:ind w:left="1384" w:hanging="393"/>
        <w:spacing w:after="0"/>
        <w:tabs>
          <w:tab w:leader="none" w:pos="1384"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60" w:firstLine="419"/>
        <w:spacing w:after="0" w:line="259" w:lineRule="auto"/>
        <w:tabs>
          <w:tab w:leader="none" w:pos="12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the Borrower shall, in each case, immediately Cash Collateralize the then Outstanding Amount of all L/C Exposure attributable to the Letters of Credit issued for the benefit of the Borrower.</w:t>
      </w:r>
    </w:p>
    <w:p>
      <w:pPr>
        <w:spacing w:after="0" w:line="78" w:lineRule="exact"/>
        <w:rPr>
          <w:rFonts w:ascii="Arial" w:cs="Arial" w:eastAsia="Arial" w:hAnsi="Arial"/>
          <w:sz w:val="18"/>
          <w:szCs w:val="18"/>
          <w:color w:val="auto"/>
        </w:rPr>
      </w:pPr>
    </w:p>
    <w:p>
      <w:pPr>
        <w:ind w:left="1264" w:hanging="401"/>
        <w:spacing w:after="0"/>
        <w:tabs>
          <w:tab w:leader="none" w:pos="12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4" w:right="240" w:firstLine="419"/>
        <w:spacing w:after="0" w:line="277" w:lineRule="auto"/>
        <w:tabs>
          <w:tab w:leader="none" w:pos="13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an Event of Default, upon the request of the Required Lenders, the Borrower shall immediately Cash Collateralize the then L/C Exposure of all Revolving Lenders.</w:t>
      </w:r>
    </w:p>
    <w:p>
      <w:pPr>
        <w:spacing w:after="0" w:line="170" w:lineRule="exact"/>
        <w:rPr>
          <w:rFonts w:ascii="Arial" w:cs="Arial" w:eastAsia="Arial" w:hAnsi="Arial"/>
          <w:sz w:val="18"/>
          <w:szCs w:val="18"/>
          <w:color w:val="auto"/>
        </w:rPr>
      </w:pPr>
    </w:p>
    <w:p>
      <w:pPr>
        <w:ind w:left="4" w:right="60" w:firstLine="987"/>
        <w:spacing w:after="0" w:line="291" w:lineRule="auto"/>
        <w:tabs>
          <w:tab w:leader="none" w:pos="1385"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Issuing Banks and the Borrower when a Letter of Credit is issued (including any such agreement applicable to an Existing Letter of Credit), (i) the rules of the ISP shall apply to each standby Letter of Credit, and</w:t>
      </w:r>
    </w:p>
    <w:p>
      <w:pPr>
        <w:ind w:left="4" w:hanging="4"/>
        <w:spacing w:after="0" w:line="251" w:lineRule="auto"/>
        <w:tabs>
          <w:tab w:leader="none" w:pos="2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each Issuing Bank’s rights and remedies against the Borrower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 to any Letter of Credit or this Agreement, including the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6" w:lineRule="exact"/>
        <w:rPr>
          <w:rFonts w:ascii="Arial" w:cs="Arial" w:eastAsia="Arial" w:hAnsi="Arial"/>
          <w:sz w:val="18"/>
          <w:szCs w:val="18"/>
          <w:color w:val="auto"/>
        </w:rPr>
      </w:pPr>
    </w:p>
    <w:p>
      <w:pPr>
        <w:ind w:left="4" w:right="380" w:firstLine="987"/>
        <w:spacing w:after="0" w:line="277" w:lineRule="auto"/>
        <w:tabs>
          <w:tab w:leader="none" w:pos="1345"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72" w:name="page73"/>
    <w:bookmarkEnd w:id="72"/>
    <w:p>
      <w:pPr>
        <w:ind w:right="20" w:firstLine="987"/>
        <w:spacing w:after="0" w:line="301" w:lineRule="auto"/>
        <w:tabs>
          <w:tab w:leader="none" w:pos="134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Letters of Credit Issued for Subsidiaries or the Borrower</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7" w:lineRule="exact"/>
        <w:rPr>
          <w:rFonts w:ascii="Arial" w:cs="Arial" w:eastAsia="Arial" w:hAnsi="Arial"/>
          <w:sz w:val="16"/>
          <w:szCs w:val="16"/>
          <w:color w:val="auto"/>
        </w:rPr>
      </w:pPr>
    </w:p>
    <w:p>
      <w:pPr>
        <w:ind w:firstLine="987"/>
        <w:spacing w:after="0" w:line="287" w:lineRule="auto"/>
        <w:tabs>
          <w:tab w:leader="none" w:pos="138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Release of Lenders’ Obligations</w:t>
      </w:r>
      <w:r>
        <w:rPr>
          <w:rFonts w:ascii="Arial" w:cs="Arial" w:eastAsia="Arial" w:hAnsi="Arial"/>
          <w:sz w:val="16"/>
          <w:szCs w:val="16"/>
          <w:color w:val="auto"/>
        </w:rPr>
        <w:t xml:space="preserve">. Notwithstanding anything to the contrary contained herein or in any other Loan Document, in the event that (i) an Issuing Bank shall have issued, in accordance with Section 2.05(a)(ii)(B), a Letter of Credit with an expiry date occurring after the Letter of Credit Expiration Date and (ii) the Borrower shall have Cash Collateralized the Outstanding Amount of all such L/C Exposure in respect of such Letter of Credit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obligations of each Lender hereunder to the applicable Issuing Bank in respect of such Letter of Credit shall be revived if any Cash Collateral provided by the Borrower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28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Funding of Borrowings.</w:t>
      </w:r>
    </w:p>
    <w:p>
      <w:pPr>
        <w:spacing w:after="0" w:line="117" w:lineRule="exact"/>
        <w:rPr>
          <w:sz w:val="20"/>
          <w:szCs w:val="20"/>
          <w:color w:val="auto"/>
        </w:rPr>
      </w:pPr>
    </w:p>
    <w:p>
      <w:pPr>
        <w:ind w:firstLine="987"/>
        <w:spacing w:after="0" w:line="289" w:lineRule="auto"/>
        <w:tabs>
          <w:tab w:leader="none" w:pos="137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in Same Day Funds (i) 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2.04. The Administrative Agent will make such Loans available to the Borrower by promptly crediting the amounts so received, in like funds, to (x) an account designated by the Borrower in the applicable Borrowing Request, in the case of Loans denominated in Dollars and (y) an account of the Borrower in the relevant jurisdiction and designated by the Borrower in the applicable Borrowing Request, in the case of Loans denominated in an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Base Rate Revolving Loans made to finance the reimbursement of an L/C Disbursement as provided in Section 2.05(c) shall be remitted by the Administrative Agent to the relevant Issuing Bank.</w:t>
      </w:r>
    </w:p>
    <w:p>
      <w:pPr>
        <w:spacing w:after="0" w:line="166" w:lineRule="exact"/>
        <w:rPr>
          <w:rFonts w:ascii="Arial" w:cs="Arial" w:eastAsia="Arial" w:hAnsi="Arial"/>
          <w:sz w:val="16"/>
          <w:szCs w:val="16"/>
          <w:color w:val="auto"/>
        </w:rPr>
      </w:pPr>
    </w:p>
    <w:p>
      <w:pPr>
        <w:ind w:right="340" w:firstLine="987"/>
        <w:spacing w:after="0" w:line="308" w:lineRule="auto"/>
        <w:tabs>
          <w:tab w:leader="none" w:pos="1381"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time of any Borrowing that such Lender will not make available to the Administrative Agent such Lender’s share of such Borrowing, the Administrative Agent may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3" w:name="page74"/>
    <w:bookmarkEnd w:id="7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82"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SECTION 2.07 Market Disruption; Successor LIBOR. (a) Notwithstanding the satisfaction of all conditions referred to in Article II 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Eurocurrency Borrowings or Letters of Credit comprising such Credit Event to be denominated in the Alternative Currency specified by the Borrower or (ii) the Dollar Equivalent of such currency is not readily calculable, then the Administrative Agent shall forthwith give notice thereof to the Borrower, the Lenders and, if such Credit Event is a Letter of Credit, the relevant Issuing Bank, and such Credit Events shall not be denominated in such Alternative Currency but shall, except as otherwise set forth in Section 2.06, be made on the date of such Credit Event in Dollars, (a) if such Credit Event is a Borrowing, in an aggregate principal amount equal to the Dollar Equivalent of the aggregate principal amount specified in the related Borrowing Request or Interest Election Request, as the case may be, unless the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 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Borrower notifies the Administrative Agent at least one (1) Business Day before such date that (i) it elects not to request the issuance of such 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4" w:name="page75"/>
    <w:bookmarkEnd w:id="74"/>
    <w:p>
      <w:pPr>
        <w:ind w:left="4" w:right="20" w:firstLine="987"/>
        <w:spacing w:after="0" w:line="286" w:lineRule="auto"/>
        <w:tabs>
          <w:tab w:leader="none" w:pos="1385" w:val="left"/>
        </w:tabs>
        <w:numPr>
          <w:ilvl w:val="1"/>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57" w:lineRule="exact"/>
        <w:rPr>
          <w:rFonts w:ascii="Arial" w:cs="Arial" w:eastAsia="Arial" w:hAnsi="Arial"/>
          <w:sz w:val="17"/>
          <w:szCs w:val="17"/>
          <w:color w:val="auto"/>
        </w:rPr>
      </w:pPr>
    </w:p>
    <w:p>
      <w:pPr>
        <w:ind w:left="444" w:right="180" w:firstLine="419"/>
        <w:spacing w:after="0" w:line="263" w:lineRule="auto"/>
        <w:tabs>
          <w:tab w:leader="none" w:pos="12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 Applicable Currency for any requested Interest Period, including because the LIBOR Screen Rate for such Applicable Currency is not available or published on a current basis and such circumstances are unlikely to be temporary; or</w:t>
      </w:r>
    </w:p>
    <w:p>
      <w:pPr>
        <w:spacing w:after="0" w:line="75" w:lineRule="exact"/>
        <w:rPr>
          <w:rFonts w:ascii="Arial" w:cs="Arial" w:eastAsia="Arial" w:hAnsi="Arial"/>
          <w:sz w:val="18"/>
          <w:szCs w:val="18"/>
          <w:color w:val="auto"/>
        </w:rPr>
      </w:pPr>
    </w:p>
    <w:p>
      <w:pPr>
        <w:ind w:left="444" w:right="120" w:firstLine="419"/>
        <w:spacing w:after="0" w:line="255" w:lineRule="auto"/>
        <w:tabs>
          <w:tab w:leader="none" w:pos="1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of the LIBOR Screen Rate for an Applicable Currency or a Governmental Authority having jurisdiction over the Administrative Agent has made a public statement identifying a specific date after which LIBOR for an Applicable Currency or the LIBOR Screen Rate for an Applicable Currency shall no longer be made available, or used for determining the interest rate of loans denominated in such Applicable Currency, provided that, in each case, at the time of such statement, there is no successor administrator that is satisfactory to the Administrative Agent, that will continue to provide LIBOR for such for an Applicable Currency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84" w:lineRule="exact"/>
        <w:rPr>
          <w:rFonts w:ascii="Arial" w:cs="Arial" w:eastAsia="Arial" w:hAnsi="Arial"/>
          <w:sz w:val="18"/>
          <w:szCs w:val="18"/>
          <w:color w:val="auto"/>
        </w:rPr>
      </w:pPr>
    </w:p>
    <w:p>
      <w:pPr>
        <w:jc w:val="both"/>
        <w:ind w:left="444" w:right="640" w:firstLine="419"/>
        <w:spacing w:after="0" w:line="342" w:lineRule="auto"/>
        <w:tabs>
          <w:tab w:leader="none" w:pos="1317" w:val="left"/>
        </w:tabs>
        <w:numPr>
          <w:ilvl w:val="0"/>
          <w:numId w:val="74"/>
        </w:numPr>
        <w:rPr>
          <w:rFonts w:ascii="Arial" w:cs="Arial" w:eastAsia="Arial" w:hAnsi="Arial"/>
          <w:sz w:val="16"/>
          <w:szCs w:val="16"/>
          <w:color w:val="auto"/>
        </w:rPr>
      </w:pPr>
      <w:r>
        <w:rPr>
          <w:rFonts w:ascii="Arial" w:cs="Arial" w:eastAsia="Arial" w:hAnsi="Arial"/>
          <w:sz w:val="16"/>
          <w:szCs w:val="16"/>
          <w:color w:val="auto"/>
        </w:rPr>
        <w:t>syndicated loans currently being executed, or that include language similar to that contained in this Section 2.07(b), are being executed or amended (as applicable) to incorporate or adopt a new benchmark interest rate to replace LIBOR for an Applicable Currency,</w:t>
      </w:r>
    </w:p>
    <w:p>
      <w:pPr>
        <w:spacing w:after="0" w:line="124"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 may amend this Agreement solely for the purpose of replacing LIBOR for the Applicable Currency in accordance with this Section 2.07(b) with (x) in the case of Dollars, one or more SOFR-Based Rates or (y) another alternate benchmark rate giving due consideration to any evolving or then existing convention for similar syndicated credit facilities syndicated in the U.S. and denominated in the Applicable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Applicable Currency for such benchmarks,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Arial" w:cs="Arial" w:eastAsia="Arial" w:hAnsi="Arial"/>
          <w:sz w:val="16"/>
          <w:szCs w:val="16"/>
          <w:u w:val="single" w:color="auto"/>
          <w:color w:val="auto"/>
        </w:rPr>
        <w:t>Adjustment</w:t>
      </w:r>
      <w:r>
        <w:rPr>
          <w:rFonts w:ascii="Arial" w:cs="Arial" w:eastAsia="Arial" w:hAnsi="Arial"/>
          <w:sz w:val="16"/>
          <w:szCs w:val="16"/>
          <w:color w:val="auto"/>
        </w:rPr>
        <w:t>;” and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w:t>
      </w:r>
    </w:p>
    <w:p>
      <w:pPr>
        <w:spacing w:after="0" w:line="4" w:lineRule="exact"/>
        <w:rPr>
          <w:sz w:val="20"/>
          <w:szCs w:val="20"/>
          <w:color w:val="auto"/>
        </w:rPr>
      </w:pPr>
    </w:p>
    <w:p>
      <w:pPr>
        <w:ind w:left="4" w:right="340" w:hanging="4"/>
        <w:spacing w:after="0" w:line="255" w:lineRule="auto"/>
        <w:tabs>
          <w:tab w:leader="none" w:pos="2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the case of an amendment to replace LIBOR with respect to Eurocurrency Loans denominated in Dollars with a rate described in clause (x), object to any Adjustment; or (B) in the case of an amendment to replace LIBOR with respect to Eurocurrency Loans denominated in the Applicable Currency with a rate described in clause (y), object to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4" w:right="479" w:bottom="1440" w:gutter="0" w:footer="0" w:header="0"/>
        </w:sectPr>
      </w:pPr>
    </w:p>
    <w:bookmarkStart w:id="75" w:name="page76"/>
    <w:bookmarkEnd w:id="75"/>
    <w:p>
      <w:pPr>
        <w:ind w:left="4"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for such Applicable Currency shall be applied in a manner as otherwise reasonably determined by the Administrative Agent after consultation with the Borrower.</w:t>
      </w:r>
    </w:p>
    <w:p>
      <w:pPr>
        <w:spacing w:after="0" w:line="171"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If no LIBOR Successor Rate for the Applicable Currency has been determined and the circumstances under clause (i) of this Section 2.07(b) exist or the Scheduled Unavailability Date has occurred (as applicable), the Administrative Agent will promptly so notify the Borrower and each Lender. Thereafter,</w:t>
      </w:r>
    </w:p>
    <w:p>
      <w:pPr>
        <w:ind w:left="4" w:hanging="4"/>
        <w:spacing w:after="0" w:line="267" w:lineRule="auto"/>
        <w:tabs>
          <w:tab w:leader="none" w:pos="2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obligation of the Lenders to make or maintain Eurocurrency Loans in such Applicable Currency shall be suspended, (to the extent of the affected Eurocurrency Loans or Interest Periods), and (y) the Eurocurrency rate component shall no longer be utilized in determining the Base Rate. Upon receipt of such notice, (i) the Borrower may revoke any pending request for a Borrowing of, conversion to or continuation of Eurocurrency Loans in each such affected Applicable Currency (to the extent of the affected Eurocurrency Loans or Interest Periods) or, failing that, will be deemed to have converted each such request into a request for a Borrowing of Base Rate Loans (subject to the foregoing clause (y)) denominated in Dollars in the Dollar Equivalent of the amount specified therein and (ii) (A) any outstanding affected Eurocurrency Loans denominated in Dollars will be deemed to have been converted into Base Rate Loans at the end of the applicable Interest Period and (B) any outstanding affected Eurocurrency Loans denominated in an Alternative Currency, at the Borrower’s election, shall either (1) be converted into a Borrowing of Base Rate Loans denominated in Dollars in the Dollar Equivalent of the amount of such outstanding Eurocurrency Loan at the end of the applicable Interest Period or (2) be prepaid at the end of the applicable Interest Period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election is made by the Borrower by the earlier of (x) the date that is three Business Days after receipt by the Borrower of such notice and (y) the last day of the current Interest Period for the applicable Eurocurrency Loan, the Borrower shall be deemed to have elected clause (1) above.</w:t>
      </w:r>
    </w:p>
    <w:p>
      <w:pPr>
        <w:spacing w:after="0" w:line="184"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for any currency shall provide that in no event shall such LIBOR Successor Rate be less than zero for purposes of this Agreement.</w:t>
      </w:r>
    </w:p>
    <w:p>
      <w:pPr>
        <w:spacing w:after="0" w:line="170"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In connection with the implementation of a LIBOR Successor Rate for any currency, the Administrative Agent will have the right to make LIBOR Successor Rate Conforming Changes with respect to such currency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Conforming Changes for the Applicable Currency to the Lenders reasonably promptly after such amendment becomes effective.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above:</w:t>
      </w:r>
    </w:p>
    <w:p>
      <w:pPr>
        <w:spacing w:after="0" w:line="225" w:lineRule="exact"/>
        <w:rPr>
          <w:sz w:val="20"/>
          <w:szCs w:val="20"/>
          <w:color w:val="auto"/>
        </w:rPr>
      </w:pPr>
    </w:p>
    <w:p>
      <w:pPr>
        <w:ind w:left="4"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Screen Rate</w:t>
      </w:r>
      <w:r>
        <w:rPr>
          <w:rFonts w:ascii="Arial" w:cs="Arial" w:eastAsia="Arial" w:hAnsi="Arial"/>
          <w:sz w:val="16"/>
          <w:szCs w:val="16"/>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6" w:name="page77"/>
    <w:bookmarkEnd w:id="76"/>
    <w:p>
      <w:pPr>
        <w:ind w:right="8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reasonable discretion of the Administrative Agent in consultation with the Borrower,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reasonably determines in consultation with the Borrower).</w:t>
      </w:r>
    </w:p>
    <w:p>
      <w:pPr>
        <w:spacing w:after="0" w:line="17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Termination and Reduction of Commitments.</w:t>
      </w:r>
    </w:p>
    <w:p>
      <w:pPr>
        <w:spacing w:after="0" w:line="117" w:lineRule="exact"/>
        <w:rPr>
          <w:sz w:val="20"/>
          <w:szCs w:val="20"/>
          <w:color w:val="auto"/>
        </w:rPr>
      </w:pPr>
    </w:p>
    <w:p>
      <w:pPr>
        <w:jc w:val="both"/>
        <w:ind w:right="140" w:firstLine="987"/>
        <w:spacing w:after="0" w:line="263"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Unless previously terminated, all Revolving Commitments of any Class shall terminate on the Revolving Credit Maturity Date with respect to such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Closing Date has not occurred prior to the Commitment Termination Date, all Revolving Commitments shall terminate on the Commitment Termination Date.</w:t>
      </w:r>
    </w:p>
    <w:p>
      <w:pPr>
        <w:spacing w:after="0" w:line="183" w:lineRule="exact"/>
        <w:rPr>
          <w:rFonts w:ascii="Arial" w:cs="Arial" w:eastAsia="Arial" w:hAnsi="Arial"/>
          <w:sz w:val="18"/>
          <w:szCs w:val="18"/>
          <w:color w:val="auto"/>
        </w:rPr>
      </w:pPr>
    </w:p>
    <w:p>
      <w:pPr>
        <w:ind w:right="280" w:firstLine="987"/>
        <w:spacing w:after="0" w:line="257" w:lineRule="auto"/>
        <w:tabs>
          <w:tab w:leader="none" w:pos="13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Borrower (and, prior to the Combination, Mylan, acting together)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$1,000,000 and not less than $1,000,000, (or, if less, the remaining amount of the Revolving Commitments), (ii) the Borrower shall not terminate or reduce the Revolving Commitments if, after giving effect to any concurrent prepayment of the Loans in accordance with Section 2.10, the total Revolving Credit Exposures would exceed the total Revolving Commitments.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7" w:name="page78"/>
    <w:bookmarkEnd w:id="77"/>
    <w:p>
      <w:pPr>
        <w:ind w:firstLine="987"/>
        <w:spacing w:after="0" w:line="270" w:lineRule="auto"/>
        <w:tabs>
          <w:tab w:leader="none" w:pos="1368"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28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Repayment of Loans; Evidence of Debt.</w:t>
      </w:r>
    </w:p>
    <w:p>
      <w:pPr>
        <w:spacing w:after="0" w:line="117" w:lineRule="exact"/>
        <w:rPr>
          <w:sz w:val="20"/>
          <w:szCs w:val="20"/>
          <w:color w:val="auto"/>
        </w:rPr>
      </w:pPr>
    </w:p>
    <w:p>
      <w:pPr>
        <w:ind w:right="60" w:firstLine="987"/>
        <w:spacing w:after="0" w:line="254" w:lineRule="auto"/>
        <w:tabs>
          <w:tab w:leader="none" w:pos="13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any Class made to the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Loan is made, the Borrower shall repay all Swingline Loans then outstanding.</w:t>
      </w:r>
    </w:p>
    <w:p>
      <w:pPr>
        <w:spacing w:after="0" w:line="194" w:lineRule="exact"/>
        <w:rPr>
          <w:rFonts w:ascii="Arial" w:cs="Arial" w:eastAsia="Arial" w:hAnsi="Arial"/>
          <w:sz w:val="18"/>
          <w:szCs w:val="18"/>
          <w:color w:val="auto"/>
        </w:rPr>
      </w:pPr>
    </w:p>
    <w:p>
      <w:pPr>
        <w:ind w:right="40" w:firstLine="987"/>
        <w:spacing w:after="0" w:line="263" w:lineRule="auto"/>
        <w:tabs>
          <w:tab w:leader="none" w:pos="13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20" w:firstLine="987"/>
        <w:spacing w:after="0" w:line="259" w:lineRule="auto"/>
        <w:tabs>
          <w:tab w:leader="none" w:pos="13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160" w:firstLine="987"/>
        <w:spacing w:after="0" w:line="259" w:lineRule="auto"/>
        <w:tabs>
          <w:tab w:leader="none" w:pos="13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8" w:name="page79"/>
    <w:bookmarkEnd w:id="78"/>
    <w:p>
      <w:pPr>
        <w:ind w:right="60" w:firstLine="987"/>
        <w:spacing w:after="0" w:line="301" w:lineRule="auto"/>
        <w:tabs>
          <w:tab w:leader="none" w:pos="1361"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Prepayment of Loans.</w:t>
      </w:r>
    </w:p>
    <w:p>
      <w:pPr>
        <w:spacing w:after="0" w:line="117" w:lineRule="exact"/>
        <w:rPr>
          <w:sz w:val="20"/>
          <w:szCs w:val="20"/>
          <w:color w:val="auto"/>
        </w:rPr>
      </w:pPr>
    </w:p>
    <w:p>
      <w:pPr>
        <w:ind w:firstLine="987"/>
        <w:spacing w:after="0" w:line="263" w:lineRule="auto"/>
        <w:tabs>
          <w:tab w:leader="none" w:pos="1371"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(i) The Borrower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75" w:lineRule="exact"/>
        <w:rPr>
          <w:rFonts w:ascii="Arial" w:cs="Arial" w:eastAsia="Arial" w:hAnsi="Arial"/>
          <w:sz w:val="18"/>
          <w:szCs w:val="18"/>
          <w:color w:val="auto"/>
        </w:rPr>
      </w:pPr>
    </w:p>
    <w:p>
      <w:pPr>
        <w:ind w:left="440" w:right="80" w:firstLine="419"/>
        <w:spacing w:after="0" w:line="291" w:lineRule="auto"/>
        <w:tabs>
          <w:tab w:leader="none" w:pos="1259"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(and, in the case of prepayment of a Swingline Loan, the Swingline Lender) by telephone (confirmed by telecopy or transmission by electronic communication in accordance with Section 9.01(b)) of any prepayment hereunder</w:t>
      </w:r>
    </w:p>
    <w:p>
      <w:pPr>
        <w:ind w:left="440" w:hanging="4"/>
        <w:spacing w:after="0" w:line="267"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(x) in the case of prepayment of a Eurocurrency Borrowing in Dollars, not later than 2:00 p.m., New York City time, three (3) Business Days before the date of prepayment, or (y) four Business Days (or five, in the case of prepayment of Loans denominated in Special Notice Currencies) prior to any date of prepayment of Eurocurrency Loans denominated in Alternative Currencies, (ii) in the case of prepayment of a Base Rate Borrowing,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 accompanied by accrued interest to the extent required by Section 2.12 and shall be subject to Section 2.15.</w:t>
      </w:r>
    </w:p>
    <w:p>
      <w:pPr>
        <w:spacing w:after="0" w:line="292" w:lineRule="exact"/>
        <w:rPr>
          <w:rFonts w:ascii="Arial" w:cs="Arial" w:eastAsia="Arial" w:hAnsi="Arial"/>
          <w:sz w:val="17"/>
          <w:szCs w:val="17"/>
          <w:color w:val="auto"/>
        </w:rPr>
      </w:pPr>
    </w:p>
    <w:p>
      <w:pPr>
        <w:ind w:left="1380" w:hanging="393"/>
        <w:spacing w:after="0"/>
        <w:tabs>
          <w:tab w:leader="none" w:pos="1380" w:val="left"/>
        </w:tabs>
        <w:numPr>
          <w:ilvl w:val="2"/>
          <w:numId w:val="83"/>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If the Administrative Agent notifies the Borrower at any time that the Revolving Credit Exposure at such time exceeds an amount equal to 105% of the Revolving Commitments then in effect, then, within two Business Days after receipt of such notice, the Borrower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9" w:name="page80"/>
    <w:bookmarkEnd w:id="7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prepay Loans and/or Cash Collateralize the L/C Exposure in an aggregate amount sufficient to reduce such Revolving Credit Exposure as of such date of payment to an amount not to exceed 100% of the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30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color w:val="auto"/>
        </w:rPr>
        <w:t>Fees.</w:t>
      </w:r>
    </w:p>
    <w:p>
      <w:pPr>
        <w:spacing w:after="0" w:line="117" w:lineRule="exact"/>
        <w:rPr>
          <w:sz w:val="20"/>
          <w:szCs w:val="20"/>
          <w:color w:val="auto"/>
        </w:rPr>
      </w:pPr>
    </w:p>
    <w:p>
      <w:pPr>
        <w:ind w:right="60" w:firstLine="987"/>
        <w:spacing w:after="0" w:line="268" w:lineRule="auto"/>
        <w:tabs>
          <w:tab w:leader="none" w:pos="13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 so long as such Lender shall be a Defaulting Lender except to the extent that such facility fee shall otherwise have been due and payable by the Borrower prior to such time;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84" w:lineRule="exact"/>
        <w:rPr>
          <w:rFonts w:ascii="Arial" w:cs="Arial" w:eastAsia="Arial" w:hAnsi="Arial"/>
          <w:sz w:val="17"/>
          <w:szCs w:val="17"/>
          <w:color w:val="auto"/>
        </w:rPr>
      </w:pPr>
    </w:p>
    <w:p>
      <w:pPr>
        <w:ind w:right="20" w:firstLine="987"/>
        <w:spacing w:after="0" w:line="270" w:lineRule="auto"/>
        <w:tabs>
          <w:tab w:leader="none" w:pos="137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Eurocurrency Revolving Loans on the average daily Dollar Equivalent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and (ii) to each Issuing Bank a fronting fee, which shall accrue at the rate of 0.125% per annum on the average daily Dollar Equivalent of the L/C Exposure (excluding any portion thereof attributable to unreimbursed L/C Disbursements) attributable to Letters of Credit issued by such Issuing Bank during the period from and including the Closing Date to but excluding the later of the date of termination of the Revolving Commitments and the date on which there ceases to be any L/C Exposure, as well as such Issuing Bank’s standard fees and commissions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80" w:name="page81"/>
    <w:bookmarkEnd w:id="8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66" w:lineRule="exact"/>
        <w:rPr>
          <w:sz w:val="20"/>
          <w:szCs w:val="20"/>
          <w:color w:val="auto"/>
        </w:rPr>
      </w:pPr>
    </w:p>
    <w:p>
      <w:pPr>
        <w:ind w:firstLine="987"/>
        <w:spacing w:after="0" w:line="273" w:lineRule="auto"/>
        <w:tabs>
          <w:tab w:leader="none" w:pos="136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Revolving Lender a ticking fee in an amount equal to the product of (i) 0.25% per annum multiplied by (ii) the average daily amount of the Revolving Commitment held by each Revolving Lender. The ticking fee shall accrue from and including the Effective Date until the earlier of (x) the Closing Date and (y) the termination or abandonment of the Business Combination Agreement, which ticking fee shall be due and payable on such earlier date. The ticking fee shall be computed on the basis of a year of 360 days and shall be payable for the actual number of days elapsed (including the first day but excluding the last day). For the avoidance of doubt, the ticking fee shall be payable irrespective of whether the Closing Date occurs or any Loans are made.</w:t>
      </w:r>
    </w:p>
    <w:p>
      <w:pPr>
        <w:spacing w:after="0" w:line="177" w:lineRule="exact"/>
        <w:rPr>
          <w:rFonts w:ascii="Arial" w:cs="Arial" w:eastAsia="Arial" w:hAnsi="Arial"/>
          <w:sz w:val="17"/>
          <w:szCs w:val="17"/>
          <w:color w:val="auto"/>
        </w:rPr>
      </w:pPr>
    </w:p>
    <w:p>
      <w:pPr>
        <w:ind w:right="60" w:firstLine="987"/>
        <w:spacing w:after="0" w:line="277" w:lineRule="auto"/>
        <w:tabs>
          <w:tab w:leader="none" w:pos="13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right="200" w:firstLine="987"/>
        <w:spacing w:after="0" w:line="263" w:lineRule="auto"/>
        <w:tabs>
          <w:tab w:leader="none" w:pos="13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in Same Day Funds, to the Administrative Agent (or to the relevant Issuing Bank, in the case of fees payable to it) for distribution, in the case of facility fees, participation fees and ticking fees, to the Lenders. Fees paid shall not be refundable under any circumstances.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color w:val="auto"/>
        </w:rPr>
        <w:t>Interest.</w:t>
      </w:r>
    </w:p>
    <w:p>
      <w:pPr>
        <w:spacing w:after="0" w:line="117" w:lineRule="exact"/>
        <w:rPr>
          <w:sz w:val="20"/>
          <w:szCs w:val="20"/>
          <w:color w:val="auto"/>
        </w:rPr>
      </w:pPr>
    </w:p>
    <w:p>
      <w:pPr>
        <w:ind w:right="100" w:firstLine="987"/>
        <w:spacing w:after="0" w:line="277" w:lineRule="auto"/>
        <w:tabs>
          <w:tab w:leader="none" w:pos="13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Loans comprising each Base Rate Borrowing (including each Swingline Loan) shall bear interest at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320" w:firstLine="987"/>
        <w:spacing w:after="0" w:line="277" w:lineRule="auto"/>
        <w:tabs>
          <w:tab w:leader="none" w:pos="13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240" w:firstLine="987"/>
        <w:spacing w:after="0" w:line="255" w:lineRule="auto"/>
        <w:tabs>
          <w:tab w:leader="none" w:pos="13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Notwithstanding the foregoing, at any time (x) an Event of Default has occurred and is continuing under clauses (h), (i) or (j) of Article VII or (y) if any principal of or interest on any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81" w:name="page82"/>
    <w:bookmarkEnd w:id="81"/>
    <w:p>
      <w:pPr>
        <w:ind w:right="20" w:firstLine="987"/>
        <w:spacing w:after="0" w:line="273" w:lineRule="auto"/>
        <w:tabs>
          <w:tab w:leader="none" w:pos="1371"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shall be payable on demand, (ii) in the event of any repayment or prepayment of any Loan (other than a prepayment of a Base Rate Revolving Loan prior to the end of the Availability Period or a Swingline Loan),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ind w:firstLine="987"/>
        <w:spacing w:after="0" w:line="293" w:lineRule="auto"/>
        <w:tabs>
          <w:tab w:leader="none" w:pos="1361"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(i) computed by reference to the Base Rate shall be computed on the basis of a year of 365 days (or 366 days in a leap year), (ii) for Borrowings denominated in Sterling shall be computed on the basis of a year of 365 days, and in each case, shall be payable for the actual number of days elapsed (including the first day but excluding the last day) and (iii) in the case of interest in respect of Loans denominated in Alternative Currencies as to which market practice differs from the foregoing, shall be computed in accordance with such market practice. The applicable Base Rate or LIBO Rate shall be determined by the Administrative Agent in accordance with the provisions of this Agreement, and such determination shall be conclusive absent manifest error.</w:t>
      </w:r>
    </w:p>
    <w:p>
      <w:pPr>
        <w:spacing w:after="0" w:line="164"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color w:val="auto"/>
        </w:rPr>
        <w:t>Alternate Rate of Interest. If prior to the commencement of any Interest Period for a Eurocurrency Borrowing (whether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or an Alternative Currency):</w:t>
      </w:r>
    </w:p>
    <w:p>
      <w:pPr>
        <w:spacing w:after="0" w:line="211" w:lineRule="exact"/>
        <w:rPr>
          <w:sz w:val="20"/>
          <w:szCs w:val="20"/>
          <w:color w:val="auto"/>
        </w:rPr>
      </w:pPr>
    </w:p>
    <w:p>
      <w:pPr>
        <w:ind w:right="180" w:firstLine="987"/>
        <w:spacing w:after="0" w:line="293" w:lineRule="auto"/>
        <w:tabs>
          <w:tab w:leader="none" w:pos="13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that (x) deposits (whether in Dollars or an Alternative Currency) are not being offered to banks in the applicable offshore interbank eurodollar market for such currency for the applicable amount and Interest Period of such Eurocurrency Loan, (y) adequate and reasonable means do not exist for ascertaining the LIBO Rate for such Interest Period and the circumstances specified in Section 2.07(b)(i)(b) do not apply or (z) a fundamental change has occurred in the foreign exchange or interbank markets with respect to such Alternative Currency (including, without limitation, changes in national or international financial, political or economic conditions or currency exchange rates or exchange controls) (in each case with respect to clause (a), the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164" w:lineRule="exact"/>
        <w:rPr>
          <w:rFonts w:ascii="Arial" w:cs="Arial" w:eastAsia="Arial" w:hAnsi="Arial"/>
          <w:sz w:val="16"/>
          <w:szCs w:val="16"/>
          <w:color w:val="auto"/>
        </w:rPr>
      </w:pPr>
    </w:p>
    <w:p>
      <w:pPr>
        <w:ind w:right="300" w:firstLine="987"/>
        <w:spacing w:after="0" w:line="308" w:lineRule="auto"/>
        <w:tabs>
          <w:tab w:leader="none" w:pos="13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telecopy or transmission by electronic communication in accordance with Section 9.01 as promptly as practicable thereafter and, until the Administrative Agent notifies the Borrower and the Lenders that the circumstances giving rise to such notice no longer exist, (i) any Interest Election Request that requests the conversion of any Revolving Borrowing to,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40" w:top="274" w:right="499" w:bottom="1440" w:gutter="0" w:footer="0" w:header="0"/>
        </w:sectPr>
      </w:pPr>
    </w:p>
    <w:bookmarkStart w:id="82" w:name="page83"/>
    <w:bookmarkEnd w:id="8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continuation of any Revolving Borrowing as, a Eurocurrency Borrowing shall be ineffective and such Revolving Borrowing shall be converted to or continued on the last day of the Interest Period applicable thereto (A) if such Revolving Borrowing is denominated in Dollars, as a Base Rate Borrowing, or (B) if such Revolving Borrowing is denominated in an Alternative Currency, as a Revolving Borrowing bearing interest at such rate as the Administrative Agent and the Borrower may agree adequately reflects the costs to the Lenders of making or maintaining their Loans (or, in the absence of such agreement, such Revolving Borrowing shall be repaid as of the last day of the current Interest Period applicable thereto), (ii) if any Borrowing Request requests a Eurocurrency Revolving Borrowing denominated in Dollars, such Borrowing shall be made as a Base Rate Borrowing (or such Revolving Borrowing shall not be made if the Borrower revokes (and, in such circumstances, such Borrowing Request may be revoked notwithstanding any other provision of this Agreement) by telephone, confirmed promptly in writing, not later than one Business Day prior to the proposed date of such Borrowing) and (iii) if any Borrowing Request requests a Eurocurrency Revolving Borrowing in an Alternative Currency, such Borrowing shall be made as a Revolving Borrowing bearing interest at such rate as the Administrative Agent and the Borrower may agree adequately reflects the costs to the Lenders of making or maintaining their Loans or, in the absence of such agreement, such Borrowing Request shall be automatically revoked notwithstanding any other provision of this Agreement.</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Notwithstanding the foregoing, if the Administrative Agent has made the determination described in this section,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Upon the Administrative Agent’s election to establish an alternative rate of interest pursuant to this paragraph, the Borrower may revoke any pending request for a Borrowing of, conversion to or continuation of Eurocurrency Loans in the affected currency or currencies (to the extent of the affected Eurocurrency Rate Loans or Interest Periods) without payment of any amount specified in Section 2.15, provided that such repayment is effected promptly upon receipt of such notice.</w:t>
      </w:r>
    </w:p>
    <w:p>
      <w:pPr>
        <w:spacing w:after="0" w:line="2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color w:val="auto"/>
        </w:rPr>
        <w:t>Increased Costs.</w:t>
      </w:r>
    </w:p>
    <w:p>
      <w:pPr>
        <w:spacing w:after="0" w:line="117" w:lineRule="exact"/>
        <w:rPr>
          <w:sz w:val="20"/>
          <w:szCs w:val="20"/>
          <w:color w:val="auto"/>
        </w:rPr>
      </w:pPr>
    </w:p>
    <w:p>
      <w:pPr>
        <w:ind w:left="1240" w:hanging="38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sz w:val="20"/>
          <w:szCs w:val="20"/>
          <w:color w:val="auto"/>
        </w:rPr>
      </w:pPr>
    </w:p>
    <w:p>
      <w:pPr>
        <w:ind w:left="440" w:right="440" w:firstLine="419"/>
        <w:spacing w:after="0" w:line="277" w:lineRule="auto"/>
        <w:tabs>
          <w:tab w:leader="none" w:pos="12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83" w:name="page84"/>
    <w:bookmarkEnd w:id="83"/>
    <w:p>
      <w:pPr>
        <w:ind w:left="440" w:right="220" w:firstLine="419"/>
        <w:spacing w:after="0" w:line="308" w:lineRule="auto"/>
        <w:tabs>
          <w:tab w:leader="none" w:pos="1263"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38" w:lineRule="exact"/>
        <w:rPr>
          <w:rFonts w:ascii="Arial" w:cs="Arial" w:eastAsia="Arial" w:hAnsi="Arial"/>
          <w:sz w:val="17"/>
          <w:szCs w:val="17"/>
          <w:color w:val="auto"/>
        </w:rPr>
      </w:pPr>
    </w:p>
    <w:p>
      <w:pPr>
        <w:ind w:left="440" w:right="800" w:firstLine="419"/>
        <w:spacing w:after="0" w:line="277" w:lineRule="auto"/>
        <w:tabs>
          <w:tab w:leader="none" w:pos="131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affecting this Agreement or Eurocurrency Loans made by such Lender or any Letter of Credit or participation therein;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5" w:lineRule="exact"/>
        <w:rPr>
          <w:sz w:val="20"/>
          <w:szCs w:val="20"/>
          <w:color w:val="auto"/>
        </w:rPr>
      </w:pPr>
    </w:p>
    <w:p>
      <w:pPr>
        <w:ind w:right="20" w:firstLine="987"/>
        <w:spacing w:after="0" w:line="253" w:lineRule="auto"/>
        <w:tabs>
          <w:tab w:leader="none" w:pos="138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upon the request of such Lender or such Issuing Bank,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6" w:lineRule="exact"/>
        <w:rPr>
          <w:rFonts w:ascii="Arial" w:cs="Arial" w:eastAsia="Arial" w:hAnsi="Arial"/>
          <w:sz w:val="18"/>
          <w:szCs w:val="18"/>
          <w:color w:val="auto"/>
        </w:rPr>
      </w:pPr>
    </w:p>
    <w:p>
      <w:pPr>
        <w:ind w:right="220" w:firstLine="987"/>
        <w:spacing w:after="0" w:line="301" w:lineRule="auto"/>
        <w:tabs>
          <w:tab w:leader="none" w:pos="136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(or such later date as may be agreed by the applicable Lender) after receipt thereof.</w:t>
      </w:r>
    </w:p>
    <w:p>
      <w:pPr>
        <w:spacing w:after="0" w:line="157" w:lineRule="exact"/>
        <w:rPr>
          <w:rFonts w:ascii="Arial" w:cs="Arial" w:eastAsia="Arial" w:hAnsi="Arial"/>
          <w:sz w:val="16"/>
          <w:szCs w:val="16"/>
          <w:color w:val="auto"/>
        </w:rPr>
      </w:pPr>
    </w:p>
    <w:p>
      <w:pPr>
        <w:ind w:right="20" w:firstLine="987"/>
        <w:spacing w:after="0" w:line="277" w:lineRule="auto"/>
        <w:tabs>
          <w:tab w:leader="none" w:pos="1381"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Failure or delay on the part of any Lender or any Issuing Bank to demand compensation pursuant to this Section shall not constitute a waiver of such Lender’s or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4" w:name="page85"/>
    <w:bookmarkEnd w:id="84"/>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Issuing Bank pursuant to this Section for any increased costs or reductions incurred more than 135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76" w:lineRule="exact"/>
        <w:rPr>
          <w:sz w:val="20"/>
          <w:szCs w:val="20"/>
          <w:color w:val="auto"/>
        </w:rPr>
      </w:pPr>
    </w:p>
    <w:p>
      <w:pPr>
        <w:ind w:right="280" w:firstLine="987"/>
        <w:spacing w:after="0" w:line="263" w:lineRule="auto"/>
        <w:tabs>
          <w:tab w:leader="none" w:pos="136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Borrower.</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SECTION 2.15 Break Funding Payments.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84"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color w:val="auto"/>
        </w:rPr>
        <w:t>Taxes.</w:t>
      </w:r>
    </w:p>
    <w:p>
      <w:pPr>
        <w:spacing w:after="0" w:line="117" w:lineRule="exact"/>
        <w:rPr>
          <w:sz w:val="20"/>
          <w:szCs w:val="20"/>
          <w:color w:val="auto"/>
        </w:rPr>
      </w:pPr>
    </w:p>
    <w:p>
      <w:pPr>
        <w:ind w:right="20" w:firstLine="987"/>
        <w:spacing w:after="0" w:line="259"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5" w:name="page86"/>
    <w:bookmarkEnd w:id="8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64" w:lineRule="exact"/>
        <w:rPr>
          <w:sz w:val="20"/>
          <w:szCs w:val="20"/>
          <w:color w:val="auto"/>
        </w:rPr>
      </w:pPr>
    </w:p>
    <w:p>
      <w:pPr>
        <w:jc w:val="both"/>
        <w:ind w:right="120" w:firstLine="987"/>
        <w:spacing w:after="0" w:line="263" w:lineRule="auto"/>
        <w:tabs>
          <w:tab w:leader="none" w:pos="138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291" w:lineRule="exact"/>
        <w:rPr>
          <w:rFonts w:ascii="Arial" w:cs="Arial" w:eastAsia="Arial" w:hAnsi="Arial"/>
          <w:sz w:val="18"/>
          <w:szCs w:val="18"/>
          <w:color w:val="auto"/>
        </w:rPr>
      </w:pPr>
    </w:p>
    <w:p>
      <w:pPr>
        <w:ind w:left="1360" w:hanging="373"/>
        <w:spacing w:after="0"/>
        <w:tabs>
          <w:tab w:leader="none" w:pos="136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419"/>
        <w:spacing w:after="0" w:line="272" w:lineRule="auto"/>
        <w:tabs>
          <w:tab w:leader="none" w:pos="1213"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pacing w:after="0" w:line="69" w:lineRule="exact"/>
        <w:rPr>
          <w:rFonts w:ascii="Arial" w:cs="Arial" w:eastAsia="Arial" w:hAnsi="Arial"/>
          <w:sz w:val="17"/>
          <w:szCs w:val="17"/>
          <w:color w:val="auto"/>
        </w:rPr>
      </w:pPr>
    </w:p>
    <w:p>
      <w:pPr>
        <w:ind w:left="440" w:firstLine="419"/>
        <w:spacing w:after="0" w:line="287" w:lineRule="auto"/>
        <w:tabs>
          <w:tab w:leader="none" w:pos="126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Lender and each Issuing Bank shall, and does hereby, severally indemnify, and shall make payment in respect thereof within 10 days after written demand therefor, (x) the Administrative Agent against any Indemnified Taxes attributable to such Lender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40" w:top="274" w:right="519" w:bottom="1440" w:gutter="0" w:footer="0" w:header="0"/>
        </w:sectPr>
      </w:pPr>
    </w:p>
    <w:bookmarkStart w:id="86" w:name="page87"/>
    <w:bookmarkEnd w:id="86"/>
    <w:p>
      <w:pPr>
        <w:ind w:left="440"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Lender or such Issuing Bank, as the case may be, under this Agreement or any other Loan Document against any amount due to the Administrative Agent or any Loan Party, as applicable, under this clause (ii).</w:t>
      </w:r>
    </w:p>
    <w:p>
      <w:pPr>
        <w:spacing w:after="0" w:line="170" w:lineRule="exact"/>
        <w:rPr>
          <w:sz w:val="20"/>
          <w:szCs w:val="20"/>
          <w:color w:val="auto"/>
        </w:rPr>
      </w:pPr>
    </w:p>
    <w:p>
      <w:pPr>
        <w:ind w:firstLine="987"/>
        <w:spacing w:after="0" w:line="255" w:lineRule="auto"/>
        <w:tabs>
          <w:tab w:leader="none" w:pos="138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92" w:lineRule="exact"/>
        <w:rPr>
          <w:rFonts w:ascii="Arial" w:cs="Arial" w:eastAsia="Arial" w:hAnsi="Arial"/>
          <w:sz w:val="18"/>
          <w:szCs w:val="18"/>
          <w:color w:val="auto"/>
        </w:rPr>
      </w:pPr>
    </w:p>
    <w:p>
      <w:pPr>
        <w:ind w:left="1360" w:hanging="373"/>
        <w:spacing w:after="0"/>
        <w:tabs>
          <w:tab w:leader="none" w:pos="13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87" w:lineRule="auto"/>
        <w:tabs>
          <w:tab w:leader="none" w:pos="1203"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rFonts w:ascii="Arial" w:cs="Arial" w:eastAsia="Arial" w:hAnsi="Arial"/>
          <w:sz w:val="16"/>
          <w:szCs w:val="16"/>
          <w:color w:val="auto"/>
        </w:rPr>
      </w:pPr>
    </w:p>
    <w:p>
      <w:pPr>
        <w:ind w:left="1260" w:hanging="401"/>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40" w:firstLine="910"/>
        <w:spacing w:after="0" w:line="259" w:lineRule="auto"/>
        <w:tabs>
          <w:tab w:leader="none" w:pos="235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260" w:firstLine="910"/>
        <w:spacing w:after="0" w:line="263" w:lineRule="auto"/>
        <w:tabs>
          <w:tab w:leader="none" w:pos="2302"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thereafter upon the reasonable request of the Borrower or the Administrative Agent), whichever of the following is applicable:</w:t>
      </w:r>
    </w:p>
    <w:p>
      <w:pPr>
        <w:spacing w:after="0" w:line="131" w:lineRule="exact"/>
        <w:rPr>
          <w:sz w:val="20"/>
          <w:szCs w:val="20"/>
          <w:color w:val="auto"/>
        </w:rPr>
      </w:pPr>
    </w:p>
    <w:p>
      <w:pPr>
        <w:ind w:left="1420" w:hanging="433"/>
        <w:spacing w:after="0"/>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7"/>
          <w:szCs w:val="17"/>
          <w:color w:val="auto"/>
        </w:rPr>
        <w:t>(x) with respect to payments of interest under any Loan Document, executed copies of IRS Form W-8BEN or</w:t>
      </w:r>
    </w:p>
    <w:p>
      <w:pPr>
        <w:spacing w:after="0" w:line="21" w:lineRule="exact"/>
        <w:rPr>
          <w:sz w:val="20"/>
          <w:szCs w:val="20"/>
          <w:color w:val="auto"/>
        </w:rPr>
      </w:pPr>
    </w:p>
    <w:p>
      <w:pPr>
        <w:ind w:left="1420" w:right="80"/>
        <w:spacing w:after="0" w:line="295" w:lineRule="auto"/>
        <w:rPr>
          <w:sz w:val="20"/>
          <w:szCs w:val="20"/>
          <w:color w:val="auto"/>
        </w:rPr>
      </w:pPr>
      <w:r>
        <w:rPr>
          <w:rFonts w:ascii="Arial" w:cs="Arial" w:eastAsia="Arial" w:hAnsi="Arial"/>
          <w:sz w:val="16"/>
          <w:szCs w:val="16"/>
          <w:color w:val="auto"/>
        </w:rPr>
        <w:t>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67" w:lineRule="exact"/>
        <w:rPr>
          <w:sz w:val="20"/>
          <w:szCs w:val="20"/>
          <w:color w:val="auto"/>
        </w:rPr>
      </w:pPr>
    </w:p>
    <w:p>
      <w:pPr>
        <w:ind w:left="1420" w:hanging="433"/>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1420" w:hanging="433"/>
        <w:spacing w:after="0" w:line="269" w:lineRule="auto"/>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w:t>
      </w:r>
    </w:p>
    <w:p>
      <w:pPr>
        <w:spacing w:after="0" w:line="1" w:lineRule="exact"/>
        <w:rPr>
          <w:rFonts w:ascii="Arial" w:cs="Arial" w:eastAsia="Arial" w:hAnsi="Arial"/>
          <w:sz w:val="17"/>
          <w:szCs w:val="17"/>
          <w:color w:val="auto"/>
        </w:rPr>
      </w:pPr>
    </w:p>
    <w:p>
      <w:pPr>
        <w:ind w:left="1420" w:right="60"/>
        <w:spacing w:after="0" w:line="260" w:lineRule="auto"/>
        <w:rPr>
          <w:rFonts w:ascii="Arial" w:cs="Arial" w:eastAsia="Arial" w:hAnsi="Arial"/>
          <w:sz w:val="17"/>
          <w:szCs w:val="17"/>
          <w:color w:val="auto"/>
        </w:rPr>
      </w:pPr>
      <w:r>
        <w:rPr>
          <w:rFonts w:ascii="Arial" w:cs="Arial" w:eastAsia="Arial" w:hAnsi="Arial"/>
          <w:sz w:val="18"/>
          <w:szCs w:val="18"/>
          <w:color w:val="auto"/>
        </w:rPr>
        <w:t>Section 881(c)(3)(C) of the Code (a “United States Tax Compliance Certificate”) and (y) executed copies of IRS Form W-8BEN or W-BEN-E (or successor form); or</w:t>
      </w:r>
    </w:p>
    <w:p>
      <w:pPr>
        <w:spacing w:after="0" w:line="90" w:lineRule="exact"/>
        <w:rPr>
          <w:rFonts w:ascii="Arial" w:cs="Arial" w:eastAsia="Arial" w:hAnsi="Arial"/>
          <w:sz w:val="17"/>
          <w:szCs w:val="17"/>
          <w:color w:val="auto"/>
        </w:rPr>
      </w:pPr>
    </w:p>
    <w:p>
      <w:pPr>
        <w:ind w:left="1420" w:right="20" w:hanging="433"/>
        <w:spacing w:after="0" w:line="254"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020"/>
          </w:cols>
          <w:pgMar w:left="1420" w:top="274" w:right="459" w:bottom="1440" w:gutter="0" w:footer="0" w:header="0"/>
        </w:sectPr>
      </w:pPr>
    </w:p>
    <w:bookmarkStart w:id="88" w:name="page89"/>
    <w:bookmarkEnd w:id="88"/>
    <w:p>
      <w:pPr>
        <w:ind w:left="960" w:right="80" w:firstLine="910"/>
        <w:spacing w:after="0" w:line="293" w:lineRule="auto"/>
        <w:tabs>
          <w:tab w:leader="none" w:pos="2282" w:val="left"/>
        </w:tabs>
        <w:numPr>
          <w:ilvl w:val="2"/>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60" w:firstLine="910"/>
        <w:spacing w:after="0" w:line="270" w:lineRule="auto"/>
        <w:tabs>
          <w:tab w:leader="none" w:pos="2292" w:val="left"/>
        </w:tabs>
        <w:numPr>
          <w:ilvl w:val="2"/>
          <w:numId w:val="10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2" w:lineRule="exact"/>
        <w:rPr>
          <w:rFonts w:ascii="Arial" w:cs="Arial" w:eastAsia="Arial" w:hAnsi="Arial"/>
          <w:sz w:val="17"/>
          <w:szCs w:val="17"/>
          <w:color w:val="auto"/>
        </w:rPr>
      </w:pPr>
    </w:p>
    <w:p>
      <w:pPr>
        <w:ind w:left="420" w:right="220" w:firstLine="419"/>
        <w:spacing w:after="0" w:line="263" w:lineRule="auto"/>
        <w:tabs>
          <w:tab w:leader="none" w:pos="12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20" w:right="20" w:firstLine="987"/>
        <w:spacing w:after="0" w:line="290" w:lineRule="auto"/>
        <w:tabs>
          <w:tab w:leader="none" w:pos="1331"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 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60" w:top="274" w:right="459" w:bottom="1440" w:gutter="0" w:footer="0" w:header="0"/>
        </w:sectPr>
      </w:pPr>
    </w:p>
    <w:bookmarkStart w:id="89" w:name="page90"/>
    <w:bookmarkEnd w:id="89"/>
    <w:p>
      <w:pPr>
        <w:ind w:left="4"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66" w:lineRule="exact"/>
        <w:rPr>
          <w:sz w:val="20"/>
          <w:szCs w:val="20"/>
          <w:color w:val="auto"/>
        </w:rPr>
      </w:pPr>
    </w:p>
    <w:p>
      <w:pPr>
        <w:ind w:left="4" w:right="160" w:firstLine="987"/>
        <w:spacing w:after="0" w:line="277" w:lineRule="auto"/>
        <w:tabs>
          <w:tab w:leader="none" w:pos="138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Treatment of Swingline Lender and Issuing Bank</w:t>
      </w:r>
      <w:r>
        <w:rPr>
          <w:rFonts w:ascii="Arial" w:cs="Arial" w:eastAsia="Arial" w:hAnsi="Arial"/>
          <w:sz w:val="18"/>
          <w:szCs w:val="18"/>
          <w:color w:val="auto"/>
        </w:rPr>
        <w:t>. For purposes of this Section 2.16, the term “Lender” shall include any Swingline Lender and any Issuing Bank and the term “applicable law” includes FATCA.</w:t>
      </w:r>
    </w:p>
    <w:p>
      <w:pPr>
        <w:spacing w:after="0" w:line="170" w:lineRule="exact"/>
        <w:rPr>
          <w:rFonts w:ascii="Arial" w:cs="Arial" w:eastAsia="Arial" w:hAnsi="Arial"/>
          <w:sz w:val="18"/>
          <w:szCs w:val="18"/>
          <w:color w:val="auto"/>
        </w:rPr>
      </w:pPr>
    </w:p>
    <w:p>
      <w:pPr>
        <w:jc w:val="both"/>
        <w:ind w:left="4" w:firstLine="987"/>
        <w:spacing w:after="0" w:line="263" w:lineRule="auto"/>
        <w:tabs>
          <w:tab w:leader="none" w:pos="138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292"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color w:val="auto"/>
        </w:rPr>
        <w:t>Payments Generally; Pro Rata Treatment; Sharing of Setoffs.</w:t>
      </w:r>
    </w:p>
    <w:p>
      <w:pPr>
        <w:spacing w:after="0" w:line="117" w:lineRule="exact"/>
        <w:rPr>
          <w:sz w:val="20"/>
          <w:szCs w:val="20"/>
          <w:color w:val="auto"/>
        </w:rPr>
      </w:pPr>
    </w:p>
    <w:p>
      <w:pPr>
        <w:ind w:left="4" w:right="20" w:firstLine="987"/>
        <w:spacing w:after="0" w:line="284" w:lineRule="auto"/>
        <w:tabs>
          <w:tab w:leader="none" w:pos="137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 Administrative Agent’s Office for such currency, in each case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w:t>
      </w:r>
    </w:p>
    <w:p>
      <w:pPr>
        <w:spacing w:after="0" w:line="2" w:lineRule="exact"/>
        <w:rPr>
          <w:rFonts w:ascii="Arial" w:cs="Arial" w:eastAsia="Arial" w:hAnsi="Arial"/>
          <w:sz w:val="16"/>
          <w:szCs w:val="16"/>
          <w:color w:val="auto"/>
        </w:rPr>
      </w:pPr>
    </w:p>
    <w:p>
      <w:pPr>
        <w:ind w:left="4" w:right="80" w:hanging="4"/>
        <w:spacing w:after="0" w:line="270" w:lineRule="auto"/>
        <w:tabs>
          <w:tab w:leader="none" w:pos="26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Without 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 receipt thereof. If any payment hereunder</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90" w:name="page91"/>
    <w:bookmarkEnd w:id="9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 all risks of the imposition of any such currency control or exchange regulations.</w:t>
      </w:r>
    </w:p>
    <w:p>
      <w:pPr>
        <w:spacing w:after="0" w:line="192" w:lineRule="exact"/>
        <w:rPr>
          <w:sz w:val="20"/>
          <w:szCs w:val="20"/>
          <w:color w:val="auto"/>
        </w:rPr>
      </w:pPr>
    </w:p>
    <w:p>
      <w:pPr>
        <w:ind w:right="140" w:firstLine="987"/>
        <w:spacing w:after="0" w:line="255" w:lineRule="auto"/>
        <w:tabs>
          <w:tab w:leader="none" w:pos="13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92" w:lineRule="exact"/>
        <w:rPr>
          <w:rFonts w:ascii="Arial" w:cs="Arial" w:eastAsia="Arial" w:hAnsi="Arial"/>
          <w:sz w:val="18"/>
          <w:szCs w:val="18"/>
          <w:color w:val="auto"/>
        </w:rPr>
      </w:pPr>
    </w:p>
    <w:p>
      <w:pPr>
        <w:ind w:firstLine="987"/>
        <w:spacing w:after="0" w:line="286" w:lineRule="auto"/>
        <w:tabs>
          <w:tab w:leader="none" w:pos="137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91" w:name="page92"/>
    <w:bookmarkEnd w:id="91"/>
    <w:p>
      <w:pPr>
        <w:ind w:right="60" w:firstLine="987"/>
        <w:spacing w:after="0" w:line="253" w:lineRule="auto"/>
        <w:tabs>
          <w:tab w:leader="none" w:pos="13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Administrative Agent shall have received notice from the Borrower prior to the date on which any payment is due to the Administrative Agent for the account of the Lenders or the relevant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In such event, if the Borrower has not in fact made such payment, then each of the Lenders or the relevant Issuing Bank, as the case may be, severally agrees to repay to the Administrative Agent forthwith on demand the amount so distributed to such Lender or such Issuing Bank,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196" w:lineRule="exact"/>
        <w:rPr>
          <w:rFonts w:ascii="Arial" w:cs="Arial" w:eastAsia="Arial" w:hAnsi="Arial"/>
          <w:sz w:val="18"/>
          <w:szCs w:val="18"/>
          <w:color w:val="auto"/>
        </w:rPr>
      </w:pPr>
    </w:p>
    <w:p>
      <w:pPr>
        <w:ind w:right="220" w:firstLine="987"/>
        <w:spacing w:after="0" w:line="272" w:lineRule="auto"/>
        <w:tabs>
          <w:tab w:leader="none" w:pos="13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28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color w:val="auto"/>
        </w:rPr>
        <w:t>Mitigation Obligations; Replacement of Lenders.</w:t>
      </w:r>
    </w:p>
    <w:p>
      <w:pPr>
        <w:spacing w:after="0" w:line="117" w:lineRule="exact"/>
        <w:rPr>
          <w:sz w:val="20"/>
          <w:szCs w:val="20"/>
          <w:color w:val="auto"/>
        </w:rPr>
      </w:pPr>
    </w:p>
    <w:p>
      <w:pPr>
        <w:ind w:firstLine="987"/>
        <w:spacing w:after="0" w:line="290" w:lineRule="auto"/>
        <w:tabs>
          <w:tab w:leader="none" w:pos="137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65" w:lineRule="exact"/>
        <w:rPr>
          <w:rFonts w:ascii="Arial" w:cs="Arial" w:eastAsia="Arial" w:hAnsi="Arial"/>
          <w:sz w:val="16"/>
          <w:szCs w:val="16"/>
          <w:color w:val="auto"/>
        </w:rPr>
      </w:pPr>
    </w:p>
    <w:p>
      <w:pPr>
        <w:ind w:right="40" w:firstLine="987"/>
        <w:spacing w:after="0" w:line="259" w:lineRule="auto"/>
        <w:tabs>
          <w:tab w:leader="none" w:pos="13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(1) any Lender requests compensation under Section 2.14, (2) the Borrower is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92" w:name="page93"/>
    <w:bookmarkEnd w:id="9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consent of each Lender or each affected Lender is required but the consent of the Required Lenders is obtained, (5) if any Lender is prohibited under applicable Law from making Loans or Letters of Credit denominated in one or more Alternative Currencies to the Borrower in accordance with the terms of this Agreement, and at such time the Required Lenders are permitted under applicable Law (and have agreed) to make such Loans and Letters of Credit in such Alternative Currencies, or (6)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7" w:lineRule="exact"/>
        <w:rPr>
          <w:sz w:val="20"/>
          <w:szCs w:val="20"/>
          <w:color w:val="auto"/>
        </w:rPr>
      </w:pPr>
    </w:p>
    <w:p>
      <w:pPr>
        <w:ind w:left="440" w:right="120" w:firstLine="419"/>
        <w:spacing w:after="0" w:line="277" w:lineRule="auto"/>
        <w:tabs>
          <w:tab w:leader="none" w:pos="12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62" w:lineRule="exact"/>
        <w:rPr>
          <w:rFonts w:ascii="Arial" w:cs="Arial" w:eastAsia="Arial" w:hAnsi="Arial"/>
          <w:sz w:val="18"/>
          <w:szCs w:val="18"/>
          <w:color w:val="auto"/>
        </w:rPr>
      </w:pPr>
    </w:p>
    <w:p>
      <w:pPr>
        <w:ind w:left="440" w:right="20" w:firstLine="419"/>
        <w:spacing w:after="0" w:line="259" w:lineRule="auto"/>
        <w:tabs>
          <w:tab w:leader="none" w:pos="12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40" w:right="440" w:firstLine="419"/>
        <w:spacing w:after="0" w:line="308" w:lineRule="auto"/>
        <w:tabs>
          <w:tab w:leader="none" w:pos="131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38" w:lineRule="exact"/>
        <w:rPr>
          <w:rFonts w:ascii="Arial" w:cs="Arial" w:eastAsia="Arial" w:hAnsi="Arial"/>
          <w:sz w:val="17"/>
          <w:szCs w:val="17"/>
          <w:color w:val="auto"/>
        </w:rPr>
      </w:pPr>
    </w:p>
    <w:p>
      <w:pPr>
        <w:ind w:left="440" w:right="40" w:firstLine="419"/>
        <w:spacing w:after="0" w:line="263" w:lineRule="auto"/>
        <w:tabs>
          <w:tab w:leader="none" w:pos="13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75" w:lineRule="exact"/>
        <w:rPr>
          <w:rFonts w:ascii="Arial" w:cs="Arial" w:eastAsia="Arial" w:hAnsi="Arial"/>
          <w:sz w:val="18"/>
          <w:szCs w:val="18"/>
          <w:color w:val="auto"/>
        </w:rPr>
      </w:pPr>
    </w:p>
    <w:p>
      <w:pPr>
        <w:ind w:left="440" w:firstLine="419"/>
        <w:spacing w:after="0" w:line="301" w:lineRule="auto"/>
        <w:tabs>
          <w:tab w:leader="none" w:pos="12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(5) above, (A) the applicable assignee shall be permitted under Law to make Loans and Letters of Credit in all Alternative Currencies to the Borrower in accordance with the terms of this Agreement and the other Loan Documents, and (B) after giving effect to such assignment (and any other assignments made in connection therewith), each Lender shall be permitted under applicable Law to make Loans to and Letters of Credit to the Borrower in all Alternative Currencies;</w:t>
      </w:r>
    </w:p>
    <w:p>
      <w:pPr>
        <w:spacing w:after="0" w:line="49" w:lineRule="exact"/>
        <w:rPr>
          <w:rFonts w:ascii="Arial" w:cs="Arial" w:eastAsia="Arial" w:hAnsi="Arial"/>
          <w:sz w:val="16"/>
          <w:szCs w:val="16"/>
          <w:color w:val="auto"/>
        </w:rPr>
      </w:pPr>
    </w:p>
    <w:p>
      <w:pPr>
        <w:ind w:left="440" w:right="240" w:firstLine="419"/>
        <w:spacing w:after="0" w:line="301" w:lineRule="auto"/>
        <w:tabs>
          <w:tab w:leader="none" w:pos="13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(6) above, (A) the applicable assignee shall be permitted under Law and licensed to make Loans and other applicable extensions of credit to the Borrower in accordance with the terms of this Agreement and (B) 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93" w:name="page94"/>
    <w:bookmarkEnd w:id="93"/>
    <w:p>
      <w:pPr>
        <w:ind w:left="86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(vii)</w:t>
      </w:r>
      <w:r>
        <w:rPr>
          <w:sz w:val="20"/>
          <w:szCs w:val="20"/>
          <w:color w:val="auto"/>
        </w:rPr>
        <w:tab/>
      </w:r>
      <w:r>
        <w:rPr>
          <w:rFonts w:ascii="Arial" w:cs="Arial" w:eastAsia="Arial" w:hAnsi="Arial"/>
          <w:sz w:val="16"/>
          <w:szCs w:val="16"/>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color w:val="auto"/>
        </w:rPr>
        <w:t>Expansion Option.</w:t>
      </w:r>
    </w:p>
    <w:p>
      <w:pPr>
        <w:spacing w:after="0" w:line="158" w:lineRule="exact"/>
        <w:rPr>
          <w:sz w:val="20"/>
          <w:szCs w:val="20"/>
          <w:color w:val="auto"/>
        </w:rPr>
      </w:pPr>
    </w:p>
    <w:p>
      <w:pPr>
        <w:ind w:firstLine="987"/>
        <w:spacing w:after="0" w:line="284" w:lineRule="auto"/>
        <w:tabs>
          <w:tab w:leader="none" w:pos="141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may from time to time after the Closing Date elect to increase the Revolving Commitments (“</w:t>
      </w:r>
      <w:r>
        <w:rPr>
          <w:rFonts w:ascii="Arial" w:cs="Arial" w:eastAsia="Arial" w:hAnsi="Arial"/>
          <w:sz w:val="16"/>
          <w:szCs w:val="16"/>
          <w:u w:val="single" w:color="auto"/>
          <w:color w:val="auto"/>
        </w:rPr>
        <w:t>Increased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in an aggregate principal amount of not less than $25,000,000. The Borrower may arrange for any such increase to be provided by one or more Lenders (each Lender so agreeing to an increase in its Revolving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to increase their existing Revolving Commitments or to participate in such Revolving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Augmenting Lender (and, in the case of an Increased Commitment, each Increasing Lender) shall be subject to the approval of the Borrower,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Borrower, to effect the provisions of this Section 2.19. Increases of Revolving Commitments shall become effective on the date agreed by the Borrower, the Administrative Agent and the 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 Section 4.04 shall be satisfied or waived by the Required Lenders and the Administrative Agent, (ii) after giving effect to such increase in the Revolving Commitments, the Borrower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 requirements set forth in clauses (i) and (ii) above, dated such date and executed by a Financial Officer of the Borrower. On the effective date of any increase in the Revolving Commitments, (i) 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4" w:name="page95"/>
    <w:bookmarkEnd w:id="9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Request, minimum borrowing, pro rata borrowing and pro rata payment requirements contained elsewhere in this Agreement shall not apply to the transactions effected pursuant to the immediately preceding sentence. The deemed payments made pursuant to clause (ii) of the second preceding sentence shall be accompanied by payment of all accrued interest on the amount prepaid and, in respect of each Eurocurrency Loan, shall be subject to indemnification by the Borrower pursuant to the provisions of Section 2.15 if the deemed payment occurs other than on the last day of the related Interest Periods. For the avoidance of doubt, no Lender shall have any obligation to provide any Increased Commitment.</w:t>
      </w:r>
    </w:p>
    <w:p>
      <w:pPr>
        <w:spacing w:after="0" w:line="181"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This Section 2.19 shall override any provisions in Section 9.02 to the contrary.</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2.20 Judgment Currency. If for the purposes of obtaining judgment in any court it is necessary to convert a sum due from the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79"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color w:val="auto"/>
        </w:rPr>
        <w:t>Extended Revolving Commitments.</w:t>
      </w:r>
    </w:p>
    <w:p>
      <w:pPr>
        <w:spacing w:after="0" w:line="117" w:lineRule="exact"/>
        <w:rPr>
          <w:sz w:val="20"/>
          <w:szCs w:val="20"/>
          <w:color w:val="auto"/>
        </w:rPr>
      </w:pPr>
    </w:p>
    <w:p>
      <w:pPr>
        <w:ind w:right="140" w:firstLine="987"/>
        <w:spacing w:after="0" w:line="259" w:lineRule="auto"/>
        <w:tabs>
          <w:tab w:leader="none" w:pos="13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Request for Extended Revolving Commitments</w:t>
      </w:r>
      <w:r>
        <w:rPr>
          <w:rFonts w:ascii="Arial" w:cs="Arial" w:eastAsia="Arial" w:hAnsi="Arial"/>
          <w:sz w:val="18"/>
          <w:szCs w:val="18"/>
          <w:color w:val="auto"/>
        </w:rPr>
        <w:t>. The Borrower may at any time and from time to time after the Closing Date, upon written request to and the consent of the Administrative Agent (each, a “</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request that an aggregate principal amount of not less than $300,000,000 of the then existing Commitments of any Class (each, an “</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be amended to, among other things, extend the applicable Revolving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5" w:name="page96"/>
    <w:bookmarkEnd w:id="9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Credit Maturity Date with respect thereto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to a date that is no earlier than the then Latest Maturity Date of any other Commitment hereunder (any such Revolving Commitments so amended, “</w:t>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 xml:space="preserve">”); provided that (i) after giving effect to any Extended Revolving Commitment under this Section 2.21, there shall be no more than three (3) Classes of Commitments outstanding at any time and (ii) 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Credit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 changes will become effective (which may be prior to the Existing Maturity Date) and (D) any other amendments or modifications to this Agreement applicable to such Extended Revolving Commitments,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changes or modifications pursuant to this clause (D) shall become effective prior to the then Latest Maturity Date. At the time of sending such notice, the Borrower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Section 2.21.</w:t>
      </w:r>
    </w:p>
    <w:p>
      <w:pPr>
        <w:spacing w:after="0" w:line="174" w:lineRule="exact"/>
        <w:rPr>
          <w:sz w:val="20"/>
          <w:szCs w:val="20"/>
          <w:color w:val="auto"/>
        </w:rPr>
      </w:pPr>
    </w:p>
    <w:p>
      <w:pPr>
        <w:ind w:right="20" w:firstLine="987"/>
        <w:spacing w:after="0" w:line="269" w:lineRule="auto"/>
        <w:tabs>
          <w:tab w:leader="none" w:pos="138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Election to Extend</w:t>
      </w:r>
      <w:r>
        <w:rPr>
          <w:rFonts w:ascii="Arial" w:cs="Arial" w:eastAsia="Arial" w:hAnsi="Arial"/>
          <w:sz w:val="17"/>
          <w:szCs w:val="17"/>
          <w:color w:val="auto"/>
        </w:rPr>
        <w:t>. Any Revolving Lender wishing to have all or a portion of its Revolving Commitments under the Existing Revolving Tranche amended into Extended Revolving Commitments (each, an “</w:t>
      </w:r>
      <w:r>
        <w:rPr>
          <w:rFonts w:ascii="Arial" w:cs="Arial" w:eastAsia="Arial" w:hAnsi="Arial"/>
          <w:sz w:val="17"/>
          <w:szCs w:val="17"/>
          <w:u w:val="single" w:color="auto"/>
          <w:color w:val="auto"/>
        </w:rPr>
        <w:t>Extending Revolving Lender</w:t>
      </w:r>
      <w:r>
        <w:rPr>
          <w:rFonts w:ascii="Arial" w:cs="Arial" w:eastAsia="Arial" w:hAnsi="Arial"/>
          <w:sz w:val="17"/>
          <w:szCs w:val="17"/>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 to agree to provide any Extended Revolving Commitment pursuant to any Revolving Extension Request. Any Revolving Lender not responding on or prior to such response date shall be deemed to have declined such Revolving Extension Request. The Administrative Agent shall notify the Borrower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 the principal amount of Extended Revolving Commitments requested by the Borrower shall be allocated to each Extending Revolving Lender in such manner and in such amounts as may be agreed by Administrative Agent and the Borrower, in their sole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6" w:name="page97"/>
    <w:bookmarkEnd w:id="96"/>
    <w:p>
      <w:pPr>
        <w:ind w:left="984"/>
        <w:spacing w:after="0"/>
        <w:tabs>
          <w:tab w:leader="none" w:pos="13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sz w:val="20"/>
          <w:szCs w:val="20"/>
          <w:color w:val="auto"/>
        </w:rPr>
        <w:tab/>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Extended Revolving Commitments shall be established pursuant to an amendment (each, 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to this Agreement among the Borrower, the Administrative Agent and each Extending Revolving Lender, if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providing an Extended Revolving Commitment thereunder, which shall be consistent with the provisions set forth in Sections 2.21(a), (b) and (d) (but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shall not require the consent of any other Lender). The effectiveness of any Revolving Extension Amendment shall be subject to the satisfaction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the date thereof of each of the conditions set forth in Section 4.04 (with all references in such Sections to a Borrowing being deemed to be references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such Revolving Extension Request) and receipt of a certificate to that effect and, any other condition as may be agreed among the Borrower,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Administrative Agent and the Extending Revolving Lenders. The Administrative Agent shall promptly notify each Revolving Lender as to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effectiveness of each Revolving Extension Amendment and the matters specified therein. Each of the parties hereto hereby agrees that this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the other Loan Documents may be amended pursuant to a Revolving Extension Amendment, without the consent of any other Lender, to the extent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(but only to the extent) necessary to (i) reflect the existence and terms of the Extended Revolving Commitments incurred pursuant thereto, and (ii) effect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such other amendments to this Agreement and the other Loan Documents as may be necessary or appropriate, in the reasonable opinion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Administrative Agent and the Borrower, to effect the provisions of this Section 2.21, in each case, in a manner consistent with the terms of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2.21 and the Required Lenders hereby expressly authorize the Administrative Agent to enter into any such Revolving Extension Amendment.</w:t>
      </w:r>
    </w:p>
    <w:p>
      <w:pPr>
        <w:spacing w:after="0" w:line="234" w:lineRule="exact"/>
        <w:rPr>
          <w:sz w:val="20"/>
          <w:szCs w:val="20"/>
          <w:color w:val="auto"/>
        </w:rPr>
      </w:pPr>
    </w:p>
    <w:p>
      <w:pPr>
        <w:ind w:left="4" w:right="120" w:firstLine="987"/>
        <w:spacing w:after="0" w:line="283" w:lineRule="auto"/>
        <w:tabs>
          <w:tab w:leader="none" w:pos="138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Terms of Extended Revolving Commitments</w:t>
      </w:r>
      <w:r>
        <w:rPr>
          <w:rFonts w:ascii="Arial" w:cs="Arial" w:eastAsia="Arial" w:hAnsi="Arial"/>
          <w:sz w:val="16"/>
          <w:szCs w:val="16"/>
          <w:color w:val="auto"/>
        </w:rPr>
        <w:t>. Except as expressly provided herein, all Extended Revolving Commitments effected pursuant to any Revolving Extension Request and Revolving Extension Amendment shall be subject to the same terms (including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 respect to the existing Revolving Lenders under the then existing Revolving Commitments on or prior to the Closing Date or with respect to any other Extending Revolving Lenders in connection with any other Extended Revolving Commitments effected pursuant to this Section 2.21); provided, however, that at the election of the Borrower (in consultation with the Administrative Agent), the Borrower may offer to effect Extended Revolving Commitments with (i) interest and fees at different rates applicable solely with respect to such Extended Revolving Commitments (and related outstandings), which may take effect as of the date of the Revolving Extension Amendment, and</w:t>
      </w:r>
    </w:p>
    <w:p>
      <w:pPr>
        <w:spacing w:after="0" w:line="5" w:lineRule="exact"/>
        <w:rPr>
          <w:rFonts w:ascii="Arial" w:cs="Arial" w:eastAsia="Arial" w:hAnsi="Arial"/>
          <w:sz w:val="16"/>
          <w:szCs w:val="16"/>
          <w:color w:val="auto"/>
        </w:rPr>
      </w:pPr>
    </w:p>
    <w:p>
      <w:pPr>
        <w:ind w:left="4" w:right="300" w:hanging="4"/>
        <w:spacing w:after="0" w:line="251" w:lineRule="auto"/>
        <w:tabs>
          <w:tab w:leader="none" w:pos="2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 shall make prepayments of Revolving Loans and shall Cash Collateralize Letters of Credit, such that, after</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4"/>
          </w:cols>
          <w:pgMar w:left="436" w:top="274" w:right="479" w:bottom="1440" w:gutter="0" w:footer="0" w:header="0"/>
        </w:sectPr>
      </w:pPr>
    </w:p>
    <w:bookmarkStart w:id="97" w:name="page98"/>
    <w:bookmarkEnd w:id="9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giving effect to such prepayments and such provision of cash collateral, the aggregate Revolving Credit Exposure as of such date will not exceed the aggregate Extended Revolving Commitments of the Extended Revolving Lenders extended pursuant to this Section 2.21 (and the Borrower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157" w:lineRule="exact"/>
        <w:rPr>
          <w:sz w:val="20"/>
          <w:szCs w:val="20"/>
          <w:color w:val="auto"/>
        </w:rPr>
      </w:pPr>
    </w:p>
    <w:p>
      <w:pPr>
        <w:ind w:right="100" w:firstLine="987"/>
        <w:spacing w:after="0" w:line="301" w:lineRule="auto"/>
        <w:tabs>
          <w:tab w:leader="none" w:pos="137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Any Extended Revolving Commitments effected pursuant to a Revolving Extension Request shall be designated a series (each, a “</w:t>
      </w: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color w:val="auto"/>
        </w:rPr>
        <w:t>Defaulting Lender.</w:t>
      </w:r>
    </w:p>
    <w:p>
      <w:pPr>
        <w:spacing w:after="0" w:line="117" w:lineRule="exact"/>
        <w:rPr>
          <w:sz w:val="20"/>
          <w:szCs w:val="20"/>
          <w:color w:val="auto"/>
        </w:rPr>
      </w:pPr>
    </w:p>
    <w:p>
      <w:pPr>
        <w:ind w:right="320" w:firstLine="987"/>
        <w:spacing w:after="0" w:line="342" w:lineRule="auto"/>
        <w:tabs>
          <w:tab w:leader="none" w:pos="137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3" w:lineRule="exact"/>
        <w:rPr>
          <w:rFonts w:ascii="Arial" w:cs="Arial" w:eastAsia="Arial" w:hAnsi="Arial"/>
          <w:sz w:val="16"/>
          <w:szCs w:val="16"/>
          <w:color w:val="auto"/>
        </w:rPr>
      </w:pPr>
    </w:p>
    <w:p>
      <w:pPr>
        <w:ind w:firstLine="1428"/>
        <w:spacing w:after="0" w:line="267" w:lineRule="auto"/>
        <w:tabs>
          <w:tab w:leader="none" w:pos="1827"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such Defaulting Lender to any Issuing Bank or Swingline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Issuing Banks’ L/C Exposure with respect to such Defaulting Lender in accordance with Section 2.05(g);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Section 2.05(g);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so long as no Default or Event of Default exists, to the payment of any amounts owing to the Borrower as a result of any judgment of a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8" w:name="page99"/>
    <w:bookmarkEnd w:id="9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the principal amount of any Loans or L/C Disbursements in respect of which such Defaulting Lender has not fully funded its appropriate share, and (y) such Loans were made or the related Letters of Credit were issued at a time when the conditions set forth in Section 4.02, Section 4.03 and/or Section 4.04, as applicable,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Commitments without giving effect to Section 2.22(a)(ii). Any payments, prepayments or other amounts paid or payable to a Defaulting Lender that are applied (or held) to pay amounts owed by a Defaulting Lender or to post Cash Collateral pursuant to this Section 2.22(a)(i) shall be deemed paid to and redirected by such Defaulting Lender, and each Lender irrevocably consents hereto.</w:t>
      </w:r>
    </w:p>
    <w:p>
      <w:pPr>
        <w:spacing w:after="0" w:line="165" w:lineRule="exact"/>
        <w:rPr>
          <w:sz w:val="20"/>
          <w:szCs w:val="20"/>
          <w:color w:val="auto"/>
        </w:rPr>
      </w:pPr>
    </w:p>
    <w:p>
      <w:pPr>
        <w:ind w:right="60" w:firstLine="1428"/>
        <w:spacing w:after="0" w:line="254" w:lineRule="auto"/>
        <w:tabs>
          <w:tab w:leader="none" w:pos="1877"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L/C Disbursements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4" w:lineRule="exact"/>
        <w:rPr>
          <w:rFonts w:ascii="Arial" w:cs="Arial" w:eastAsia="Arial" w:hAnsi="Arial"/>
          <w:sz w:val="18"/>
          <w:szCs w:val="18"/>
          <w:color w:val="auto"/>
        </w:rPr>
      </w:pPr>
    </w:p>
    <w:p>
      <w:pPr>
        <w:ind w:right="20" w:firstLine="1428"/>
        <w:spacing w:after="0" w:line="259" w:lineRule="auto"/>
        <w:tabs>
          <w:tab w:leader="none" w:pos="1927"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Section 2.22(a)(ii) above cannot, or can only partially, be effected, the Borrower shall, without prejudice to any right or remedy available to it hereunder or under law, (x) first, prepay Swingline Loans in an amount equal to the Swingline Lenders’ Swingline Exposure and (y) second, Cash Collateralize the Issuing Banks’ L/C Exposure in accordance with the procedures set forth in Section 2.05(g).</w:t>
      </w:r>
    </w:p>
    <w:p>
      <w:pPr>
        <w:spacing w:after="0" w:line="186" w:lineRule="exact"/>
        <w:rPr>
          <w:rFonts w:ascii="Arial" w:cs="Arial" w:eastAsia="Arial" w:hAnsi="Arial"/>
          <w:sz w:val="18"/>
          <w:szCs w:val="18"/>
          <w:color w:val="auto"/>
        </w:rPr>
      </w:pPr>
    </w:p>
    <w:p>
      <w:pPr>
        <w:ind w:firstLine="987"/>
        <w:spacing w:after="0" w:line="269" w:lineRule="auto"/>
        <w:tabs>
          <w:tab w:leader="none" w:pos="1381"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each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(without giving effect to Section 2.22(a)(ii)),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9" w:name="page100"/>
    <w:bookmarkEnd w:id="99"/>
    <w:p>
      <w:pPr>
        <w:ind w:right="40" w:firstLine="987"/>
        <w:spacing w:after="0" w:line="257" w:lineRule="auto"/>
        <w:tabs>
          <w:tab w:leader="none" w:pos="137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Swingline Loans/Letters of Credit</w:t>
      </w:r>
      <w:r>
        <w:rPr>
          <w:rFonts w:ascii="Arial" w:cs="Arial" w:eastAsia="Arial" w:hAnsi="Arial"/>
          <w:sz w:val="18"/>
          <w:szCs w:val="18"/>
          <w:color w:val="auto"/>
        </w:rPr>
        <w:t>. So long as any Lender is a Defaulting Lender, the Swingline Lender shall not be required to fund any Swingline Loan and no Issuing Bank shall be required to issue, amend or increase any Letter of Credit, unless it is satisfied that, after giving effect to such Swingline Loan or Letter of Credit and the reallocation of all Defaulting Lenders’ participation therein pursuant to Section 2.22(a)(ii), the aggregate Revolving Credit Exposure of all non-Defaulting Lenders does not exceed the aggregate Revolving Commitments of all non-Defaulting Lenders.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The Borrower represents and warrants to the Administrative Agent, the Lenders and the Issuing Banks that (x) as of the Effective Date, the Specified Representations are true and correct in all material respects (except that any Specified Representation that is qualified by “materiality”, “material adverse effect” or a similar term shall be true and correct in all respects) and (y) (a) as of the Closing Date, after giving effect to the Transactions, (b) immediately following consummation of the Combination, after giving effect to the Combination Transactions and (c) except as to representations and warranties made as of a date certain, as of the date such representations and warranties are deemed to be made under Article IV of this Agreement (it being understood, in each case in the foregoing clauses (x) and (y), that no representations or warranties relating to the Mylan Business shall be made prior to the consummation of the Combination Transactions), that:</w:t>
      </w:r>
    </w:p>
    <w:p>
      <w:pPr>
        <w:spacing w:after="0" w:line="17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 3.01 Organization; Powers; Subsidiaries.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Schedule 3.01.</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4" w:right="499" w:bottom="1440" w:gutter="0" w:footer="0" w:header="0"/>
        </w:sectPr>
      </w:pPr>
    </w:p>
    <w:bookmarkStart w:id="100" w:name="page101"/>
    <w:bookmarkEnd w:id="100"/>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3.02 Authorization; Enforceability.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SECTION 3.03 Governmental Approvals; No Conflicts.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27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Financial Statements; Financial Condition; No Material Adverse Change.</w:t>
      </w:r>
    </w:p>
    <w:p>
      <w:pPr>
        <w:spacing w:after="0" w:line="117" w:lineRule="exact"/>
        <w:rPr>
          <w:sz w:val="20"/>
          <w:szCs w:val="20"/>
          <w:color w:val="auto"/>
        </w:rPr>
      </w:pPr>
    </w:p>
    <w:p>
      <w:pPr>
        <w:ind w:right="20" w:firstLine="987"/>
        <w:spacing w:after="0" w:line="293" w:lineRule="auto"/>
        <w:tabs>
          <w:tab w:leader="none" w:pos="13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Borrower has heretofore furnished to the Lenders (x) the combined balance sheets as of December 31, 2018 and December 31, 2019 of the Upjohn Business and combined statements of income, equity and cash flows of the Upjohn Business for each of the three fiscal years ended December 31, 2017, December 31, 2018 and December 31, 2019, in each case, reported on by KPMG LLP and (y) the unaudited financial statements as of, and for the fiscal quarter ended, March 29, 2020 and the other unaudited financial statements required to be delivered under Section 4.02(e), in each case certified by its chief financial officer which financial statements present fairly, in all material respects, the consolidated financial position and results of operations and cash flows of the Upjohn Business as of such dates and for such periods in accordance with GAAP.</w:t>
      </w:r>
    </w:p>
    <w:p>
      <w:pPr>
        <w:spacing w:after="0" w:line="164" w:lineRule="exact"/>
        <w:rPr>
          <w:rFonts w:ascii="Arial" w:cs="Arial" w:eastAsia="Arial" w:hAnsi="Arial"/>
          <w:sz w:val="16"/>
          <w:szCs w:val="16"/>
          <w:color w:val="auto"/>
        </w:rPr>
      </w:pPr>
    </w:p>
    <w:p>
      <w:pPr>
        <w:ind w:firstLine="987"/>
        <w:spacing w:after="0" w:line="293" w:lineRule="auto"/>
        <w:tabs>
          <w:tab w:leader="none" w:pos="138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3.04(b)</w:t>
      </w:r>
      <w:r>
        <w:rPr>
          <w:rFonts w:ascii="Arial" w:cs="Arial" w:eastAsia="Arial" w:hAnsi="Arial"/>
          <w:sz w:val="16"/>
          <w:szCs w:val="16"/>
          <w:color w:val="auto"/>
        </w:rPr>
        <w:t xml:space="preserve">, since December 31, 2019, there has been no material adverse change in the business, assets, properties or financial condition of the Borrower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period from the Effective Date through December 31, 2020, the impacts of the novel coronavirus COVID-19 pandemic on the business, assets, properties or financial condition of the Borrower and its Subsidiaries, taken as a whole, (i) that occurred prior to the Effective Date and that were publicly disclosed by the Borrower in its securities filings or disclosed to the Administrative Agent and the Lenders in writing prior to the Effective Date or (ii) that were reasonably foreseeable (in consequence and duration) as of the Effective Date in light of any event, development or circumstance described in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101" w:name="page102"/>
    <w:bookmarkEnd w:id="101"/>
    <w:p>
      <w:pPr>
        <w:ind w:left="4"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clause (i)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impacts described in this clause (ii) do not have a disproportionate impact on the Borrower and its Subsidiaries when compared to other comparably situated companies), will, in each case, be disregarded.</w:t>
      </w:r>
    </w:p>
    <w:p>
      <w:pPr>
        <w:spacing w:after="0" w:line="2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Properties.</w:t>
      </w:r>
    </w:p>
    <w:p>
      <w:pPr>
        <w:spacing w:after="0" w:line="117" w:lineRule="exact"/>
        <w:rPr>
          <w:sz w:val="20"/>
          <w:szCs w:val="20"/>
          <w:color w:val="auto"/>
        </w:rPr>
      </w:pPr>
    </w:p>
    <w:p>
      <w:pPr>
        <w:ind w:left="4" w:right="40" w:firstLine="987"/>
        <w:spacing w:after="0" w:line="259" w:lineRule="auto"/>
        <w:tabs>
          <w:tab w:leader="none" w:pos="13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jc w:val="both"/>
        <w:ind w:left="4" w:right="140" w:firstLine="987"/>
        <w:spacing w:after="0" w:line="279" w:lineRule="auto"/>
        <w:tabs>
          <w:tab w:leader="none" w:pos="138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possesses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17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Litigation and Environmental Matters.</w:t>
      </w:r>
    </w:p>
    <w:p>
      <w:pPr>
        <w:spacing w:after="0" w:line="117" w:lineRule="exact"/>
        <w:rPr>
          <w:sz w:val="20"/>
          <w:szCs w:val="20"/>
          <w:color w:val="auto"/>
        </w:rPr>
      </w:pPr>
    </w:p>
    <w:p>
      <w:pPr>
        <w:ind w:left="4" w:firstLine="987"/>
        <w:spacing w:after="0" w:line="275" w:lineRule="auto"/>
        <w:tabs>
          <w:tab w:leader="none" w:pos="137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3.07 Compliance with Laws and Agreements.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8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SECTION 3.08 Investment Company Status. Neither the Borrower nor any other Loan Party is required to register as an “investment company” as defined in the Investment Company Act of 1940.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4"/>
          </w:cols>
          <w:pgMar w:left="436" w:top="274" w:right="439" w:bottom="1440" w:gutter="0" w:footer="0" w:header="0"/>
        </w:sectPr>
      </w:pPr>
    </w:p>
    <w:bookmarkStart w:id="102" w:name="page103"/>
    <w:bookmarkEnd w:id="102"/>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3.09 Taxes.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SECTION 3.10 Solvency. (a) On the Closing Date after giving effect to the Transactions, the Contribution, the Borrower Cash Distribution and the Distribution (but prior to the Combination), the Borrower and its Subsidiaries, on a consolidated basis, are Solvent and (b) from and after, as applicable, consummation of the Combination, after giving effect to the Combination Transactions, the Borrower and its Subsidiaries, on a consolidated basis, are Solvent.</w:t>
      </w:r>
    </w:p>
    <w:p>
      <w:pPr>
        <w:spacing w:after="0" w:line="187"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SECTION 3.12 Disclosure.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SECTION 3.13 Federal Reserve Regulations. No part of the proceeds of any Loan have been used or will be used, whether directly or indirectly, for any purpose that entails a violation of any of the Regulations of the Board, including Regulations T, U and X.</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SECTION 3.14 PATRIOT Act. Each of the Loan Parties and each of their respective Subsidiaries are in compliance, in all material respects, with the Act. 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103" w:name="page104"/>
    <w:bookmarkEnd w:id="103"/>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3.15</w:t>
      </w:r>
      <w:r>
        <w:rPr>
          <w:sz w:val="20"/>
          <w:szCs w:val="20"/>
          <w:color w:val="auto"/>
        </w:rPr>
        <w:tab/>
      </w:r>
      <w:r>
        <w:rPr>
          <w:rFonts w:ascii="Arial" w:cs="Arial" w:eastAsia="Arial" w:hAnsi="Arial"/>
          <w:sz w:val="16"/>
          <w:szCs w:val="16"/>
          <w:color w:val="auto"/>
        </w:rPr>
        <w:t>OFAC.</w:t>
      </w:r>
    </w:p>
    <w:p>
      <w:pPr>
        <w:spacing w:after="0" w:line="117" w:lineRule="exact"/>
        <w:rPr>
          <w:sz w:val="20"/>
          <w:szCs w:val="20"/>
          <w:color w:val="auto"/>
        </w:rPr>
      </w:pPr>
    </w:p>
    <w:p>
      <w:pPr>
        <w:ind w:right="180" w:firstLine="987"/>
        <w:spacing w:after="0" w:line="272" w:lineRule="auto"/>
        <w:tabs>
          <w:tab w:leader="none" w:pos="137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Neither the Borrower, nor any Subsidiary is (i) a Person whose name appears on the list of Specially Designated Nationals and Blocked Persons published by OFAC (an “</w:t>
      </w:r>
      <w:r>
        <w:rPr>
          <w:rFonts w:ascii="Arial" w:cs="Arial" w:eastAsia="Arial" w:hAnsi="Arial"/>
          <w:sz w:val="17"/>
          <w:szCs w:val="17"/>
          <w:u w:val="single" w:color="auto"/>
          <w:color w:val="auto"/>
        </w:rPr>
        <w:t>OFAC Listed Person</w:t>
      </w:r>
      <w:r>
        <w:rPr>
          <w:rFonts w:ascii="Arial" w:cs="Arial" w:eastAsia="Arial" w:hAnsi="Arial"/>
          <w:sz w:val="17"/>
          <w:szCs w:val="17"/>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17"/>
          <w:szCs w:val="17"/>
          <w:u w:val="single" w:color="auto"/>
          <w:color w:val="auto"/>
        </w:rPr>
        <w:t>EU/UK Listed Person</w:t>
      </w:r>
      <w:r>
        <w:rPr>
          <w:rFonts w:ascii="Arial" w:cs="Arial" w:eastAsia="Arial" w:hAnsi="Arial"/>
          <w:sz w:val="17"/>
          <w:szCs w:val="17"/>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7"/>
          <w:szCs w:val="17"/>
          <w:u w:val="single" w:color="auto"/>
          <w:color w:val="auto"/>
        </w:rPr>
        <w:t>OFAC Countries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40" w:firstLine="987"/>
        <w:spacing w:after="0" w:line="254" w:lineRule="auto"/>
        <w:tabs>
          <w:tab w:leader="none" w:pos="1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represents and covenants that no Loan, nor the proceeds from any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SECTION 3.16 Beneficial Ownership Certification. The information included in the Beneficial Ownership Certification, if applicable, is true and correct in all respects, as of the date such Beneficial Ownership Certification is delivered.</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color w:val="auto"/>
        </w:rPr>
        <w:t>Representations as to Foreign Obligors. Each Foreign Obligor represents and warrants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firstLine="987"/>
        <w:spacing w:after="0" w:line="254" w:lineRule="auto"/>
        <w:tabs>
          <w:tab w:leader="none" w:pos="13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Arial" w:cs="Arial" w:eastAsia="Arial" w:hAnsi="Arial"/>
          <w:sz w:val="18"/>
          <w:szCs w:val="18"/>
          <w:color w:val="auto"/>
        </w:rPr>
      </w:pPr>
    </w:p>
    <w:p>
      <w:pPr>
        <w:jc w:val="both"/>
        <w:ind w:right="540" w:firstLine="987"/>
        <w:spacing w:after="0" w:line="263" w:lineRule="auto"/>
        <w:tabs>
          <w:tab w:leader="none" w:pos="13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4" w:name="page105"/>
    <w:bookmarkEnd w:id="10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2" w:lineRule="exact"/>
        <w:rPr>
          <w:sz w:val="20"/>
          <w:szCs w:val="20"/>
          <w:color w:val="auto"/>
        </w:rPr>
      </w:pPr>
    </w:p>
    <w:p>
      <w:pPr>
        <w:ind w:right="20" w:firstLine="987"/>
        <w:spacing w:after="0" w:line="279" w:lineRule="auto"/>
        <w:tabs>
          <w:tab w:leader="none" w:pos="136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SECTION 4.01 Conditions Precedent to Effectiveness. This Agreement shall become effective on and as of the first date on which the following conditions precedent have been satisfied:</w:t>
      </w:r>
    </w:p>
    <w:p>
      <w:pPr>
        <w:spacing w:after="0" w:line="170"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Administrative Agent (or its counsel) shall have received a counterpart of this Agreement duly executed and delivered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right="100" w:firstLine="987"/>
        <w:spacing w:after="0" w:line="277" w:lineRule="auto"/>
        <w:tabs>
          <w:tab w:leader="none" w:pos="13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total commitments for the Bridge Financing under the Bridge Financing Commitment Letter shall be reduced concurrently with the effectiveness of this Agreement by an amount equal to $1,500,000,000.</w:t>
      </w:r>
    </w:p>
    <w:p>
      <w:pPr>
        <w:spacing w:after="0" w:line="170" w:lineRule="exact"/>
        <w:rPr>
          <w:rFonts w:ascii="Arial" w:cs="Arial" w:eastAsia="Arial" w:hAnsi="Arial"/>
          <w:sz w:val="18"/>
          <w:szCs w:val="18"/>
          <w:color w:val="auto"/>
        </w:rPr>
      </w:pPr>
    </w:p>
    <w:p>
      <w:pPr>
        <w:ind w:right="20" w:firstLine="987"/>
        <w:spacing w:after="0" w:line="311" w:lineRule="auto"/>
        <w:tabs>
          <w:tab w:leader="none" w:pos="13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Specified Representations shall be true and correct in all material respects (except that any Specified Representation that is qualified by “materiality”, “material adverse effect” or a similar term shall be true and correct in all respects) as of the Effective Date. For the avoidance of doubt, no representations or warranties relating to the Mylan Business shall be made prior to the consummation of the Combination Transactions;</w:t>
      </w:r>
    </w:p>
    <w:p>
      <w:pPr>
        <w:spacing w:after="0" w:line="148" w:lineRule="exact"/>
        <w:rPr>
          <w:rFonts w:ascii="Arial" w:cs="Arial" w:eastAsia="Arial" w:hAnsi="Arial"/>
          <w:sz w:val="16"/>
          <w:szCs w:val="16"/>
          <w:color w:val="auto"/>
        </w:rPr>
      </w:pPr>
    </w:p>
    <w:p>
      <w:pPr>
        <w:ind w:right="720" w:firstLine="987"/>
        <w:spacing w:after="0" w:line="277" w:lineRule="auto"/>
        <w:tabs>
          <w:tab w:leader="none" w:pos="13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 letter of Cravath, Swaine &amp; Moore LLP, in a form reasonably satisfactory to the Administrative Agent;</w:t>
      </w:r>
    </w:p>
    <w:p>
      <w:pPr>
        <w:spacing w:after="0" w:line="170" w:lineRule="exact"/>
        <w:rPr>
          <w:rFonts w:ascii="Arial" w:cs="Arial" w:eastAsia="Arial" w:hAnsi="Arial"/>
          <w:sz w:val="18"/>
          <w:szCs w:val="18"/>
          <w:color w:val="auto"/>
        </w:rPr>
      </w:pPr>
    </w:p>
    <w:p>
      <w:pPr>
        <w:ind w:right="140" w:firstLine="987"/>
        <w:spacing w:after="0" w:line="263" w:lineRule="auto"/>
        <w:tabs>
          <w:tab w:leader="none" w:pos="13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customary closing documents and certificates as the Administrative Agent or its counsel may reasonably request relating to the organization, existence and good standing of the Borrower, the authorization of the Transactions and incumbency, all in form and substance reasonably satisfactory to the Administrative Agent and its counsel;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105" w:name="page106"/>
    <w:bookmarkEnd w:id="105"/>
    <w:p>
      <w:pPr>
        <w:ind w:right="240" w:firstLine="987"/>
        <w:spacing w:after="0" w:line="259" w:lineRule="auto"/>
        <w:tabs>
          <w:tab w:leader="none" w:pos="13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have received at least three Business Days prior to the Effective Date all documentation and other information regarding the Borrower required by bank regulatory authorities under applicable “know-your-customer” and anti-money laundering rules and regulations, including the PATRIOT Act and the Beneficial Ownership Regulation, in each case to the extent reasonably requested at least ten Business Days prior to the Effective Date; and</w:t>
      </w:r>
    </w:p>
    <w:p>
      <w:pPr>
        <w:spacing w:after="0" w:line="186" w:lineRule="exact"/>
        <w:rPr>
          <w:rFonts w:ascii="Arial" w:cs="Arial" w:eastAsia="Arial" w:hAnsi="Arial"/>
          <w:sz w:val="18"/>
          <w:szCs w:val="18"/>
          <w:color w:val="auto"/>
        </w:rPr>
      </w:pPr>
    </w:p>
    <w:p>
      <w:pPr>
        <w:ind w:right="80" w:firstLine="987"/>
        <w:spacing w:after="0" w:line="311" w:lineRule="auto"/>
        <w:tabs>
          <w:tab w:leader="none" w:pos="137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Effective Date and the fees contemplated by the Fee Letters payable to the Arrangers, the Administrative Agent or the Lenders shall have been paid on or prior to the Effective Date, in each case, to the extent required by the Fee Letters or the Loan Documents to be paid on or prior to the Effective Date.</w:t>
      </w:r>
    </w:p>
    <w:p>
      <w:pPr>
        <w:spacing w:after="0" w:line="149"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8"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SECTION 4.02 Conditions Precedent to Closing Date. The occurrence of the Closing Date and the obligations of the Lenders to make the Loan under the Certain Funds Draw on the Closing Date are, in each case, subject to each of the following conditions being satisfied:</w:t>
      </w:r>
    </w:p>
    <w:p>
      <w:pPr>
        <w:spacing w:after="0" w:line="146" w:lineRule="exact"/>
        <w:rPr>
          <w:sz w:val="20"/>
          <w:szCs w:val="20"/>
          <w:color w:val="auto"/>
        </w:rPr>
      </w:pPr>
    </w:p>
    <w:p>
      <w:pPr>
        <w:ind w:right="100" w:firstLine="987"/>
        <w:spacing w:after="0" w:line="291" w:lineRule="auto"/>
        <w:tabs>
          <w:tab w:leader="none" w:pos="13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a Responsible Officer of the Borrower certifying that (a) the conditions to the Combination set forth in the Business Combination Agreement (without giving effect to any modifications, consents, amendments or waivers thereto by Mylan that in each case are materially adverse to the interests of the Lenders or the Arrangers, in their capacities as such, unless the Arrangers shall have provided their written consent thereto (such consent not to be unreasonably withheld, conditioned or delayed)), in each case, other than such conditions that by their nature are to be satisfied upon the closing of such transaction, have been satisfied or waived or are expected to be satisfied and waived on the Closing Date or one Business Day thereafter and (b) the Distribution is expected to be, the Combination is expected to be and the Contribution has been or is expected to be consummated on the Closing Date or one Business Day thereafter;</w:t>
      </w:r>
    </w:p>
    <w:p>
      <w:pPr>
        <w:spacing w:after="0" w:line="166" w:lineRule="exact"/>
        <w:rPr>
          <w:rFonts w:ascii="Arial" w:cs="Arial" w:eastAsia="Arial" w:hAnsi="Arial"/>
          <w:sz w:val="16"/>
          <w:szCs w:val="16"/>
          <w:color w:val="auto"/>
        </w:rPr>
      </w:pPr>
    </w:p>
    <w:p>
      <w:pPr>
        <w:ind w:right="160" w:firstLine="987"/>
        <w:spacing w:after="0" w:line="286" w:lineRule="auto"/>
        <w:tabs>
          <w:tab w:leader="none" w:pos="137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attesting to the Solvency of the Borrower and its Subsidiaries (taken as a whole) on the Closing Date after giving effect to the Transactions, the Contribution, the Borrower Cash Distribution and the Distribution (but prior to the Combination) in or substantially in the form attached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 from a Financial Officer of the Borrower;</w:t>
      </w:r>
    </w:p>
    <w:p>
      <w:pPr>
        <w:spacing w:after="0" w:line="165" w:lineRule="exact"/>
        <w:rPr>
          <w:rFonts w:ascii="Arial" w:cs="Arial" w:eastAsia="Arial" w:hAnsi="Arial"/>
          <w:sz w:val="17"/>
          <w:szCs w:val="17"/>
          <w:color w:val="auto"/>
        </w:rPr>
      </w:pPr>
    </w:p>
    <w:p>
      <w:pPr>
        <w:ind w:firstLine="987"/>
        <w:spacing w:after="0" w:line="277" w:lineRule="auto"/>
        <w:tabs>
          <w:tab w:leader="none" w:pos="13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6" w:name="page107"/>
    <w:bookmarkEnd w:id="106"/>
    <w:p>
      <w:pPr>
        <w:ind w:left="4" w:right="80" w:firstLine="987"/>
        <w:spacing w:after="0" w:line="311" w:lineRule="auto"/>
        <w:tabs>
          <w:tab w:leader="none" w:pos="1375"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costs, fees, expenses (including legal fees and expenses) to the extent invoiced at least two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48" w:lineRule="exact"/>
        <w:rPr>
          <w:rFonts w:ascii="Arial" w:cs="Arial" w:eastAsia="Arial" w:hAnsi="Arial"/>
          <w:sz w:val="16"/>
          <w:szCs w:val="16"/>
          <w:color w:val="auto"/>
        </w:rPr>
      </w:pPr>
    </w:p>
    <w:p>
      <w:pPr>
        <w:jc w:val="both"/>
        <w:ind w:left="4" w:right="100" w:firstLine="987"/>
        <w:spacing w:after="0" w:line="285" w:lineRule="auto"/>
        <w:tabs>
          <w:tab w:leader="none" w:pos="137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Administrative Agent shall have received (i) audited consolidated balance sheets of the Mylan Business for each of its two most recent fiscal years and audited consolidated statements of income and cash flows of the Mylan Business for each of its three most recent fiscal years, in each case, ended at least 60 days prior to the Closing Date and unaudited financial statements of the Mylan Business for any quarterly interim period or periods (other than the fourth fiscal quarter) ended after the date of its most recent audited financial statements (and corresponding periods of any prior year) and more than 40 days prior to the Closing Date (with respect to which independent auditors shall have performed a SAS 100 review) and</w:t>
      </w:r>
    </w:p>
    <w:p>
      <w:pPr>
        <w:spacing w:after="0" w:line="1" w:lineRule="exact"/>
        <w:rPr>
          <w:rFonts w:ascii="Arial" w:cs="Arial" w:eastAsia="Arial" w:hAnsi="Arial"/>
          <w:sz w:val="16"/>
          <w:szCs w:val="16"/>
          <w:color w:val="auto"/>
        </w:rPr>
      </w:pPr>
    </w:p>
    <w:p>
      <w:pPr>
        <w:ind w:left="4" w:right="40" w:hanging="4"/>
        <w:spacing w:after="0" w:line="287" w:lineRule="auto"/>
        <w:tabs>
          <w:tab w:leader="none" w:pos="26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audited combined balance sheets of the Upjohn Business for each of its two most recent fiscal years and audited combined statements of income and cash flows of the Upjohn Business for each of its three most recent fiscal years, in each case, ended at least 90 days prior to the Closing Date and unaudited financial statements of the Upjohn Business for any quarterly interim period or periods (other than the fourth fiscal quarter) ended after the date of its most recent audited financial statements (and corresponding periods of any prior year) and more than 90 days prior to the Closing Date (with respect to which independent auditors shall have performed a SAS 100 or equivalent review). The Administrative Agent hereby acknowledges that the public filing with the Securities and Exchange Commission under the Securities Exchange Act of 1934, as amended, of any of the foregoing financial statements will satisfy the requirements of this paragraph and hereby acknowledge receipt of the financial statements of the Upjohn Business as of, and for (i) the three fiscal years ended December 31, 2019 and (ii) the fiscal quarter ended March 29, 2020;</w:t>
      </w:r>
    </w:p>
    <w:p>
      <w:pPr>
        <w:spacing w:after="0" w:line="169" w:lineRule="exact"/>
        <w:rPr>
          <w:rFonts w:ascii="Arial" w:cs="Arial" w:eastAsia="Arial" w:hAnsi="Arial"/>
          <w:sz w:val="16"/>
          <w:szCs w:val="16"/>
          <w:color w:val="auto"/>
        </w:rPr>
      </w:pPr>
    </w:p>
    <w:p>
      <w:pPr>
        <w:ind w:left="4" w:firstLine="987"/>
        <w:spacing w:after="0" w:line="272" w:lineRule="auto"/>
        <w:tabs>
          <w:tab w:leader="none" w:pos="134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At the time of and upon giving effect to the Borrowing and application of the proceeds of the Certain Funds Draw on the Closing Date, (x) each Combination Transaction Representation shall be true and correct as of the Closing Date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 (y) the Specified Representations shall be true and correct in all material respects (except that any Specified Representation that is qualified by “materiality”, “material adverse effect” or a similar term shall be true and correct in all respects) as of the Closing Date and (z) there shall not exist any Event of Default under clause (a), (b), (h), (i) or (j) of Article VII with respect to the Borrower under this Agreement;</w:t>
      </w:r>
    </w:p>
    <w:p>
      <w:pPr>
        <w:spacing w:after="0" w:line="177" w:lineRule="exact"/>
        <w:rPr>
          <w:rFonts w:ascii="Arial" w:cs="Arial" w:eastAsia="Arial" w:hAnsi="Arial"/>
          <w:sz w:val="17"/>
          <w:szCs w:val="17"/>
          <w:color w:val="auto"/>
        </w:rPr>
      </w:pPr>
    </w:p>
    <w:p>
      <w:pPr>
        <w:ind w:left="4" w:right="560" w:firstLine="987"/>
        <w:spacing w:after="0" w:line="277" w:lineRule="auto"/>
        <w:tabs>
          <w:tab w:leader="none" w:pos="138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set forth in the preceding clause (f) have been satisfied;</w:t>
      </w:r>
    </w:p>
    <w:p>
      <w:pPr>
        <w:spacing w:after="0" w:line="170" w:lineRule="exact"/>
        <w:rPr>
          <w:rFonts w:ascii="Arial" w:cs="Arial" w:eastAsia="Arial" w:hAnsi="Arial"/>
          <w:sz w:val="18"/>
          <w:szCs w:val="18"/>
          <w:color w:val="auto"/>
        </w:rPr>
      </w:pPr>
    </w:p>
    <w:p>
      <w:pPr>
        <w:ind w:left="4" w:firstLine="987"/>
        <w:spacing w:after="0" w:line="263" w:lineRule="auto"/>
        <w:tabs>
          <w:tab w:leader="none" w:pos="138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otherwise disclosed or identified in (a) the Pluto SEC Documents (as defined in the Business Combination Agreement as in effect as of the date hereof) filed or furnished with the SEC (as defined in the Business Combination Agreement as in effect as of the date hereof) on or prior to the date hereof (excluding any risk factor disclosure and disclosure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107" w:name="page108"/>
    <w:bookmarkEnd w:id="10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risks included in any “forward-looking statements” disclaimer included in such Pluto SEC Documents that are predictive, forward-looking or primarily cautionary in nature);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exception shall apply only to the extent that the relevance of such disclosure to the applicable representation and warranty is reasonably apparent on its face, or (b) the Spinco Disclosure Schedule (as defined in the Business Combination Agreement as in effect as of the date hereof) (it being understood that any information set forth in one section or subsection of the Spinco Disclosure Schedule shall be deemed to apply to and qualify the representation and warranty set forth in the Section of the Business Combination Agreement to which it corresponds in number and, whether or not an explicit reference or cross-reference is made, each other representation and warranty set forth in each other Section of Article V or Article VI of the Business Combination Agreement for which it is reasonably apparent on the face of such information that such information is relevant to such other Section), since December 31, 2018, there has not been any change, event, development, occurrence or effect that would reasonably be expected to have, individually or in the aggregate, a Spinco Material Adverse Effect (as defined in the Business Combination Agreement as in effect as of the date hereof); and</w:t>
      </w:r>
    </w:p>
    <w:p>
      <w:pPr>
        <w:spacing w:after="0" w:line="185" w:lineRule="exact"/>
        <w:rPr>
          <w:sz w:val="20"/>
          <w:szCs w:val="20"/>
          <w:color w:val="auto"/>
        </w:rPr>
      </w:pPr>
    </w:p>
    <w:p>
      <w:pPr>
        <w:ind w:left="1420"/>
        <w:spacing w:after="0"/>
        <w:tabs>
          <w:tab w:leader="none" w:pos="17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Administrative Agent shall have received a Borrowing Request, duly completed and executed by the Borrower.</w:t>
      </w:r>
    </w:p>
    <w:p>
      <w:pPr>
        <w:spacing w:after="0" w:line="225"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SECTION 4.03 Conditions Precedent to All Extensions of Credit on the Closing Date (Excluding The Certain Funds Draw). Except in the case of the Borrowing of the Certain Funds Draw, the obligation of each Lender to make a Loan on the occasion of any Borrowing, and of the Issuing Banks to issue, amend, renew or extend any Letter of Credit, on the Closing Date is subject to the satisfaction of the following conditions:</w:t>
      </w:r>
    </w:p>
    <w:p>
      <w:pPr>
        <w:spacing w:after="0" w:line="165" w:lineRule="exact"/>
        <w:rPr>
          <w:sz w:val="20"/>
          <w:szCs w:val="20"/>
          <w:color w:val="auto"/>
        </w:rPr>
      </w:pPr>
    </w:p>
    <w:p>
      <w:pPr>
        <w:ind w:left="1360" w:hanging="373"/>
        <w:spacing w:after="0"/>
        <w:tabs>
          <w:tab w:leader="none" w:pos="1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occurrence of (i) the Closing Date and (ii) the consummation of the Combination;</w:t>
      </w:r>
    </w:p>
    <w:p>
      <w:pPr>
        <w:spacing w:after="0" w:line="225" w:lineRule="exact"/>
        <w:rPr>
          <w:rFonts w:ascii="Arial" w:cs="Arial" w:eastAsia="Arial" w:hAnsi="Arial"/>
          <w:sz w:val="18"/>
          <w:szCs w:val="18"/>
          <w:color w:val="auto"/>
        </w:rPr>
      </w:pPr>
    </w:p>
    <w:p>
      <w:pPr>
        <w:ind w:right="60" w:firstLine="987"/>
        <w:spacing w:after="0" w:line="263" w:lineRule="auto"/>
        <w:tabs>
          <w:tab w:leader="none" w:pos="13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the Administrative Agent that prior to or substantially concurrently with the occurrence of the Closing Date, all indebtedness under the Existing Credit Agreement and all other amounts payable thereunder have been paid in full and all commitments to extend credit thereunder shall have terminated;</w:t>
      </w:r>
    </w:p>
    <w:p>
      <w:pPr>
        <w:spacing w:after="0" w:line="183" w:lineRule="exact"/>
        <w:rPr>
          <w:rFonts w:ascii="Arial" w:cs="Arial" w:eastAsia="Arial" w:hAnsi="Arial"/>
          <w:sz w:val="18"/>
          <w:szCs w:val="18"/>
          <w:color w:val="auto"/>
        </w:rPr>
      </w:pPr>
    </w:p>
    <w:p>
      <w:pPr>
        <w:ind w:right="540" w:firstLine="987"/>
        <w:spacing w:after="0" w:line="277" w:lineRule="auto"/>
        <w:tabs>
          <w:tab w:leader="none" w:pos="13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specified in Sections 4.04(a) and (b) have been satisfied;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SECTION 4.04 Conditions Precedent to All Extensions of Credit After The Combination (Excluding The Certain Funds Draw). Except in the case of the Borrowing of the Certain Funds Draw, the obligation of each Lender to make a Loan on the occasion of any Borrowing (but not a conversion or continuation of Loans), and of the Issuing Banks to issue,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108" w:name="page109"/>
    <w:bookmarkEnd w:id="10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renew or extend any Letter of Credit, in each case, following the consummation of the Combination is subject to the satisfaction of the following conditions:</w:t>
      </w:r>
    </w:p>
    <w:p>
      <w:pPr>
        <w:spacing w:after="0" w:line="170" w:lineRule="exact"/>
        <w:rPr>
          <w:sz w:val="20"/>
          <w:szCs w:val="20"/>
          <w:color w:val="auto"/>
        </w:rPr>
      </w:pPr>
    </w:p>
    <w:p>
      <w:pPr>
        <w:ind w:right="80" w:firstLine="987"/>
        <w:spacing w:after="0" w:line="272" w:lineRule="auto"/>
        <w:tabs>
          <w:tab w:leader="none" w:pos="136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 (i) where any representation and warranty is expressly made as of a specific earlier date, such representation and warranty shall be true in all material respects as of any such earlier date and (ii) the representations and warranties set forth in Section 3.04(b) and 3.06 shall only be required to be made on the Closing Date and shall not be required to be made for any Credit Event following the Closing Date (but shall be required to be made on the date any Increased Commitments are established);</w:t>
      </w:r>
    </w:p>
    <w:p>
      <w:pPr>
        <w:spacing w:after="0" w:line="177" w:lineRule="exact"/>
        <w:rPr>
          <w:rFonts w:ascii="Arial" w:cs="Arial" w:eastAsia="Arial" w:hAnsi="Arial"/>
          <w:sz w:val="17"/>
          <w:szCs w:val="17"/>
          <w:color w:val="auto"/>
        </w:rPr>
      </w:pPr>
    </w:p>
    <w:p>
      <w:pPr>
        <w:ind w:firstLine="987"/>
        <w:spacing w:after="0" w:line="277" w:lineRule="auto"/>
        <w:tabs>
          <w:tab w:leader="none" w:pos="13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the case of the first Credit Event with respect to which the conditions in this Section 4.04 apply, the Administrative Agent shall have received a certificate signed by a Responsible Officer of the Borrower certifying that all of the conditions specified in Section 4.03 (other than Section 4.03(c)) have been satisfied.</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Except to the extent required above, each Borrowing and each issuance, amendment, renewal or extension of a Letter of Credit shall be deemed to constitute a representation and warranty by the Borrower on the date thereof as to the matters specified in paragraphs (a) and (b) of this Section 4.04. For the avoidance of doubt, the conditions precedent set forth in this Section 4.04 shall not apply to the Borrowing of the Certain Funds Draw.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Applicable only from and after the consummation of the Combination and 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5.01 Financial Statements and Other Information. The Borrower will furnish to the Administrative Agent (who shall promptly furnish a copy to each Lender):</w:t>
      </w:r>
    </w:p>
    <w:p>
      <w:pPr>
        <w:spacing w:after="0" w:line="170" w:lineRule="exact"/>
        <w:rPr>
          <w:sz w:val="20"/>
          <w:szCs w:val="20"/>
          <w:color w:val="auto"/>
        </w:rPr>
      </w:pPr>
    </w:p>
    <w:p>
      <w:pPr>
        <w:ind w:right="180" w:firstLine="987"/>
        <w:spacing w:after="0" w:line="259" w:lineRule="auto"/>
        <w:tabs>
          <w:tab w:leader="none" w:pos="13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109" w:name="page110"/>
    <w:bookmarkEnd w:id="10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84" w:lineRule="exact"/>
        <w:rPr>
          <w:sz w:val="20"/>
          <w:szCs w:val="20"/>
          <w:color w:val="auto"/>
        </w:rPr>
      </w:pPr>
    </w:p>
    <w:p>
      <w:pPr>
        <w:ind w:firstLine="987"/>
        <w:spacing w:after="0" w:line="293" w:lineRule="auto"/>
        <w:tabs>
          <w:tab w:leader="none" w:pos="138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64" w:lineRule="exact"/>
        <w:rPr>
          <w:rFonts w:ascii="Arial" w:cs="Arial" w:eastAsia="Arial" w:hAnsi="Arial"/>
          <w:sz w:val="16"/>
          <w:szCs w:val="16"/>
          <w:color w:val="auto"/>
        </w:rPr>
      </w:pPr>
    </w:p>
    <w:p>
      <w:pPr>
        <w:ind w:left="1360" w:hanging="373"/>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substantially in the form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90" w:lineRule="exact"/>
        <w:rPr>
          <w:sz w:val="20"/>
          <w:szCs w:val="20"/>
          <w:color w:val="auto"/>
        </w:rPr>
      </w:pPr>
    </w:p>
    <w:p>
      <w:pPr>
        <w:ind w:left="1380" w:hanging="393"/>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Borrower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such information on DebtDomain, IntraLinks, Syndtrak, ClearPar, or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 side” Lenders (i.e., Lenders that do not wish to receive material non-public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10" w:name="page111"/>
    <w:bookmarkEnd w:id="110"/>
    <w:p>
      <w:pPr>
        <w:ind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Notices of Material Events.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1360" w:hanging="373"/>
        <w:spacing w:after="0"/>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occurrence of any continuing Default;</w:t>
      </w:r>
    </w:p>
    <w:p>
      <w:pPr>
        <w:spacing w:after="0" w:line="225" w:lineRule="exact"/>
        <w:rPr>
          <w:rFonts w:ascii="Arial" w:cs="Arial" w:eastAsia="Arial" w:hAnsi="Arial"/>
          <w:sz w:val="18"/>
          <w:szCs w:val="18"/>
          <w:color w:val="auto"/>
        </w:rPr>
      </w:pPr>
    </w:p>
    <w:p>
      <w:pPr>
        <w:ind w:right="500" w:firstLine="987"/>
        <w:spacing w:after="0" w:line="308" w:lineRule="auto"/>
        <w:tabs>
          <w:tab w:leader="none" w:pos="138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Subsidiary thereof that would reasonably be expected to result in a Material Adverse Effect; and</w:t>
      </w:r>
    </w:p>
    <w:p>
      <w:pPr>
        <w:spacing w:after="0" w:line="146" w:lineRule="exact"/>
        <w:rPr>
          <w:rFonts w:ascii="Arial" w:cs="Arial" w:eastAsia="Arial" w:hAnsi="Arial"/>
          <w:sz w:val="17"/>
          <w:szCs w:val="17"/>
          <w:color w:val="auto"/>
        </w:rPr>
      </w:pPr>
    </w:p>
    <w:p>
      <w:pPr>
        <w:ind w:right="280" w:firstLine="987"/>
        <w:spacing w:after="0" w:line="277" w:lineRule="auto"/>
        <w:tabs>
          <w:tab w:leader="none" w:pos="137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Existence; Conduct of Business.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5.04 Payment of Obligations.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SECTION 5.05 Maintenance of Properties; Insurance.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11" w:name="page112"/>
    <w:bookmarkEnd w:id="111"/>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Inspection Rights.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6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SECTION 5.07 Compliance with Laws.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5.08 Use of Proceeds and Letters of Credit. The proceeds of Loans and other Credit Events will be used for general lawful corporate purposes of the Borrower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proceeds of the Loan made under the Certain Funds Draw on the Closing Date shall only be used to finance a portion of the Borrower Cash Distribution. No part of the proceeds of any Loan will be used, whether directly or indirectly, for any purpose that entails a violation of any of the Regulations of the Board, including Regulations T, U and X.</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SECTION 5.09 Guarantees. (a)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Arial" w:cs="Arial" w:eastAsia="Arial" w:hAnsi="Arial"/>
          <w:sz w:val="17"/>
          <w:szCs w:val="17"/>
          <w:u w:val="single" w:color="auto"/>
          <w:color w:val="auto"/>
        </w:rPr>
        <w:t>Triggering Indebtedness</w:t>
      </w:r>
      <w:r>
        <w:rPr>
          <w:rFonts w:ascii="Arial" w:cs="Arial" w:eastAsia="Arial" w:hAnsi="Arial"/>
          <w:sz w:val="17"/>
          <w:szCs w:val="17"/>
          <w:color w:val="auto"/>
        </w:rPr>
        <w:t>”) or (y) Mylan Notes in excess of an aggregate principal amount of $500,000,000 and (ii) if Finco ceases to be an Excluded Finco and would otherwise satisfy clause (a)(i)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Exhibit F (each such joinder, a “</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Joinder Agreement</w:t>
      </w:r>
      <w:r>
        <w:rPr>
          <w:rFonts w:ascii="Arial" w:cs="Arial" w:eastAsia="Arial" w:hAnsi="Arial"/>
          <w:sz w:val="17"/>
          <w:szCs w:val="17"/>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4.01(d) (with such changes as may be appropriate to reflect local law concerns), (D) customary closing documents substantially similar to those delivered pursuant to Section 4.01(e) and (E) other documentation required under applicable Laws (it being understood that any such guarantee of Indebtedness by such Subsidiary shall be subject to the provisions of Section 6.01 of this Agreement). In the event that (1) the Administrative Agent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12" w:name="page113"/>
    <w:bookmarkEnd w:id="112"/>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receives evidence reasonably satisfactory to it that any Guarantor (other than Finco)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64" w:lineRule="exact"/>
        <w:rPr>
          <w:sz w:val="20"/>
          <w:szCs w:val="20"/>
          <w:color w:val="auto"/>
        </w:rPr>
      </w:pPr>
    </w:p>
    <w:p>
      <w:pPr>
        <w:jc w:val="both"/>
        <w:ind w:right="60" w:firstLine="987"/>
        <w:spacing w:after="0" w:line="257" w:lineRule="auto"/>
        <w:tabs>
          <w:tab w:leader="none" w:pos="1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Borrower shall, not later than one Business Day after the consummation of the Combination, cause each Mylan Guarantor and each other Guarantor to Guarantee the Obligations in favor of the Administrative Agent for the benefit of the Administrative Agent and the Lenders in accordance with Section 5.09(a) and deliver (or cause to be delivered) the documents referred to in Section 5.09(a);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Guarantee of each Mylan Guarantor and each other Guarantor shall be subject to release in accordance with Section 5.09(a) and clause (i) of Article VIII.</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Applicable only from and after the consummation of the Combination until the Commitments have expired or terminated and the principal of and interest on each Loan and all fees payable hereunder have been paid in full and all Letters of Credit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6.01 Indebtedness.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180" w:firstLine="987"/>
        <w:spacing w:after="0" w:line="263" w:lineRule="auto"/>
        <w:tabs>
          <w:tab w:leader="none" w:pos="138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firstLine="987"/>
        <w:spacing w:after="0" w:line="263" w:lineRule="auto"/>
        <w:tabs>
          <w:tab w:leader="none" w:pos="13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right="100" w:firstLine="987"/>
        <w:spacing w:after="0" w:line="308" w:lineRule="auto"/>
        <w:tabs>
          <w:tab w:leader="none" w:pos="138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 Indebtedness incurred to finance the acquisition, construction, repair, replacement or improvement of any fixed or capital assets, including Capital Lease Obligations and any Indebtedness assumed in connection with the acquisition of any such assets or secured by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20"/>
          </w:cols>
          <w:pgMar w:left="440" w:top="274" w:right="539" w:bottom="1440" w:gutter="0" w:footer="0" w:header="0"/>
        </w:sectPr>
      </w:pPr>
    </w:p>
    <w:bookmarkStart w:id="113" w:name="page114"/>
    <w:bookmarkEnd w:id="11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Lien on any such assets prior to the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Indebtedness is incurred prior to or within two hundred seventy</w:t>
      </w:r>
    </w:p>
    <w:p>
      <w:pPr>
        <w:spacing w:after="0" w:line="35" w:lineRule="exact"/>
        <w:rPr>
          <w:sz w:val="20"/>
          <w:szCs w:val="20"/>
          <w:color w:val="auto"/>
        </w:rPr>
      </w:pPr>
    </w:p>
    <w:p>
      <w:pPr>
        <w:jc w:val="both"/>
        <w:ind w:left="4" w:right="60" w:hanging="4"/>
        <w:spacing w:after="0" w:line="295" w:lineRule="auto"/>
        <w:tabs>
          <w:tab w:leader="none" w:pos="43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61" w:lineRule="exact"/>
        <w:rPr>
          <w:rFonts w:ascii="Arial" w:cs="Arial" w:eastAsia="Arial" w:hAnsi="Arial"/>
          <w:sz w:val="16"/>
          <w:szCs w:val="16"/>
          <w:color w:val="auto"/>
        </w:rPr>
      </w:pPr>
    </w:p>
    <w:p>
      <w:pPr>
        <w:ind w:left="4" w:firstLine="987"/>
        <w:spacing w:after="0" w:line="257" w:lineRule="auto"/>
        <w:tabs>
          <w:tab w:leader="none" w:pos="13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7" w:lineRule="exact"/>
        <w:rPr>
          <w:rFonts w:ascii="Arial" w:cs="Arial" w:eastAsia="Arial" w:hAnsi="Arial"/>
          <w:sz w:val="18"/>
          <w:szCs w:val="18"/>
          <w:color w:val="auto"/>
        </w:rPr>
      </w:pPr>
    </w:p>
    <w:p>
      <w:pPr>
        <w:ind w:left="4" w:right="200" w:firstLine="987"/>
        <w:spacing w:after="0" w:line="263" w:lineRule="auto"/>
        <w:tabs>
          <w:tab w:leader="none" w:pos="13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20" w:firstLine="987"/>
        <w:spacing w:after="0" w:line="259" w:lineRule="auto"/>
        <w:tabs>
          <w:tab w:leader="none" w:pos="138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80" w:firstLine="987"/>
        <w:spacing w:after="0" w:line="342" w:lineRule="auto"/>
        <w:tabs>
          <w:tab w:leader="none" w:pos="134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60" w:firstLine="987"/>
        <w:spacing w:after="0" w:line="287" w:lineRule="auto"/>
        <w:tabs>
          <w:tab w:leader="none" w:pos="138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800" w:firstLine="987"/>
        <w:spacing w:after="0" w:line="277" w:lineRule="auto"/>
        <w:tabs>
          <w:tab w:leader="none" w:pos="13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4"/>
          </w:cols>
          <w:pgMar w:left="436" w:top="274" w:right="479" w:bottom="1440" w:gutter="0" w:footer="0" w:header="0"/>
        </w:sectPr>
      </w:pPr>
    </w:p>
    <w:bookmarkStart w:id="114" w:name="page115"/>
    <w:bookmarkEnd w:id="114"/>
    <w:p>
      <w:pPr>
        <w:ind w:left="1424" w:hanging="433"/>
        <w:spacing w:after="0"/>
        <w:tabs>
          <w:tab w:leader="none" w:pos="1424" w:val="left"/>
        </w:tabs>
        <w:numPr>
          <w:ilvl w:val="1"/>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firstLine="987"/>
        <w:spacing w:after="0" w:line="273" w:lineRule="auto"/>
        <w:tabs>
          <w:tab w:leader="none" w:pos="1385"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$2,500,000,000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77" w:lineRule="exact"/>
        <w:rPr>
          <w:rFonts w:ascii="Arial" w:cs="Arial" w:eastAsia="Arial" w:hAnsi="Arial"/>
          <w:sz w:val="17"/>
          <w:szCs w:val="17"/>
          <w:color w:val="auto"/>
        </w:rPr>
      </w:pPr>
    </w:p>
    <w:p>
      <w:pPr>
        <w:ind w:left="4" w:right="60" w:firstLine="987"/>
        <w:spacing w:after="0" w:line="287" w:lineRule="auto"/>
        <w:tabs>
          <w:tab w:leader="none" w:pos="138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236" w:lineRule="exact"/>
        <w:rPr>
          <w:rFonts w:ascii="Arial" w:cs="Arial" w:eastAsia="Arial" w:hAnsi="Arial"/>
          <w:sz w:val="17"/>
          <w:szCs w:val="17"/>
          <w:color w:val="auto"/>
        </w:rPr>
      </w:pPr>
    </w:p>
    <w:p>
      <w:pPr>
        <w:ind w:left="1344" w:hanging="353"/>
        <w:spacing w:after="0"/>
        <w:tabs>
          <w:tab w:leader="none" w:pos="13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left="4" w:right="460" w:firstLine="987"/>
        <w:spacing w:after="0" w:line="277" w:lineRule="auto"/>
        <w:tabs>
          <w:tab w:leader="none" w:pos="136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Liens. The Borrower will not, and will not permit any Subsidiary to, create, incur, assume or permit to exist any Lien on 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4" w:hanging="373"/>
        <w:spacing w:after="0"/>
        <w:tabs>
          <w:tab w:leader="none" w:pos="13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4" w:right="280" w:firstLine="987"/>
        <w:spacing w:after="0" w:line="275" w:lineRule="auto"/>
        <w:tabs>
          <w:tab w:leader="none" w:pos="13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4"/>
          </w:cols>
          <w:pgMar w:left="436" w:top="274" w:right="499" w:bottom="1440" w:gutter="0" w:footer="0" w:header="0"/>
        </w:sectPr>
      </w:pPr>
    </w:p>
    <w:bookmarkStart w:id="115" w:name="page116"/>
    <w:bookmarkEnd w:id="115"/>
    <w:p>
      <w:pPr>
        <w:ind w:left="4" w:right="40" w:firstLine="987"/>
        <w:spacing w:after="0" w:line="272" w:lineRule="auto"/>
        <w:tabs>
          <w:tab w:leader="none" w:pos="1375" w:val="left"/>
        </w:tabs>
        <w:numPr>
          <w:ilvl w:val="1"/>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77" w:lineRule="exact"/>
        <w:rPr>
          <w:rFonts w:ascii="Arial" w:cs="Arial" w:eastAsia="Arial" w:hAnsi="Arial"/>
          <w:sz w:val="17"/>
          <w:szCs w:val="17"/>
          <w:color w:val="auto"/>
        </w:rPr>
      </w:pPr>
    </w:p>
    <w:p>
      <w:pPr>
        <w:ind w:left="4" w:right="20" w:firstLine="987"/>
        <w:spacing w:after="0" w:line="288" w:lineRule="auto"/>
        <w:tabs>
          <w:tab w:leader="none" w:pos="138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 Liens on fixed or capital assets acquired, constructed, repaired, replaced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fixed or capital assets provided by one lender may be cross-collateralized to other financings of fixed or capital assets provided by such lender;</w:t>
      </w:r>
    </w:p>
    <w:p>
      <w:pPr>
        <w:spacing w:after="0" w:line="168" w:lineRule="exact"/>
        <w:rPr>
          <w:rFonts w:ascii="Arial" w:cs="Arial" w:eastAsia="Arial" w:hAnsi="Arial"/>
          <w:sz w:val="16"/>
          <w:szCs w:val="16"/>
          <w:color w:val="auto"/>
        </w:rPr>
      </w:pPr>
    </w:p>
    <w:p>
      <w:pPr>
        <w:ind w:left="4" w:right="60" w:firstLine="987"/>
        <w:spacing w:after="0" w:line="259" w:lineRule="auto"/>
        <w:tabs>
          <w:tab w:leader="none" w:pos="137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116" w:name="page117"/>
    <w:bookmarkEnd w:id="116"/>
    <w:p>
      <w:pPr>
        <w:ind w:left="1384" w:hanging="393"/>
        <w:spacing w:after="0"/>
        <w:tabs>
          <w:tab w:leader="none" w:pos="1384"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5" w:lineRule="exact"/>
        <w:rPr>
          <w:sz w:val="20"/>
          <w:szCs w:val="20"/>
          <w:color w:val="auto"/>
        </w:rPr>
      </w:pPr>
    </w:p>
    <w:p>
      <w:pPr>
        <w:ind w:left="4" w:hanging="4"/>
        <w:spacing w:after="0" w:line="271" w:lineRule="auto"/>
        <w:tabs>
          <w:tab w:leader="none" w:pos="22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$2,500,000,000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117" w:name="page118"/>
    <w:bookmarkEnd w:id="117"/>
    <w:p>
      <w:pPr>
        <w:ind w:left="1360" w:hanging="373"/>
        <w:spacing w:after="0"/>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right="220" w:firstLine="987"/>
        <w:spacing w:after="0" w:line="342" w:lineRule="auto"/>
        <w:tabs>
          <w:tab w:leader="none" w:pos="134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firstLine="987"/>
        <w:spacing w:after="0" w:line="277" w:lineRule="auto"/>
        <w:tabs>
          <w:tab w:leader="none" w:pos="13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right="80" w:firstLine="987"/>
        <w:spacing w:after="0" w:line="277" w:lineRule="auto"/>
        <w:tabs>
          <w:tab w:leader="none" w:pos="14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Cash Equivalents deposited as Cash Collateral on Letters of Credit as contemplated by this Agreement;</w:t>
      </w:r>
    </w:p>
    <w:p>
      <w:pPr>
        <w:spacing w:after="0" w:line="225" w:lineRule="exact"/>
        <w:rPr>
          <w:rFonts w:ascii="Arial" w:cs="Arial" w:eastAsia="Arial" w:hAnsi="Arial"/>
          <w:sz w:val="18"/>
          <w:szCs w:val="18"/>
          <w:color w:val="auto"/>
        </w:rPr>
      </w:pPr>
    </w:p>
    <w:p>
      <w:pPr>
        <w:ind w:firstLine="987"/>
        <w:spacing w:after="0" w:line="277" w:lineRule="auto"/>
        <w:tabs>
          <w:tab w:leader="none" w:pos="13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right="240" w:firstLine="987"/>
        <w:spacing w:after="0" w:line="311" w:lineRule="auto"/>
        <w:tabs>
          <w:tab w:leader="none" w:pos="137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6.03 Fundamental Changes.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Investment in connection therewith is otherwise permitted by Section 6.05;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6.04 Restricted Payments. The Borrower will not, and will not permit any of its Subsidiaries to, declare or make, or agree to pay or make, directly or indirectly, any Restricted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4" w:right="479" w:bottom="1440" w:gutter="0" w:footer="0" w:header="0"/>
        </w:sectPr>
      </w:pPr>
    </w:p>
    <w:bookmarkStart w:id="118" w:name="page119"/>
    <w:bookmarkEnd w:id="118"/>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except (a) the Borrower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w:t>
      </w:r>
    </w:p>
    <w:p>
      <w:pPr>
        <w:spacing w:after="0" w:line="6" w:lineRule="exact"/>
        <w:rPr>
          <w:sz w:val="20"/>
          <w:szCs w:val="20"/>
          <w:color w:val="auto"/>
        </w:rPr>
      </w:pPr>
    </w:p>
    <w:p>
      <w:pPr>
        <w:ind w:left="4" w:right="180" w:hanging="4"/>
        <w:spacing w:after="0" w:line="271"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Investments. The Borrower will not, and will not allow any of its Subsidiaries to make or hold any Investments, except:</w:t>
      </w:r>
    </w:p>
    <w:p>
      <w:pPr>
        <w:spacing w:after="0" w:line="225" w:lineRule="exact"/>
        <w:rPr>
          <w:sz w:val="20"/>
          <w:szCs w:val="20"/>
          <w:color w:val="auto"/>
        </w:rPr>
      </w:pPr>
    </w:p>
    <w:p>
      <w:pPr>
        <w:ind w:left="1364" w:hanging="373"/>
        <w:spacing w:after="0"/>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left="4" w:firstLine="987"/>
        <w:spacing w:after="0" w:line="301" w:lineRule="auto"/>
        <w:tabs>
          <w:tab w:leader="none" w:pos="13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64" w:hanging="373"/>
        <w:spacing w:after="0"/>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left="4" w:right="100" w:firstLine="987"/>
        <w:spacing w:after="0" w:line="255" w:lineRule="auto"/>
        <w:tabs>
          <w:tab w:leader="none" w:pos="13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4"/>
          </w:cols>
          <w:pgMar w:left="436" w:top="274" w:right="499" w:bottom="1440" w:gutter="0" w:footer="0" w:header="0"/>
        </w:sectPr>
      </w:pPr>
    </w:p>
    <w:bookmarkStart w:id="119" w:name="page120"/>
    <w:bookmarkEnd w:id="119"/>
    <w:p>
      <w:pPr>
        <w:ind w:right="100" w:firstLine="987"/>
        <w:spacing w:after="0" w:line="259" w:lineRule="auto"/>
        <w:tabs>
          <w:tab w:leader="none" w:pos="13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Swap Agreements in the ordinary course of business;</w:t>
      </w:r>
    </w:p>
    <w:p>
      <w:pPr>
        <w:spacing w:after="0" w:line="225" w:lineRule="exact"/>
        <w:rPr>
          <w:rFonts w:ascii="Arial" w:cs="Arial" w:eastAsia="Arial" w:hAnsi="Arial"/>
          <w:sz w:val="18"/>
          <w:szCs w:val="18"/>
          <w:color w:val="auto"/>
        </w:rPr>
      </w:pPr>
    </w:p>
    <w:p>
      <w:pPr>
        <w:ind w:right="180" w:firstLine="987"/>
        <w:spacing w:after="0" w:line="277" w:lineRule="auto"/>
        <w:tabs>
          <w:tab w:leader="none" w:pos="13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right="720" w:firstLine="987"/>
        <w:spacing w:after="0" w:line="342" w:lineRule="auto"/>
        <w:tabs>
          <w:tab w:leader="none" w:pos="13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advances of payroll payments, fees or other compensation to officers, directors, consultants or employees,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120" w:name="page121"/>
    <w:bookmarkEnd w:id="120"/>
    <w:p>
      <w:pPr>
        <w:ind w:left="4" w:right="80" w:firstLine="987"/>
        <w:spacing w:after="0" w:line="263" w:lineRule="auto"/>
        <w:tabs>
          <w:tab w:leader="none" w:pos="13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6.06 Transactions with Affiliates.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w:t>
      </w:r>
      <w:r>
        <w:rPr>
          <w:rFonts w:ascii="Arial" w:cs="Arial" w:eastAsia="Arial" w:hAnsi="Arial"/>
          <w:sz w:val="16"/>
          <w:szCs w:val="16"/>
          <w:u w:val="single" w:color="auto"/>
          <w:color w:val="auto"/>
        </w:rPr>
        <w:t>Schedule</w:t>
      </w:r>
    </w:p>
    <w:p>
      <w:pPr>
        <w:spacing w:after="0" w:line="6" w:lineRule="exact"/>
        <w:rPr>
          <w:sz w:val="20"/>
          <w:szCs w:val="20"/>
          <w:color w:val="auto"/>
        </w:rPr>
      </w:pPr>
    </w:p>
    <w:p>
      <w:pPr>
        <w:ind w:left="4"/>
        <w:spacing w:after="0" w:line="281" w:lineRule="auto"/>
        <w:rPr>
          <w:sz w:val="20"/>
          <w:szCs w:val="20"/>
          <w:color w:val="auto"/>
        </w:rPr>
      </w:pPr>
      <w:r>
        <w:rPr>
          <w:rFonts w:ascii="Arial" w:cs="Arial" w:eastAsia="Arial" w:hAnsi="Arial"/>
          <w:sz w:val="16"/>
          <w:szCs w:val="16"/>
          <w:u w:val="single" w:color="auto"/>
          <w:color w:val="auto"/>
        </w:rPr>
        <w:t>6.06</w:t>
      </w:r>
      <w:r>
        <w:rPr>
          <w:rFonts w:ascii="Arial" w:cs="Arial" w:eastAsia="Arial" w:hAnsi="Arial"/>
          <w:sz w:val="16"/>
          <w:szCs w:val="16"/>
          <w:color w:val="auto"/>
        </w:rPr>
        <w:t xml:space="preserve">, in each case, with officers, directors, consultants and employees of the Borrower or its Subsidiaries, (g) the transactions pursuant to the agreements set forth in </w:t>
      </w:r>
      <w:r>
        <w:rPr>
          <w:rFonts w:ascii="Arial" w:cs="Arial" w:eastAsia="Arial" w:hAnsi="Arial"/>
          <w:sz w:val="16"/>
          <w:szCs w:val="16"/>
          <w:u w:val="single" w:color="auto"/>
          <w:color w:val="auto"/>
        </w:rPr>
        <w:t>Schedule 6.06</w:t>
      </w:r>
      <w:r>
        <w:rPr>
          <w:rFonts w:ascii="Arial" w:cs="Arial" w:eastAsia="Arial" w:hAnsi="Arial"/>
          <w:sz w:val="16"/>
          <w:szCs w:val="16"/>
          <w:color w:val="auto"/>
        </w:rPr>
        <w:t xml:space="preserve">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Arial" w:cs="Arial" w:eastAsia="Arial" w:hAnsi="Arial"/>
          <w:sz w:val="16"/>
          <w:szCs w:val="16"/>
          <w:u w:val="single" w:color="auto"/>
          <w:color w:val="auto"/>
        </w:rPr>
        <w:t>Schedule 6.06</w:t>
      </w:r>
      <w:r>
        <w:rPr>
          <w:rFonts w:ascii="Arial" w:cs="Arial" w:eastAsia="Arial" w:hAnsi="Arial"/>
          <w:sz w:val="16"/>
          <w:szCs w:val="16"/>
          <w:color w:val="auto"/>
        </w:rPr>
        <w:t>,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w:t>
      </w:r>
    </w:p>
    <w:p>
      <w:pPr>
        <w:spacing w:after="0" w:line="9" w:lineRule="exact"/>
        <w:rPr>
          <w:sz w:val="20"/>
          <w:szCs w:val="20"/>
          <w:color w:val="auto"/>
        </w:rPr>
      </w:pPr>
    </w:p>
    <w:p>
      <w:pPr>
        <w:ind w:left="4" w:right="40" w:hanging="4"/>
        <w:spacing w:after="0" w:line="260"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transactions approved by the Audit Committee of the Board of Directors of the Borrower in accordance with the Borrower’s policy regarding related party transactions in effect from time to time.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121" w:name="page122"/>
    <w:bookmarkEnd w:id="121"/>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6.07</w:t>
      </w:r>
      <w:r>
        <w:rPr>
          <w:sz w:val="20"/>
          <w:szCs w:val="20"/>
          <w:color w:val="auto"/>
        </w:rPr>
        <w:tab/>
      </w:r>
      <w:r>
        <w:rPr>
          <w:rFonts w:ascii="Arial" w:cs="Arial" w:eastAsia="Arial" w:hAnsi="Arial"/>
          <w:sz w:val="16"/>
          <w:szCs w:val="16"/>
          <w:color w:val="auto"/>
        </w:rPr>
        <w:t>Financial Covenant. The Borrower will not permit the Consolidated Leverage Ratio as of the last day of any fiscal quarter</w:t>
      </w:r>
    </w:p>
    <w:p>
      <w:pPr>
        <w:spacing w:after="0" w:line="23" w:lineRule="exact"/>
        <w:rPr>
          <w:sz w:val="20"/>
          <w:szCs w:val="20"/>
          <w:color w:val="auto"/>
        </w:rPr>
      </w:pPr>
    </w:p>
    <w:p>
      <w:pPr>
        <w:ind w:left="4" w:right="120" w:hanging="4"/>
        <w:spacing w:after="0" w:line="253" w:lineRule="auto"/>
        <w:tabs>
          <w:tab w:leader="none" w:pos="25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ended on or prior to the first four full fiscal quarters ending after the Closing Date to exceed 4.25 to 1.00 and (y) any fiscal quarter thereafter to exceed 3.75 to 1.00; provided that in lieu of the ratio set forth in this clause (y),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3" w:lineRule="exact"/>
        <w:rPr>
          <w:sz w:val="20"/>
          <w:szCs w:val="20"/>
          <w:color w:val="auto"/>
        </w:rPr>
      </w:pPr>
    </w:p>
    <w:p>
      <w:pPr>
        <w:ind w:left="4" w:right="300" w:firstLine="440"/>
        <w:spacing w:after="0" w:line="286" w:lineRule="auto"/>
        <w:rPr>
          <w:sz w:val="20"/>
          <w:szCs w:val="20"/>
          <w:color w:val="auto"/>
        </w:rPr>
      </w:pPr>
      <w:r>
        <w:rPr>
          <w:rFonts w:ascii="Arial" w:cs="Arial" w:eastAsia="Arial" w:hAnsi="Arial"/>
          <w:sz w:val="17"/>
          <w:szCs w:val="17"/>
          <w:color w:val="auto"/>
        </w:rPr>
        <w:t>SECTION 6.08 Lines of Business.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 (other than the event set forth in paragraph (o) below):</w:t>
      </w:r>
    </w:p>
    <w:p>
      <w:pPr>
        <w:spacing w:after="0" w:line="170" w:lineRule="exact"/>
        <w:rPr>
          <w:sz w:val="20"/>
          <w:szCs w:val="20"/>
          <w:color w:val="auto"/>
        </w:rPr>
      </w:pPr>
    </w:p>
    <w:p>
      <w:pPr>
        <w:ind w:left="4" w:right="180" w:firstLine="987"/>
        <w:spacing w:after="0" w:line="308" w:lineRule="auto"/>
        <w:tabs>
          <w:tab w:leader="none" w:pos="137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ind w:left="1384" w:hanging="393"/>
        <w:spacing w:after="0"/>
        <w:tabs>
          <w:tab w:leader="none" w:pos="138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Loan or any fee or any other amount (other than an amount referred to in clause</w:t>
      </w:r>
    </w:p>
    <w:p>
      <w:pPr>
        <w:spacing w:after="0" w:line="46"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 this Article) payable under this Agreement, when and as the same shall become due and payable, and such failure shall continue unremedied for a period of five (5) Business Days;</w:t>
      </w:r>
    </w:p>
    <w:p>
      <w:pPr>
        <w:spacing w:after="0" w:line="185" w:lineRule="exact"/>
        <w:rPr>
          <w:rFonts w:ascii="Arial" w:cs="Arial" w:eastAsia="Arial" w:hAnsi="Arial"/>
          <w:sz w:val="18"/>
          <w:szCs w:val="18"/>
          <w:color w:val="auto"/>
        </w:rPr>
      </w:pPr>
    </w:p>
    <w:p>
      <w:pPr>
        <w:ind w:left="4" w:firstLine="987"/>
        <w:spacing w:after="0" w:line="279" w:lineRule="auto"/>
        <w:tabs>
          <w:tab w:leader="none" w:pos="137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left="4" w:right="20" w:firstLine="987"/>
        <w:spacing w:after="0" w:line="277" w:lineRule="auto"/>
        <w:tabs>
          <w:tab w:leader="none" w:pos="138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Section 5.09(b) or Article VI;</w:t>
      </w:r>
    </w:p>
    <w:p>
      <w:pPr>
        <w:spacing w:after="0" w:line="170" w:lineRule="exact"/>
        <w:rPr>
          <w:rFonts w:ascii="Arial" w:cs="Arial" w:eastAsia="Arial" w:hAnsi="Arial"/>
          <w:sz w:val="18"/>
          <w:szCs w:val="18"/>
          <w:color w:val="auto"/>
        </w:rPr>
      </w:pPr>
    </w:p>
    <w:p>
      <w:pPr>
        <w:ind w:left="4" w:right="140" w:firstLine="987"/>
        <w:spacing w:after="0" w:line="263" w:lineRule="auto"/>
        <w:tabs>
          <w:tab w:leader="none" w:pos="137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22" w:name="page123"/>
    <w:bookmarkEnd w:id="122"/>
    <w:p>
      <w:pPr>
        <w:ind w:left="4" w:right="40" w:firstLine="987"/>
        <w:spacing w:after="0" w:line="271" w:lineRule="auto"/>
        <w:tabs>
          <w:tab w:leader="none" w:pos="1355" w:val="left"/>
        </w:tabs>
        <w:numPr>
          <w:ilvl w:val="1"/>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78" w:lineRule="exact"/>
        <w:rPr>
          <w:rFonts w:ascii="Arial" w:cs="Arial" w:eastAsia="Arial" w:hAnsi="Arial"/>
          <w:sz w:val="17"/>
          <w:szCs w:val="17"/>
          <w:color w:val="auto"/>
        </w:rPr>
      </w:pPr>
    </w:p>
    <w:p>
      <w:pPr>
        <w:ind w:left="4" w:right="100" w:firstLine="987"/>
        <w:spacing w:after="0" w:line="284" w:lineRule="auto"/>
        <w:tabs>
          <w:tab w:leader="none" w:pos="138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w:t>
      </w:r>
    </w:p>
    <w:p>
      <w:pPr>
        <w:spacing w:after="0" w:line="2" w:lineRule="exact"/>
        <w:rPr>
          <w:rFonts w:ascii="Arial" w:cs="Arial" w:eastAsia="Arial" w:hAnsi="Arial"/>
          <w:sz w:val="16"/>
          <w:szCs w:val="16"/>
          <w:color w:val="auto"/>
        </w:rPr>
      </w:pPr>
    </w:p>
    <w:p>
      <w:pPr>
        <w:ind w:left="4" w:right="300" w:hanging="4"/>
        <w:spacing w:after="0" w:line="290" w:lineRule="auto"/>
        <w:tabs>
          <w:tab w:leader="none" w:pos="26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61" w:lineRule="exact"/>
        <w:rPr>
          <w:rFonts w:ascii="Arial" w:cs="Arial" w:eastAsia="Arial" w:hAnsi="Arial"/>
          <w:sz w:val="17"/>
          <w:szCs w:val="17"/>
          <w:color w:val="auto"/>
        </w:rPr>
      </w:pPr>
    </w:p>
    <w:p>
      <w:pPr>
        <w:ind w:left="4" w:right="240" w:firstLine="987"/>
        <w:spacing w:after="0" w:line="293" w:lineRule="auto"/>
        <w:tabs>
          <w:tab w:leader="none" w:pos="138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left="4" w:firstLine="987"/>
        <w:spacing w:after="0" w:line="254" w:lineRule="auto"/>
        <w:tabs>
          <w:tab w:leader="none" w:pos="13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4"/>
          </w:cols>
          <w:pgMar w:left="436" w:top="274" w:right="439" w:bottom="1440" w:gutter="0" w:footer="0" w:header="0"/>
        </w:sectPr>
      </w:pPr>
    </w:p>
    <w:bookmarkStart w:id="123" w:name="page124"/>
    <w:bookmarkEnd w:id="123"/>
    <w:p>
      <w:pPr>
        <w:ind w:right="160" w:firstLine="987"/>
        <w:spacing w:after="0" w:line="277" w:lineRule="auto"/>
        <w:tabs>
          <w:tab w:leader="none" w:pos="13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Loan Party or any Material Subsidiary shall become generally unable, admit in writing its inability generally or fail generally to pay its debts as they become due;</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6"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right="40" w:firstLine="987"/>
        <w:spacing w:after="0" w:line="291" w:lineRule="auto"/>
        <w:tabs>
          <w:tab w:leader="none" w:pos="138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5.09(a)), or purports in writing to revoke or rescind any Guarantee Agreement, in each case with respect to a material provision of any such Guarantee Agreement; or</w:t>
      </w:r>
    </w:p>
    <w:p>
      <w:pPr>
        <w:spacing w:after="0" w:line="166" w:lineRule="exact"/>
        <w:rPr>
          <w:rFonts w:ascii="Arial" w:cs="Arial" w:eastAsia="Arial" w:hAnsi="Arial"/>
          <w:sz w:val="16"/>
          <w:szCs w:val="16"/>
          <w:color w:val="auto"/>
        </w:rPr>
      </w:pPr>
    </w:p>
    <w:p>
      <w:pPr>
        <w:ind w:left="1380" w:hanging="393"/>
        <w:spacing w:after="0"/>
        <w:tabs>
          <w:tab w:leader="none" w:pos="13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Combination Transactions shall fail for any reason to be consummated within two Business Days following the Closing Date,</w:t>
      </w:r>
    </w:p>
    <w:p>
      <w:pPr>
        <w:spacing w:after="0" w:line="23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Commitments shall automatically terminate and the principal of the Loans then outstanding,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24" w:name="page125"/>
    <w:bookmarkEnd w:id="124"/>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29" w:lineRule="exact"/>
        <w:rPr>
          <w:sz w:val="20"/>
          <w:szCs w:val="20"/>
          <w:color w:val="auto"/>
        </w:rPr>
      </w:pPr>
    </w:p>
    <w:p>
      <w:pPr>
        <w:ind w:right="80" w:firstLine="987"/>
        <w:spacing w:after="0" w:line="290" w:lineRule="auto"/>
        <w:tabs>
          <w:tab w:leader="none" w:pos="137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the Lenders and the Issuing Banks,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5" w:lineRule="exact"/>
        <w:rPr>
          <w:rFonts w:ascii="Arial" w:cs="Arial" w:eastAsia="Arial" w:hAnsi="Arial"/>
          <w:sz w:val="16"/>
          <w:szCs w:val="16"/>
          <w:color w:val="auto"/>
        </w:rPr>
      </w:pPr>
    </w:p>
    <w:p>
      <w:pPr>
        <w:ind w:right="20" w:firstLine="987"/>
        <w:spacing w:after="0" w:line="272" w:lineRule="auto"/>
        <w:tabs>
          <w:tab w:leader="none" w:pos="137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77" w:lineRule="exact"/>
        <w:rPr>
          <w:rFonts w:ascii="Arial" w:cs="Arial" w:eastAsia="Arial" w:hAnsi="Arial"/>
          <w:sz w:val="17"/>
          <w:szCs w:val="17"/>
          <w:color w:val="auto"/>
        </w:rPr>
      </w:pPr>
    </w:p>
    <w:p>
      <w:pPr>
        <w:ind w:firstLine="987"/>
        <w:spacing w:after="0" w:line="270" w:lineRule="auto"/>
        <w:tabs>
          <w:tab w:leader="none" w:pos="136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4" w:right="479" w:bottom="1440" w:gutter="0" w:footer="0" w:header="0"/>
        </w:sectPr>
      </w:pPr>
    </w:p>
    <w:bookmarkStart w:id="125" w:name="page126"/>
    <w:bookmarkEnd w:id="12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a Lender or an Issuing Bank; and</w:t>
      </w:r>
    </w:p>
    <w:p>
      <w:pPr>
        <w:spacing w:after="0" w:line="4" w:lineRule="exact"/>
        <w:rPr>
          <w:sz w:val="20"/>
          <w:szCs w:val="20"/>
          <w:color w:val="auto"/>
        </w:rPr>
      </w:pPr>
    </w:p>
    <w:p>
      <w:pPr>
        <w:ind w:left="4" w:right="20" w:hanging="4"/>
        <w:spacing w:after="0" w:line="252"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shall not be responsible for or have any duty or obligation to any Lender, any Issuing Bank,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92" w:lineRule="exact"/>
        <w:rPr>
          <w:rFonts w:ascii="Arial" w:cs="Arial" w:eastAsia="Arial" w:hAnsi="Arial"/>
          <w:sz w:val="18"/>
          <w:szCs w:val="18"/>
          <w:color w:val="auto"/>
        </w:rPr>
      </w:pPr>
    </w:p>
    <w:p>
      <w:pPr>
        <w:ind w:left="4" w:right="100" w:firstLine="987"/>
        <w:spacing w:after="0" w:line="288" w:lineRule="auto"/>
        <w:tabs>
          <w:tab w:leader="none" w:pos="138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68" w:lineRule="exact"/>
        <w:rPr>
          <w:rFonts w:ascii="Arial" w:cs="Arial" w:eastAsia="Arial" w:hAnsi="Arial"/>
          <w:sz w:val="16"/>
          <w:szCs w:val="16"/>
          <w:color w:val="auto"/>
        </w:rPr>
      </w:pPr>
    </w:p>
    <w:p>
      <w:pPr>
        <w:ind w:left="4" w:firstLine="987"/>
        <w:spacing w:after="0" w:line="277" w:lineRule="auto"/>
        <w:tabs>
          <w:tab w:leader="none" w:pos="137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4"/>
          </w:cols>
          <w:pgMar w:left="436" w:top="274" w:right="479" w:bottom="1440" w:gutter="0" w:footer="0" w:header="0"/>
        </w:sectPr>
      </w:pPr>
    </w:p>
    <w:bookmarkStart w:id="126" w:name="page127"/>
    <w:bookmarkEnd w:id="12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4" w:lineRule="exact"/>
        <w:rPr>
          <w:sz w:val="20"/>
          <w:szCs w:val="20"/>
          <w:color w:val="auto"/>
        </w:rPr>
      </w:pPr>
    </w:p>
    <w:p>
      <w:pPr>
        <w:ind w:right="20" w:firstLine="987"/>
        <w:spacing w:after="0" w:line="289" w:lineRule="auto"/>
        <w:tabs>
          <w:tab w:leader="none" w:pos="135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 The Administrative Agent may at any time give notice of its resignation to the Lenders, the Issuing Banks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Issuing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58" w:lineRule="exact"/>
        <w:rPr>
          <w:rFonts w:ascii="Arial" w:cs="Arial" w:eastAsia="Arial" w:hAnsi="Arial"/>
          <w:sz w:val="16"/>
          <w:szCs w:val="16"/>
          <w:color w:val="auto"/>
        </w:rPr>
      </w:pPr>
    </w:p>
    <w:p>
      <w:pPr>
        <w:ind w:left="440" w:firstLine="419"/>
        <w:spacing w:after="0" w:line="269" w:lineRule="auto"/>
        <w:tabs>
          <w:tab w:leader="none" w:pos="126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provided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77" w:lineRule="exact"/>
        <w:rPr>
          <w:rFonts w:ascii="Arial" w:cs="Arial" w:eastAsia="Arial" w:hAnsi="Arial"/>
          <w:sz w:val="17"/>
          <w:szCs w:val="17"/>
          <w:color w:val="auto"/>
        </w:rPr>
      </w:pPr>
    </w:p>
    <w:p>
      <w:pPr>
        <w:ind w:left="440" w:right="220" w:firstLine="419"/>
        <w:spacing w:after="0" w:line="259" w:lineRule="auto"/>
        <w:tabs>
          <w:tab w:leader="none" w:pos="130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27" w:name="page128"/>
    <w:bookmarkEnd w:id="12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76" w:lineRule="exact"/>
        <w:rPr>
          <w:sz w:val="20"/>
          <w:szCs w:val="20"/>
          <w:color w:val="auto"/>
        </w:rPr>
      </w:pPr>
    </w:p>
    <w:p>
      <w:pPr>
        <w:ind w:right="80" w:firstLine="419"/>
        <w:spacing w:after="0" w:line="268" w:lineRule="auto"/>
        <w:tabs>
          <w:tab w:leader="none" w:pos="85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an Issuing Bank hereunder with respect to all Letters of Credit outstanding as of the effective date of its resignation as Issuing Bank and all Obligations in respect of Letters of Credit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 of a successor Issuing Bank or Swingline Lender hereunder (which successor shall in all cases be a Lender other than a Defaulting Lender and shall expressly agree to assume such role),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60"/>
          </w:cols>
          <w:pgMar w:left="880" w:top="274" w:right="459" w:bottom="1440" w:gutter="0" w:footer="0" w:header="0"/>
        </w:sectPr>
      </w:pPr>
    </w:p>
    <w:bookmarkStart w:id="128" w:name="page129"/>
    <w:bookmarkEnd w:id="128"/>
    <w:p>
      <w:pPr>
        <w:ind w:firstLine="987"/>
        <w:spacing w:after="0" w:line="284" w:lineRule="auto"/>
        <w:tabs>
          <w:tab w:leader="none" w:pos="1381"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Issuing Bank as to any matter, including whether the Administrative Agent or any Arranger have disclosed material information in their (or their Related Parties’) possession. Each Lender and each Issuing Bank represents to the Administrative Agent and the Arrangers that it has, independently and without reliance upon the Administrative Agent, the Arrangers, any other Lender or other Issuing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any other Lender or other Issuing Bank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or an Issuing Bank, as applicable, party hereto, each Lender and each Issuing Bank represents and warrants that (i) it is the intention of such Lender or such Issuing Bank, as applicable, that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4" w:lineRule="exact"/>
        <w:rPr>
          <w:rFonts w:ascii="Arial" w:cs="Arial" w:eastAsia="Arial" w:hAnsi="Arial"/>
          <w:sz w:val="16"/>
          <w:szCs w:val="16"/>
          <w:color w:val="auto"/>
        </w:rPr>
      </w:pPr>
    </w:p>
    <w:p>
      <w:pPr>
        <w:ind w:left="1380" w:hanging="393"/>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87"/>
        <w:spacing w:after="0" w:line="257" w:lineRule="auto"/>
        <w:tabs>
          <w:tab w:leader="none" w:pos="13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Lenders and the Issuing Banks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29" w:name="page130"/>
    <w:bookmarkEnd w:id="129"/>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65" w:lineRule="exact"/>
        <w:rPr>
          <w:sz w:val="20"/>
          <w:szCs w:val="20"/>
          <w:color w:val="auto"/>
        </w:rPr>
      </w:pPr>
    </w:p>
    <w:p>
      <w:pPr>
        <w:ind w:firstLine="987"/>
        <w:spacing w:after="0" w:line="263" w:lineRule="auto"/>
        <w:tabs>
          <w:tab w:leader="none" w:pos="13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3" w:lineRule="exact"/>
        <w:rPr>
          <w:rFonts w:ascii="Arial" w:cs="Arial" w:eastAsia="Arial" w:hAnsi="Arial"/>
          <w:sz w:val="18"/>
          <w:szCs w:val="18"/>
          <w:color w:val="auto"/>
        </w:rPr>
      </w:pPr>
    </w:p>
    <w:p>
      <w:pPr>
        <w:ind w:firstLine="987"/>
        <w:spacing w:after="0" w:line="269" w:lineRule="auto"/>
        <w:tabs>
          <w:tab w:leader="none" w:pos="13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and the Issuing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Loans, the Letters of Credit, the Commitments and this Agreement, (y) may recognize a gain if it extended the Loans, the Letters of Credit or the Commitments for an amount less than the amount being paid for an interest in the Loans, the Letters of Credit or the Commitments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ind w:right="80" w:firstLine="987"/>
        <w:spacing w:after="0" w:line="279" w:lineRule="auto"/>
        <w:tabs>
          <w:tab w:leader="none" w:pos="1371"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440" w:right="60" w:firstLine="419"/>
        <w:spacing w:after="0" w:line="277" w:lineRule="auto"/>
        <w:tabs>
          <w:tab w:leader="none" w:pos="121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any Issuing Bank or the Swingline Lender,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30" w:name="page131"/>
    <w:bookmarkEnd w:id="130"/>
    <w:p>
      <w:pPr>
        <w:ind w:left="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9" w:lineRule="exact"/>
        <w:rPr>
          <w:sz w:val="20"/>
          <w:szCs w:val="20"/>
          <w:color w:val="auto"/>
        </w:rPr>
      </w:pPr>
    </w:p>
    <w:p>
      <w:pPr>
        <w:ind w:left="4" w:right="40" w:firstLine="987"/>
        <w:spacing w:after="0" w:line="254" w:lineRule="auto"/>
        <w:tabs>
          <w:tab w:leader="none" w:pos="138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hanging="4"/>
        <w:spacing w:after="0" w:line="255" w:lineRule="auto"/>
        <w:tabs>
          <w:tab w:leader="none" w:pos="26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60" w:firstLine="987"/>
        <w:spacing w:after="0" w:line="268" w:lineRule="auto"/>
        <w:tabs>
          <w:tab w:leader="none" w:pos="1375"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any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Loan Party, any Lender, any Issuing Bank or any other Person for indirect, special, incidental, consequential or punitive damages (as opposed to direct or actual damages).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4"/>
          </w:cols>
          <w:pgMar w:left="436" w:top="274" w:right="479" w:bottom="1440" w:gutter="0" w:footer="0" w:header="0"/>
        </w:sectPr>
      </w:pPr>
    </w:p>
    <w:bookmarkStart w:id="131" w:name="page132"/>
    <w:bookmarkEnd w:id="131"/>
    <w:p>
      <w:pPr>
        <w:ind w:firstLine="987"/>
        <w:spacing w:after="0" w:line="287" w:lineRule="auto"/>
        <w:tabs>
          <w:tab w:leader="none" w:pos="138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Address, Etc</w:t>
      </w:r>
      <w:r>
        <w:rPr>
          <w:rFonts w:ascii="Arial" w:cs="Arial" w:eastAsia="Arial" w:hAnsi="Arial"/>
          <w:sz w:val="16"/>
          <w:szCs w:val="16"/>
          <w:color w:val="auto"/>
        </w:rPr>
        <w:t>. Each of the Borrower (with respect to the notice address for the Loan Parties), the Administrative Agent, any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71" w:lineRule="exact"/>
        <w:rPr>
          <w:rFonts w:ascii="Arial" w:cs="Arial" w:eastAsia="Arial" w:hAnsi="Arial"/>
          <w:sz w:val="16"/>
          <w:szCs w:val="16"/>
          <w:color w:val="auto"/>
        </w:rPr>
      </w:pPr>
    </w:p>
    <w:p>
      <w:pPr>
        <w:ind w:firstLine="987"/>
        <w:spacing w:after="0" w:line="290" w:lineRule="auto"/>
        <w:tabs>
          <w:tab w:leader="none" w:pos="137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Issuing Bank and Lenders</w:t>
      </w:r>
      <w:r>
        <w:rPr>
          <w:rFonts w:ascii="Arial" w:cs="Arial" w:eastAsia="Arial" w:hAnsi="Arial"/>
          <w:sz w:val="16"/>
          <w:szCs w:val="16"/>
          <w:color w:val="auto"/>
        </w:rPr>
        <w:t>. The Administrative Agent, the Issuing Banks and the Lenders shall be entitled to rely and act upon any notices (including telephonic or electronic notices, Letter of Credit Applications,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Waivers; Amendments.</w:t>
      </w:r>
    </w:p>
    <w:p>
      <w:pPr>
        <w:spacing w:after="0" w:line="117" w:lineRule="exact"/>
        <w:rPr>
          <w:sz w:val="20"/>
          <w:szCs w:val="20"/>
          <w:color w:val="auto"/>
        </w:rPr>
      </w:pPr>
    </w:p>
    <w:p>
      <w:pPr>
        <w:ind w:firstLine="987"/>
        <w:spacing w:after="0" w:line="273" w:lineRule="auto"/>
        <w:tabs>
          <w:tab w:leader="none" w:pos="137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32" w:name="page133"/>
    <w:bookmarkEnd w:id="13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49" w:lineRule="exact"/>
        <w:rPr>
          <w:sz w:val="20"/>
          <w:szCs w:val="20"/>
          <w:color w:val="auto"/>
        </w:rPr>
      </w:pPr>
    </w:p>
    <w:p>
      <w:pPr>
        <w:ind w:firstLine="987"/>
        <w:spacing w:after="0" w:line="282" w:lineRule="auto"/>
        <w:tabs>
          <w:tab w:leader="none" w:pos="138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2.12(c) or to waive any obligation of the Borrower to pay interest at the rate set forth therein, (iii) postpone the scheduled date of payment of the principal amount 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 (v) change any of the provisions of this Section, the definition of “Required Lenders” or the definition of “Alternative Currencies” or any other provision hereof specifying the number or percentage of Lenders required to waive, amend or modify any rights hereunder or make any determination or grant any consent hereunder without the written consent of each Lender or (vi) release all or substantially all of the Guarantors from their obligations under any Guarantee Agreement (other than pursuant to the proviso set forth in</w:t>
      </w:r>
    </w:p>
    <w:p>
      <w:pPr>
        <w:spacing w:after="0" w:line="11" w:lineRule="exact"/>
        <w:rPr>
          <w:rFonts w:ascii="Arial" w:cs="Arial" w:eastAsia="Arial" w:hAnsi="Arial"/>
          <w:sz w:val="16"/>
          <w:szCs w:val="16"/>
          <w:color w:val="auto"/>
        </w:rPr>
      </w:pP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5.09(a)), without the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33" w:name="page134"/>
    <w:bookmarkEnd w:id="133"/>
    <w:p>
      <w:pPr>
        <w:ind w:left="4"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 (ii) to include appropriately the Lenders holding such credit facilities in any determination of the Required Lenders.</w:t>
      </w:r>
    </w:p>
    <w:p>
      <w:pPr>
        <w:spacing w:after="0" w:line="16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Expenses; Indemnity; Damage Waiver.</w:t>
      </w:r>
    </w:p>
    <w:p>
      <w:pPr>
        <w:spacing w:after="0" w:line="117" w:lineRule="exact"/>
        <w:rPr>
          <w:sz w:val="20"/>
          <w:szCs w:val="20"/>
          <w:color w:val="auto"/>
        </w:rPr>
      </w:pPr>
    </w:p>
    <w:p>
      <w:pPr>
        <w:ind w:left="4" w:right="80" w:firstLine="987"/>
        <w:spacing w:after="0" w:line="287" w:lineRule="auto"/>
        <w:tabs>
          <w:tab w:leader="none" w:pos="137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relevant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67" w:lineRule="exact"/>
        <w:rPr>
          <w:rFonts w:ascii="Arial" w:cs="Arial" w:eastAsia="Arial" w:hAnsi="Arial"/>
          <w:sz w:val="16"/>
          <w:szCs w:val="16"/>
          <w:color w:val="auto"/>
        </w:rPr>
      </w:pPr>
    </w:p>
    <w:p>
      <w:pPr>
        <w:ind w:left="4" w:right="60" w:firstLine="987"/>
        <w:spacing w:after="0" w:line="285" w:lineRule="auto"/>
        <w:tabs>
          <w:tab w:leader="none" w:pos="138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w:t>
      </w:r>
    </w:p>
    <w:p>
      <w:pPr>
        <w:spacing w:after="0" w:line="1" w:lineRule="exact"/>
        <w:rPr>
          <w:rFonts w:ascii="Arial" w:cs="Arial" w:eastAsia="Arial" w:hAnsi="Arial"/>
          <w:sz w:val="16"/>
          <w:szCs w:val="16"/>
          <w:color w:val="auto"/>
        </w:rPr>
      </w:pPr>
    </w:p>
    <w:p>
      <w:pPr>
        <w:ind w:left="4" w:hanging="4"/>
        <w:spacing w:after="0" w:line="252" w:lineRule="auto"/>
        <w:tabs>
          <w:tab w:leader="none" w:pos="2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execution or delivery of this Agreement or any agreement or instrument contemplated hereby, the performance by the parties hereto of their respective obligations hereunder or the consummation of the Transactions or from and after, as applicable, consummation of the Combination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4"/>
          </w:cols>
          <w:pgMar w:left="436" w:top="274" w:right="479" w:bottom="1440" w:gutter="0" w:footer="0" w:header="0"/>
        </w:sectPr>
      </w:pPr>
    </w:p>
    <w:bookmarkStart w:id="134" w:name="page135"/>
    <w:bookmarkEnd w:id="13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 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2" w:lineRule="exact"/>
        <w:rPr>
          <w:sz w:val="20"/>
          <w:szCs w:val="20"/>
          <w:color w:val="auto"/>
        </w:rPr>
      </w:pPr>
    </w:p>
    <w:p>
      <w:pPr>
        <w:ind w:right="60" w:firstLine="987"/>
        <w:spacing w:after="0" w:line="255" w:lineRule="auto"/>
        <w:tabs>
          <w:tab w:leader="none" w:pos="136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92" w:lineRule="exact"/>
        <w:rPr>
          <w:rFonts w:ascii="Arial" w:cs="Arial" w:eastAsia="Arial" w:hAnsi="Arial"/>
          <w:sz w:val="18"/>
          <w:szCs w:val="18"/>
          <w:color w:val="auto"/>
        </w:rPr>
      </w:pPr>
    </w:p>
    <w:p>
      <w:pPr>
        <w:ind w:right="80" w:firstLine="987"/>
        <w:spacing w:after="0" w:line="270" w:lineRule="auto"/>
        <w:tabs>
          <w:tab w:leader="none" w:pos="137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rFonts w:ascii="Arial" w:cs="Arial" w:eastAsia="Arial" w:hAnsi="Arial"/>
          <w:sz w:val="17"/>
          <w:szCs w:val="17"/>
          <w:color w:val="auto"/>
        </w:rPr>
      </w:pPr>
    </w:p>
    <w:p>
      <w:pPr>
        <w:ind w:right="20" w:firstLine="987"/>
        <w:spacing w:after="0" w:line="311" w:lineRule="auto"/>
        <w:tabs>
          <w:tab w:leader="none" w:pos="136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135" w:name="page136"/>
    <w:bookmarkEnd w:id="135"/>
    <w:p>
      <w:pPr>
        <w:ind w:left="420"/>
        <w:spacing w:after="0"/>
        <w:tabs>
          <w:tab w:leader="none" w:pos="1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9.04</w:t>
      </w:r>
      <w:r>
        <w:rPr>
          <w:sz w:val="20"/>
          <w:szCs w:val="20"/>
          <w:color w:val="auto"/>
        </w:rPr>
        <w:tab/>
      </w:r>
      <w:r>
        <w:rPr>
          <w:rFonts w:ascii="Arial" w:cs="Arial" w:eastAsia="Arial" w:hAnsi="Arial"/>
          <w:sz w:val="15"/>
          <w:szCs w:val="15"/>
          <w:color w:val="auto"/>
        </w:rPr>
        <w:t>Successors and Assigns.</w:t>
      </w:r>
    </w:p>
    <w:p>
      <w:pPr>
        <w:spacing w:after="0" w:line="117" w:lineRule="exact"/>
        <w:rPr>
          <w:sz w:val="20"/>
          <w:szCs w:val="20"/>
          <w:color w:val="auto"/>
        </w:rPr>
      </w:pPr>
    </w:p>
    <w:p>
      <w:pPr>
        <w:ind w:left="-20" w:firstLine="987"/>
        <w:spacing w:after="0" w:line="269" w:lineRule="auto"/>
        <w:tabs>
          <w:tab w:leader="none" w:pos="1351"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Banks and the Lenders) any legal or equitable right, remedy or claim under or by reason of this Agreement.</w:t>
      </w:r>
    </w:p>
    <w:p>
      <w:pPr>
        <w:spacing w:after="0" w:line="185" w:lineRule="exact"/>
        <w:rPr>
          <w:rFonts w:ascii="Arial" w:cs="Arial" w:eastAsia="Arial" w:hAnsi="Arial"/>
          <w:sz w:val="17"/>
          <w:szCs w:val="17"/>
          <w:color w:val="auto"/>
        </w:rPr>
      </w:pPr>
    </w:p>
    <w:p>
      <w:pPr>
        <w:jc w:val="both"/>
        <w:ind w:left="-20" w:right="60" w:firstLine="987"/>
        <w:spacing w:after="0" w:line="259" w:lineRule="auto"/>
        <w:tabs>
          <w:tab w:leader="none" w:pos="1361"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(each such assignee being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94" w:lineRule="exact"/>
        <w:rPr>
          <w:rFonts w:ascii="Arial" w:cs="Arial" w:eastAsia="Arial" w:hAnsi="Arial"/>
          <w:sz w:val="18"/>
          <w:szCs w:val="18"/>
          <w:color w:val="auto"/>
        </w:rPr>
      </w:pPr>
    </w:p>
    <w:p>
      <w:pPr>
        <w:ind w:left="1180" w:hanging="341"/>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sz w:val="20"/>
          <w:szCs w:val="20"/>
          <w:color w:val="auto"/>
        </w:rPr>
      </w:pPr>
    </w:p>
    <w:p>
      <w:pPr>
        <w:ind w:left="420" w:right="140" w:firstLine="419"/>
        <w:spacing w:after="0" w:line="342" w:lineRule="auto"/>
        <w:tabs>
          <w:tab w:leader="none" w:pos="127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5" w:lineRule="exact"/>
        <w:rPr>
          <w:rFonts w:ascii="Arial" w:cs="Arial" w:eastAsia="Arial" w:hAnsi="Arial"/>
          <w:sz w:val="16"/>
          <w:szCs w:val="16"/>
          <w:color w:val="auto"/>
        </w:rPr>
      </w:pPr>
    </w:p>
    <w:p>
      <w:pPr>
        <w:ind w:left="420" w:right="20" w:firstLine="419"/>
        <w:spacing w:after="0" w:line="289" w:lineRule="auto"/>
        <w:tabs>
          <w:tab w:leader="none" w:pos="126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60" w:top="274" w:right="459" w:bottom="1440" w:gutter="0" w:footer="0" w:header="0"/>
        </w:sectPr>
      </w:pPr>
    </w:p>
    <w:bookmarkStart w:id="136" w:name="page137"/>
    <w:bookmarkEnd w:id="136"/>
    <w:p>
      <w:pPr>
        <w:ind w:left="4" w:right="200" w:firstLine="419"/>
        <w:spacing w:after="0" w:line="291" w:lineRule="auto"/>
        <w:tabs>
          <w:tab w:leader="none" w:pos="82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Loans or the Commitment of the Class being assigned, except that this clause</w:t>
      </w:r>
    </w:p>
    <w:p>
      <w:pPr>
        <w:jc w:val="both"/>
        <w:ind w:left="4" w:right="120" w:hanging="4"/>
        <w:spacing w:after="0" w:line="255" w:lineRule="auto"/>
        <w:tabs>
          <w:tab w:leader="none" w:pos="2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81" w:lineRule="exact"/>
        <w:rPr>
          <w:rFonts w:ascii="Arial" w:cs="Arial" w:eastAsia="Arial" w:hAnsi="Arial"/>
          <w:sz w:val="18"/>
          <w:szCs w:val="18"/>
          <w:color w:val="auto"/>
        </w:rPr>
      </w:pPr>
    </w:p>
    <w:p>
      <w:pPr>
        <w:ind w:left="4" w:right="480" w:firstLine="419"/>
        <w:spacing w:after="0" w:line="277" w:lineRule="auto"/>
        <w:tabs>
          <w:tab w:leader="none" w:pos="876"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sz w:val="20"/>
          <w:szCs w:val="20"/>
          <w:color w:val="auto"/>
        </w:rPr>
      </w:pPr>
    </w:p>
    <w:p>
      <w:pPr>
        <w:ind w:left="4" w:right="20" w:firstLine="419"/>
        <w:spacing w:after="0" w:line="301" w:lineRule="auto"/>
        <w:tabs>
          <w:tab w:leader="none" w:pos="8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an Event of Default pursuant to clause (a), (b), (h), (i) or (j) of Article VII has occurred and is continuing at the time of such assignment or the assignment is made to a Lender or to a Lender’s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49" w:lineRule="exact"/>
        <w:rPr>
          <w:rFonts w:ascii="Arial" w:cs="Arial" w:eastAsia="Arial" w:hAnsi="Arial"/>
          <w:sz w:val="16"/>
          <w:szCs w:val="16"/>
          <w:color w:val="auto"/>
        </w:rPr>
      </w:pPr>
    </w:p>
    <w:p>
      <w:pPr>
        <w:ind w:left="4" w:firstLine="419"/>
        <w:spacing w:after="0" w:line="277" w:lineRule="auto"/>
        <w:tabs>
          <w:tab w:leader="none" w:pos="8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Revolving Commitment unless the assignment is to a Lender or its Affiliate;</w:t>
      </w:r>
    </w:p>
    <w:p>
      <w:pPr>
        <w:spacing w:after="0" w:line="62" w:lineRule="exact"/>
        <w:rPr>
          <w:rFonts w:ascii="Arial" w:cs="Arial" w:eastAsia="Arial" w:hAnsi="Arial"/>
          <w:sz w:val="18"/>
          <w:szCs w:val="18"/>
          <w:color w:val="auto"/>
        </w:rPr>
      </w:pPr>
    </w:p>
    <w:p>
      <w:pPr>
        <w:ind w:left="4" w:right="140" w:firstLine="419"/>
        <w:spacing w:after="0" w:line="342" w:lineRule="auto"/>
        <w:tabs>
          <w:tab w:leader="none" w:pos="8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consent of each Issuing Bank (such consent not to be unreasonably withheld or delayed) shall be required for any assignment that increases the obligation of the assignee to participate in exposure under one or more Letters of Credit (whether or not then outstanding); and</w:t>
      </w:r>
    </w:p>
    <w:p>
      <w:pPr>
        <w:spacing w:after="0" w:line="15" w:lineRule="exact"/>
        <w:rPr>
          <w:rFonts w:ascii="Arial" w:cs="Arial" w:eastAsia="Arial" w:hAnsi="Arial"/>
          <w:sz w:val="16"/>
          <w:szCs w:val="16"/>
          <w:color w:val="auto"/>
        </w:rPr>
      </w:pPr>
    </w:p>
    <w:p>
      <w:pPr>
        <w:ind w:left="4" w:right="20" w:firstLine="419"/>
        <w:spacing w:after="0" w:line="277" w:lineRule="auto"/>
        <w:tabs>
          <w:tab w:leader="none" w:pos="85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consent of the Swingline Lender (such consent not to be unreasonably withheld or delayed) shall be required for any assignment in respect of the Revolving Credit Facility.</w:t>
      </w:r>
    </w:p>
    <w:p>
      <w:pPr>
        <w:spacing w:after="0" w:line="62" w:lineRule="exact"/>
        <w:rPr>
          <w:sz w:val="20"/>
          <w:szCs w:val="20"/>
          <w:color w:val="auto"/>
        </w:rPr>
      </w:pPr>
    </w:p>
    <w:p>
      <w:pPr>
        <w:jc w:val="both"/>
        <w:ind w:left="4" w:firstLine="419"/>
        <w:spacing w:after="0" w:line="301" w:lineRule="auto"/>
        <w:tabs>
          <w:tab w:leader="none" w:pos="866"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49" w:lineRule="exact"/>
        <w:rPr>
          <w:rFonts w:ascii="Arial" w:cs="Arial" w:eastAsia="Arial" w:hAnsi="Arial"/>
          <w:sz w:val="16"/>
          <w:szCs w:val="16"/>
          <w:color w:val="auto"/>
        </w:rPr>
      </w:pPr>
    </w:p>
    <w:p>
      <w:pPr>
        <w:ind w:left="804" w:hanging="381"/>
        <w:spacing w:after="0"/>
        <w:tabs>
          <w:tab w:leader="none" w:pos="804"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Assignment to Loan Parties</w:t>
      </w:r>
      <w:r>
        <w:rPr>
          <w:rFonts w:ascii="Arial" w:cs="Arial" w:eastAsia="Arial" w:hAnsi="Arial"/>
          <w:sz w:val="16"/>
          <w:szCs w:val="16"/>
          <w:color w:val="auto"/>
        </w:rPr>
        <w:t>. No such assignment shall be made to any Loan Party or any Loan Party’s Affiliates or Subsidiaries.</w:t>
      </w:r>
    </w:p>
    <w:p>
      <w:pPr>
        <w:spacing w:after="0" w:line="140" w:lineRule="exact"/>
        <w:rPr>
          <w:rFonts w:ascii="Arial" w:cs="Arial" w:eastAsia="Arial" w:hAnsi="Arial"/>
          <w:sz w:val="16"/>
          <w:szCs w:val="16"/>
          <w:color w:val="auto"/>
        </w:rPr>
      </w:pPr>
    </w:p>
    <w:p>
      <w:pPr>
        <w:ind w:left="864" w:hanging="441"/>
        <w:spacing w:after="0"/>
        <w:tabs>
          <w:tab w:leader="none" w:pos="86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64"/>
          </w:cols>
          <w:pgMar w:left="876" w:top="274" w:right="459" w:bottom="1440" w:gutter="0" w:footer="0" w:header="0"/>
        </w:sectPr>
      </w:pPr>
    </w:p>
    <w:bookmarkStart w:id="137" w:name="page138"/>
    <w:bookmarkEnd w:id="137"/>
    <w:p>
      <w:pPr>
        <w:ind w:left="440" w:right="40" w:firstLine="419"/>
        <w:spacing w:after="0" w:line="287" w:lineRule="auto"/>
        <w:tabs>
          <w:tab w:leader="none" w:pos="135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Borrower,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3" w:lineRule="exact"/>
        <w:rPr>
          <w:rFonts w:ascii="Arial" w:cs="Arial" w:eastAsia="Arial" w:hAnsi="Arial"/>
          <w:sz w:val="16"/>
          <w:szCs w:val="16"/>
          <w:color w:val="auto"/>
        </w:rPr>
      </w:pPr>
    </w:p>
    <w:p>
      <w:pPr>
        <w:ind w:left="440" w:firstLine="419"/>
        <w:spacing w:after="0" w:line="269" w:lineRule="auto"/>
        <w:tabs>
          <w:tab w:leader="none" w:pos="140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rFonts w:ascii="Arial" w:cs="Arial" w:eastAsia="Arial" w:hAnsi="Arial"/>
          <w:sz w:val="17"/>
          <w:szCs w:val="17"/>
          <w:color w:val="auto"/>
        </w:rPr>
      </w:pPr>
    </w:p>
    <w:p>
      <w:pPr>
        <w:jc w:val="both"/>
        <w:ind w:right="20" w:firstLine="987"/>
        <w:spacing w:after="0" w:line="255" w:lineRule="auto"/>
        <w:tabs>
          <w:tab w:leader="none" w:pos="1371"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38" w:name="page139"/>
    <w:bookmarkEnd w:id="138"/>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4" w:lineRule="exact"/>
        <w:rPr>
          <w:sz w:val="20"/>
          <w:szCs w:val="20"/>
          <w:color w:val="auto"/>
        </w:rPr>
      </w:pPr>
    </w:p>
    <w:p>
      <w:pPr>
        <w:ind w:firstLine="987"/>
        <w:spacing w:after="0" w:line="253" w:lineRule="auto"/>
        <w:tabs>
          <w:tab w:leader="none" w:pos="138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without the consent of, or notice to, the Borrower, the Administrative Agent, Swingline Lender or Issuing Bank, sell participations to any Person (other than a natural person, a Defaulting Lender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or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6" w:lineRule="exact"/>
        <w:rPr>
          <w:sz w:val="20"/>
          <w:szCs w:val="20"/>
          <w:color w:val="auto"/>
        </w:rPr>
      </w:pPr>
    </w:p>
    <w:p>
      <w:pPr>
        <w:ind w:right="100" w:firstLine="1432"/>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 each Participant shall be entitled to the benefits of Sections 2.14, 2.15 and 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 principal amounts and interest thereon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74" w:right="479" w:bottom="1440" w:gutter="0" w:footer="0" w:header="0"/>
        </w:sectPr>
      </w:pPr>
    </w:p>
    <w:bookmarkStart w:id="139" w:name="page140"/>
    <w:bookmarkEnd w:id="139"/>
    <w:p>
      <w:pPr>
        <w:ind w:left="1364" w:hanging="373"/>
        <w:spacing w:after="0"/>
        <w:tabs>
          <w:tab w:leader="none" w:pos="1364"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Limitations upon New Lender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24" w:hanging="392"/>
        <w:spacing w:after="0"/>
        <w:tabs>
          <w:tab w:leader="none" w:pos="182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4" w:right="480" w:firstLine="910"/>
        <w:spacing w:after="0" w:line="277" w:lineRule="auto"/>
        <w:tabs>
          <w:tab w:leader="none" w:pos="231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4" w:right="60" w:firstLine="910"/>
        <w:spacing w:after="0" w:line="263" w:lineRule="auto"/>
        <w:tabs>
          <w:tab w:leader="none" w:pos="230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4"/>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left="4" w:right="260" w:firstLine="1428"/>
        <w:spacing w:after="0" w:line="296" w:lineRule="auto"/>
        <w:tabs>
          <w:tab w:leader="none" w:pos="1826"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61" w:lineRule="exact"/>
        <w:rPr>
          <w:rFonts w:ascii="Arial" w:cs="Arial" w:eastAsia="Arial" w:hAnsi="Arial"/>
          <w:sz w:val="16"/>
          <w:szCs w:val="16"/>
          <w:color w:val="auto"/>
        </w:rPr>
      </w:pPr>
    </w:p>
    <w:p>
      <w:pPr>
        <w:ind w:left="4" w:right="80" w:firstLine="987"/>
        <w:spacing w:after="0" w:line="301" w:lineRule="auto"/>
        <w:tabs>
          <w:tab w:leader="none" w:pos="1355"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6"/>
          <w:szCs w:val="16"/>
          <w:u w:val="single" w:color="auto"/>
          <w:color w:val="auto"/>
        </w:rPr>
        <w:t>New Lender</w:t>
      </w:r>
      <w:r>
        <w:rPr>
          <w:rFonts w:ascii="Arial" w:cs="Arial" w:eastAsia="Arial" w:hAnsi="Arial"/>
          <w:sz w:val="16"/>
          <w:szCs w:val="16"/>
          <w:color w:val="auto"/>
        </w:rPr>
        <w:t>”); provided that no such pledge or assignment shall release such Lender from any of its obligations hereunder or substitute any such pledgee or assignee for such Lender as a party hereto.</w:t>
      </w:r>
    </w:p>
    <w:p>
      <w:pPr>
        <w:spacing w:after="0" w:line="157" w:lineRule="exact"/>
        <w:rPr>
          <w:rFonts w:ascii="Arial" w:cs="Arial" w:eastAsia="Arial" w:hAnsi="Arial"/>
          <w:sz w:val="16"/>
          <w:szCs w:val="16"/>
          <w:color w:val="auto"/>
        </w:rPr>
      </w:pPr>
    </w:p>
    <w:p>
      <w:pPr>
        <w:ind w:left="4" w:right="80" w:firstLine="987"/>
        <w:spacing w:after="0" w:line="291" w:lineRule="auto"/>
        <w:tabs>
          <w:tab w:leader="none" w:pos="1385"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Resignation as Issuing Bank or Swingline Lender after Assignment</w:t>
      </w:r>
      <w:r>
        <w:rPr>
          <w:rFonts w:ascii="Arial" w:cs="Arial" w:eastAsia="Arial" w:hAnsi="Arial"/>
          <w:sz w:val="16"/>
          <w:szCs w:val="16"/>
          <w:color w:val="auto"/>
        </w:rPr>
        <w:t>. Notwithstanding anything to the contrary contained herein, if at any time an Issuing Bank assigns all of its Revolving Commitment and Revolving Loans pursuant to subsection (b) above, such Issuing Bank may,</w:t>
      </w:r>
    </w:p>
    <w:p>
      <w:pPr>
        <w:ind w:left="4" w:right="20" w:hanging="4"/>
        <w:spacing w:after="0" w:line="252" w:lineRule="auto"/>
        <w:tabs>
          <w:tab w:leader="none" w:pos="21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upon 30 days’ notice to the Borrower and the Lenders, resign as Issuing Bank and/or (ii) in the case of Bank of America, upon 30 days’ notice to the Borrower, resign as Swingline Lender. In the event of any such resignation as Issuing Bank or Swingline Lender, the Borrower shall be entitled to appoint from among the Lenders a successor Issuing Bank or Swingline Lender hereunder (which successor shall expressly agree to assume such role);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Borrower to appoint any such successor shall affect the resignation of such Issuing Bank as an Issuing Bank or (in the case of Bank of America) Swingline Lender, as the case may be. If an Issuing Bank resigns as Issuing Bank, it shall retain all the rights, powers, privileges and duties of an Issuing Bank hereunder with respect to all Letters of Credit issued by it and outstanding as of the effective date of its resignation as Issuing Bank and all L/C</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4"/>
          </w:cols>
          <w:pgMar w:left="436" w:top="274" w:right="479" w:bottom="1440" w:gutter="0" w:footer="0" w:header="0"/>
        </w:sectPr>
      </w:pPr>
    </w:p>
    <w:bookmarkStart w:id="140" w:name="page141"/>
    <w:bookmarkEnd w:id="140"/>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the resigning Issuing Bank to effectively assume the obligations of such Issuing Bank with respect to such Letters of Credit.</w:t>
      </w:r>
    </w:p>
    <w:p>
      <w:pPr>
        <w:spacing w:after="0" w:line="178" w:lineRule="exact"/>
        <w:rPr>
          <w:sz w:val="20"/>
          <w:szCs w:val="20"/>
          <w:color w:val="auto"/>
        </w:rPr>
      </w:pPr>
    </w:p>
    <w:p>
      <w:pPr>
        <w:ind w:left="4" w:right="20" w:firstLine="987"/>
        <w:spacing w:after="0" w:line="287" w:lineRule="auto"/>
        <w:tabs>
          <w:tab w:leader="none" w:pos="138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6"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SECTION 9.05 Survival.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74" w:right="459" w:bottom="1440" w:gutter="0" w:footer="0" w:header="0"/>
        </w:sectPr>
      </w:pPr>
    </w:p>
    <w:bookmarkStart w:id="141" w:name="page142"/>
    <w:bookmarkEnd w:id="14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6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SECTION 9.06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8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color w:val="auto"/>
        </w:rPr>
        <w:t>Right of Setoff.</w:t>
      </w:r>
    </w:p>
    <w:p>
      <w:pPr>
        <w:spacing w:after="0" w:line="117" w:lineRule="exact"/>
        <w:rPr>
          <w:sz w:val="20"/>
          <w:szCs w:val="20"/>
          <w:color w:val="auto"/>
        </w:rPr>
      </w:pPr>
    </w:p>
    <w:p>
      <w:pPr>
        <w:ind w:right="60" w:firstLine="987"/>
        <w:spacing w:after="0" w:line="254" w:lineRule="auto"/>
        <w:tabs>
          <w:tab w:leader="none" w:pos="13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firstLine="987"/>
        <w:spacing w:after="0" w:line="259" w:lineRule="auto"/>
        <w:tabs>
          <w:tab w:leader="none" w:pos="13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the extent that any payment by or on behalf of the Borrower or any other Loan Party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142" w:name="page143"/>
    <w:bookmarkEnd w:id="142"/>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Obligations and the termination of this Agreement.</w:t>
      </w:r>
    </w:p>
    <w:p>
      <w:pPr>
        <w:spacing w:after="0" w:line="28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Governing Law; Jurisdiction; Consent to Service of Process.</w:t>
      </w:r>
    </w:p>
    <w:p>
      <w:pPr>
        <w:spacing w:after="0" w:line="117" w:lineRule="exact"/>
        <w:rPr>
          <w:sz w:val="20"/>
          <w:szCs w:val="20"/>
          <w:color w:val="auto"/>
        </w:rPr>
      </w:pPr>
    </w:p>
    <w:p>
      <w:pPr>
        <w:ind w:firstLine="987"/>
        <w:spacing w:after="0" w:line="269" w:lineRule="auto"/>
        <w:tabs>
          <w:tab w:leader="none" w:pos="13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(without regard to the conflict of law principles thereof to the extent that the application of the laws of another jurisdiction would be required thereby); </w:t>
      </w:r>
      <w:r>
        <w:rPr>
          <w:rFonts w:ascii="Arial" w:cs="Arial" w:eastAsia="Arial" w:hAnsi="Arial"/>
          <w:sz w:val="17"/>
          <w:szCs w:val="17"/>
          <w:i w:val="1"/>
          <w:iCs w:val="1"/>
          <w:color w:val="auto"/>
        </w:rPr>
        <w:t>provided</w:t>
      </w:r>
      <w:r>
        <w:rPr>
          <w:rFonts w:ascii="Arial" w:cs="Arial" w:eastAsia="Arial" w:hAnsi="Arial"/>
          <w:sz w:val="17"/>
          <w:szCs w:val="17"/>
          <w:color w:val="auto"/>
        </w:rPr>
        <w:t>, that (i) the interpretation of the definition of Spinco Material Adverse Effect and whether or not a Spinco Material Adverse Effect has occurred, (ii) the determination of the accuracy of any Combination Transaction Representation and whether as a result of any inaccuracy thereof, Mylan has the right to terminate its obligation to consummate the Combination under the Business Combination Agreement and (iii) the determination of whether (a) the conditions to the Distribution set forth in the Separation and Distribution Agreement and (b) the conditions to the Combination set forth in the Business Combination Agreement, in each case, other than such conditions that by their nature are to be satisfied upon the closing of such transaction, have been satisfied or waived or are expected to be satisfied and waived on the Closing Date or one Business Day thereafter, in each case, shall be governed by and construed in accordance with the Law (as defined in the Business Combination Agreement as in effect on the date hereof) of the State of Delaware, without regard to any Laws or principles thereof that would result in the application of the Laws of any other jurisdiction (except that the Laws of the Netherlands shall govern (i) the duties of the members of the Mylan Board (as defined in the Business Combination Agreement as in effect on the date hereof) and (ii) the Combination, to the extent mandatorily applicable thereto).</w:t>
      </w:r>
    </w:p>
    <w:p>
      <w:pPr>
        <w:spacing w:after="0" w:line="178" w:lineRule="exact"/>
        <w:rPr>
          <w:rFonts w:ascii="Arial" w:cs="Arial" w:eastAsia="Arial" w:hAnsi="Arial"/>
          <w:sz w:val="17"/>
          <w:szCs w:val="17"/>
          <w:color w:val="auto"/>
        </w:rPr>
      </w:pPr>
    </w:p>
    <w:p>
      <w:pPr>
        <w:ind w:right="120" w:firstLine="987"/>
        <w:spacing w:after="0" w:line="270" w:lineRule="auto"/>
        <w:tabs>
          <w:tab w:leader="none" w:pos="137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any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43" w:name="page144"/>
    <w:bookmarkEnd w:id="143"/>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57" w:lineRule="exact"/>
        <w:rPr>
          <w:sz w:val="20"/>
          <w:szCs w:val="20"/>
          <w:color w:val="auto"/>
        </w:rPr>
      </w:pPr>
    </w:p>
    <w:p>
      <w:pPr>
        <w:ind w:left="4" w:right="80" w:firstLine="987"/>
        <w:spacing w:after="0" w:line="301" w:lineRule="auto"/>
        <w:tabs>
          <w:tab w:leader="none" w:pos="13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ind w:left="4" w:right="80" w:firstLine="987"/>
        <w:spacing w:after="0" w:line="259" w:lineRule="auto"/>
        <w:tabs>
          <w:tab w:leader="none" w:pos="13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SECTION 9.10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40" w:hanging="4"/>
        <w:spacing w:after="0" w:line="253" w:lineRule="auto"/>
        <w:tabs>
          <w:tab w:leader="none" w:pos="29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SECTION 9.12 Confidentiality. Each of the Administrative Agent, the Lenders and the Issuing Banks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4"/>
          </w:cols>
          <w:pgMar w:left="436" w:top="274" w:right="499" w:bottom="1440" w:gutter="0" w:footer="0" w:header="0"/>
        </w:sectPr>
      </w:pPr>
    </w:p>
    <w:bookmarkStart w:id="144" w:name="page145"/>
    <w:bookmarkEnd w:id="144"/>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self-regulatory authority, such as the National Association of Insurance Commissioners), (c) to the extent required by applicable laws or regulations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w:t>
      </w:r>
    </w:p>
    <w:p>
      <w:pPr>
        <w:spacing w:after="0" w:line="4" w:lineRule="exact"/>
        <w:rPr>
          <w:sz w:val="20"/>
          <w:szCs w:val="20"/>
          <w:color w:val="auto"/>
        </w:rPr>
      </w:pPr>
    </w:p>
    <w:p>
      <w:pPr>
        <w:ind w:left="4" w:hanging="4"/>
        <w:spacing w:after="0" w:line="284" w:lineRule="auto"/>
        <w:tabs>
          <w:tab w:leader="none" w:pos="21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relating to a Loan Party and its obligations, (g) with the consent of any Loan Party, (h)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any Issuing Bank or the Swingline Lender to deliver Borrower Materials or notices to the Lenders,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the Lenders and the Issuing Banks in connection with the administration of this Agreement, the other Loan Documents and the Borrowings hereunder.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or any Subsidiary relating to the Borrower or any Subsidiary or any of their respective businesses, other than any such information that is available to the Administrative Agent, any Lender or any Issuing Bank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Each of the Administrative Agent, the Lenders and the Issuing Banks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SECTION 9.13 USA PATRIOT Act. Each Lender that is subject to the Act (as hereinafter defined) and the Administrative Agent (for itself and not on behalf of any Lender) hereby notifies the Borrower that pursuant to the requirements of the USA PATRIOT Act (Title III</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4"/>
          </w:cols>
          <w:pgMar w:left="436" w:top="274" w:right="459" w:bottom="1440" w:gutter="0" w:footer="0" w:header="0"/>
        </w:sectPr>
      </w:pPr>
    </w:p>
    <w:bookmarkStart w:id="145" w:name="page146"/>
    <w:bookmarkEnd w:id="14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9.14 Interest Rate Limitation.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SECTION 9.15 No Fiduciary Duty.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4" w:right="479" w:bottom="1440" w:gutter="0" w:footer="0" w:header="0"/>
        </w:sectPr>
      </w:pPr>
    </w:p>
    <w:bookmarkStart w:id="146" w:name="page147"/>
    <w:bookmarkEnd w:id="146"/>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7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color w:val="auto"/>
        </w:rPr>
        <w:t>Electronic Execution of this Agreement and Other Documents.</w:t>
      </w:r>
    </w:p>
    <w:p>
      <w:pPr>
        <w:spacing w:after="0" w:line="117" w:lineRule="exact"/>
        <w:rPr>
          <w:sz w:val="20"/>
          <w:szCs w:val="20"/>
          <w:color w:val="auto"/>
        </w:rPr>
      </w:pPr>
    </w:p>
    <w:p>
      <w:pPr>
        <w:ind w:right="220" w:firstLine="987"/>
        <w:spacing w:after="0" w:line="271" w:lineRule="auto"/>
        <w:tabs>
          <w:tab w:leader="none" w:pos="136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rFonts w:ascii="Arial" w:cs="Arial" w:eastAsia="Arial" w:hAnsi="Arial"/>
          <w:sz w:val="17"/>
          <w:szCs w:val="17"/>
          <w:color w:val="auto"/>
        </w:rPr>
      </w:pPr>
    </w:p>
    <w:p>
      <w:pPr>
        <w:ind w:firstLine="987"/>
        <w:spacing w:after="0" w:line="285" w:lineRule="auto"/>
        <w:tabs>
          <w:tab w:leader="none" w:pos="137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This Agreement and any document, amendment, approval, consent, information, notice, certificate, request, statement, disclosure or authorization related to this Agreement (each a “</w:t>
      </w:r>
      <w:r>
        <w:rPr>
          <w:rFonts w:ascii="Arial" w:cs="Arial" w:eastAsia="Arial" w:hAnsi="Arial"/>
          <w:sz w:val="16"/>
          <w:szCs w:val="16"/>
          <w:u w:val="single" w:color="auto"/>
          <w:color w:val="auto"/>
        </w:rPr>
        <w:t>Communication</w:t>
      </w:r>
      <w:r>
        <w:rPr>
          <w:rFonts w:ascii="Arial" w:cs="Arial" w:eastAsia="Arial" w:hAnsi="Arial"/>
          <w:sz w:val="16"/>
          <w:szCs w:val="16"/>
          <w:color w:val="auto"/>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Lenders and the Issuing Banks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and the Issuing Banks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(i) to the extent the Administrative Agent has agreed to accept such Electronic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the Loan Parties, the Administrative Agent and each of the Lenders and the Issuing Banks shall be entitled to rely on any such Electronic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Signature purportedly given by or on behalf of any party hereto without further verification and (ii) upon the request of the Administrative Agent,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 or any Issuing Bank, any Electronic Signature shall be promptly followed by such manually executed counterpart. For purposes hereof,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Record</w:t>
      </w:r>
      <w:r>
        <w:rPr>
          <w:rFonts w:ascii="Arial" w:cs="Arial" w:eastAsia="Arial" w:hAnsi="Arial"/>
          <w:sz w:val="16"/>
          <w:szCs w:val="16"/>
          <w:color w:val="auto"/>
        </w:rPr>
        <w:t>” and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shall have the meanings assigned to them, respectively, by 15 USC §7006, as it may be amended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9.17 Joint and Several.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SECTION 9.18 Enforcement.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provided, however, that the foregoing shall not prohibit (a) the Administrative Agent from exercising on its own behalf the rights and remedies that inure to its benefit (solely in its capacity as Administrative Agent) hereunder and under the other Loan Documents, (b) each Issuing Bank or the Swingline Lender from exercising the rights and remedies that inure to its benefit (solely in its capacity as Issuing Bank or Swingline Lender, as the case may be) hereunder and under the other Loan Documents, (c) 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74"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SECTION 9.19 Netherlands Loan Party Representation.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0"/>
          </w:cols>
          <w:pgMar w:left="440" w:top="274" w:right="479" w:bottom="1440" w:gutter="0" w:footer="0" w:header="0"/>
        </w:sectPr>
      </w:pPr>
    </w:p>
    <w:bookmarkStart w:id="148" w:name="page149"/>
    <w:bookmarkEnd w:id="148"/>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420" w:firstLine="987"/>
        <w:spacing w:after="0" w:line="277" w:lineRule="auto"/>
        <w:tabs>
          <w:tab w:leader="none" w:pos="137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40" w:firstLine="419"/>
        <w:spacing w:after="0" w:line="311" w:lineRule="auto"/>
        <w:tabs>
          <w:tab w:leader="none" w:pos="126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140" w:firstLine="419"/>
        <w:spacing w:after="0" w:line="277" w:lineRule="auto"/>
        <w:tabs>
          <w:tab w:leader="none" w:pos="13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9.21 Acknowledgement Regarding Any Supported QFCs. To the extent that the Loan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right="40" w:firstLine="987"/>
        <w:spacing w:after="0" w:line="273" w:lineRule="auto"/>
        <w:tabs>
          <w:tab w:leader="none" w:pos="137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149" w:name="page150"/>
    <w:bookmarkEnd w:id="149"/>
    <w:p>
      <w:pPr>
        <w:jc w:val="both"/>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As used in this Section 9.21, the following terms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SECTION 10.01 Guarantee.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50" w:name="page151"/>
    <w:bookmarkEnd w:id="1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Arial" w:cs="Arial" w:eastAsia="Arial" w:hAnsi="Arial"/>
          <w:sz w:val="16"/>
          <w:szCs w:val="16"/>
          <w:u w:val="single" w:color="auto"/>
          <w:color w:val="auto"/>
        </w:rPr>
        <w:t>Prohibition</w:t>
      </w:r>
      <w:r>
        <w:rPr>
          <w:rFonts w:ascii="Arial" w:cs="Arial" w:eastAsia="Arial" w:hAnsi="Arial"/>
          <w:sz w:val="16"/>
          <w:szCs w:val="16"/>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10.02 Right of Contribution.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SECTION 10.03 No Subrogation.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 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51" w:name="page152"/>
    <w:bookmarkEnd w:id="15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87"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SECTION 10.04 Amendments, etc., with Respect to the Obligations.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10.05 Guarantee Absolute and Unconditional.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52" w:name="page153"/>
    <w:bookmarkEnd w:id="15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8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SECTION 10.06 Reinstatement.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6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SECTION 10.07 Obligations Independent.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jc w:val="both"/>
        <w:ind w:right="60" w:firstLine="440"/>
        <w:spacing w:after="0" w:line="273" w:lineRule="auto"/>
        <w:rPr>
          <w:sz w:val="20"/>
          <w:szCs w:val="20"/>
          <w:color w:val="auto"/>
        </w:rPr>
      </w:pPr>
      <w:r>
        <w:rPr>
          <w:rFonts w:ascii="Arial" w:cs="Arial" w:eastAsia="Arial" w:hAnsi="Arial"/>
          <w:sz w:val="17"/>
          <w:szCs w:val="17"/>
          <w:color w:val="auto"/>
        </w:rPr>
        <w:t>SECTION 10.08 Payments.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Section 2.15. In any case in which a Guarantor makes or is obligated to make payment in Dollars, such Guarantor shall hold the Administrative Agent harmless from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440" w:top="274" w:right="439" w:bottom="1440" w:gutter="0" w:footer="0" w:header="0"/>
        </w:sectPr>
      </w:pPr>
    </w:p>
    <w:bookmarkStart w:id="153" w:name="page154"/>
    <w:bookmarkEnd w:id="15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loss incurred by the Administrative Agent arising from any change in the value of Dollars in relation to the currency for payment 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7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Subordination.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subordination shall not be given effect until such time as the Lender Parties shall have made a request to the Borrower pursuant to the second sentence of this </w:t>
      </w:r>
      <w:r>
        <w:rPr>
          <w:rFonts w:ascii="Arial" w:cs="Arial" w:eastAsia="Arial" w:hAnsi="Arial"/>
          <w:sz w:val="17"/>
          <w:szCs w:val="17"/>
          <w:u w:val="single" w:color="auto"/>
          <w:color w:val="auto"/>
        </w:rPr>
        <w:t>Section 10.09</w:t>
      </w:r>
      <w:r>
        <w:rPr>
          <w:rFonts w:ascii="Arial" w:cs="Arial" w:eastAsia="Arial" w:hAnsi="Arial"/>
          <w:sz w:val="17"/>
          <w:szCs w:val="17"/>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10.10 Stay of Acceleration.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10.11 Condition of Borrower.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92"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SECTION 10.12 Releases.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154" w:name="page155"/>
    <w:bookmarkEnd w:id="154"/>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Matters</w:t>
      </w:r>
    </w:p>
    <w:p>
      <w:pPr>
        <w:spacing w:after="0" w:line="229"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Certain ERISA Matters.</w:t>
      </w:r>
    </w:p>
    <w:p>
      <w:pPr>
        <w:spacing w:after="0" w:line="117" w:lineRule="exact"/>
        <w:rPr>
          <w:sz w:val="20"/>
          <w:szCs w:val="20"/>
          <w:color w:val="auto"/>
        </w:rPr>
      </w:pPr>
    </w:p>
    <w:p>
      <w:pPr>
        <w:ind w:right="100" w:firstLine="987"/>
        <w:spacing w:after="0" w:line="259" w:lineRule="auto"/>
        <w:tabs>
          <w:tab w:leader="none" w:pos="13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right="340" w:firstLine="1428"/>
        <w:spacing w:after="0" w:line="263" w:lineRule="auto"/>
        <w:tabs>
          <w:tab w:leader="none" w:pos="178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right="40" w:firstLine="1428"/>
        <w:spacing w:after="0" w:line="273" w:lineRule="auto"/>
        <w:tabs>
          <w:tab w:leader="none" w:pos="1832"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ind w:firstLine="1428"/>
        <w:spacing w:after="0" w:line="254" w:lineRule="auto"/>
        <w:tabs>
          <w:tab w:leader="none" w:pos="188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right="260" w:firstLine="1428"/>
        <w:spacing w:after="0" w:line="277" w:lineRule="auto"/>
        <w:tabs>
          <w:tab w:leader="none" w:pos="18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firstLine="987"/>
        <w:spacing w:after="0" w:line="277" w:lineRule="auto"/>
        <w:tabs>
          <w:tab w:leader="none" w:pos="138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80"/>
          </w:cols>
          <w:pgMar w:left="440" w:top="274" w:right="479" w:bottom="1440" w:gutter="0" w:footer="0" w:header="0"/>
        </w:sectPr>
      </w:pPr>
    </w:p>
    <w:bookmarkStart w:id="156" w:name="page157"/>
    <w:bookmarkEnd w:id="15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UPJOHN INC., </w:t>
      </w:r>
      <w:r>
        <w:rPr>
          <w:rFonts w:ascii="Arial" w:cs="Arial" w:eastAsia="Arial" w:hAnsi="Arial"/>
          <w:sz w:val="18"/>
          <w:szCs w:val="18"/>
          <w:color w:val="auto"/>
        </w:rPr>
        <w:t>as the Borrower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3740" w:right="200" w:firstLine="2868"/>
        <w:spacing w:after="0" w:line="433" w:lineRule="auto"/>
        <w:rPr>
          <w:sz w:val="20"/>
          <w:szCs w:val="20"/>
          <w:color w:val="auto"/>
        </w:rPr>
      </w:pPr>
      <w:r>
        <w:rPr>
          <w:rFonts w:ascii="Arial" w:cs="Arial" w:eastAsia="Arial" w:hAnsi="Arial"/>
          <w:sz w:val="18"/>
          <w:szCs w:val="18"/>
          <w:color w:val="auto"/>
        </w:rPr>
        <w:t>Title: Chief Financial Officer, Controller and Treasurer [Signature Page to Revolving Credit Agreement]</w:t>
      </w:r>
    </w:p>
    <w:p>
      <w:pPr>
        <w:sectPr>
          <w:pgSz w:w="11900" w:h="16838" w:orient="portrait"/>
          <w:cols w:equalWidth="0" w:num="1">
            <w:col w:w="10920"/>
          </w:cols>
          <w:pgMar w:left="440" w:top="274" w:right="539"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the Administrative Agent</w:t>
      </w:r>
    </w:p>
    <w:p>
      <w:pPr>
        <w:spacing w:after="0" w:line="211"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Maurice Washington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0" w:right="1440" w:bottom="1440" w:gutter="0" w:footer="0" w:header="0"/>
        </w:sectPr>
      </w:pPr>
    </w:p>
    <w:bookmarkStart w:id="158" w:name="page159"/>
    <w:bookmarkEnd w:id="1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 OF AMERICA, N.A., individually as a Lender,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Swingline Lender and as the Issuing Bank</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Yinghua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Yinghua Zhang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780"/>
          </w:cols>
          <w:pgMar w:left="1440" w:top="274" w:right="67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BARCLAYS BANK PLC,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0" w:name="page161"/>
    <w:bookmarkEnd w:id="16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BNP PARIBAS,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Sked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Christopher Sked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Pearce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Michael Pearce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1" w:name="page162"/>
    <w:bookmarkEnd w:id="16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CITIBANK, N.A.,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Richard Rivera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2" w:name="page163"/>
    <w:bookmarkEnd w:id="16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COMMERZBANK AG, NEW YORK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Ward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Matthew Ward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Sullivan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Sullivan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DANSKE BANK A/S,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Smith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Gary Smith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Jesper Larsen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Jesper Larsen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Loan Manager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DBS Bank Ltd.,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Terence Yong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Title:</w:t>
        <w:tab/>
        <w:t>Managing Director</w:t>
      </w:r>
    </w:p>
    <w:p>
      <w:pPr>
        <w:spacing w:after="0" w:line="15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5" w:name="page166"/>
    <w:bookmarkEnd w:id="16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DEUTSCHE BANK AG NEW YORK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Ming K. Chu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Chung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Annie Chung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6" w:name="page167"/>
    <w:bookmarkEnd w:id="16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DNB CAPITAL LLC,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Samantha Stone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Samantha Stone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Mita Zalavadia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Mita Zalavadia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7" w:name="page168"/>
    <w:bookmarkEnd w:id="16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Annie Carr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40"/>
          </w:cols>
          <w:pgMar w:left="1440" w:top="274" w:right="1419" w:bottom="1440" w:gutter="0" w:footer="0" w:header="0"/>
        </w:sectPr>
      </w:pPr>
    </w:p>
    <w:bookmarkStart w:id="168" w:name="page169"/>
    <w:bookmarkEnd w:id="16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ING BANK N.V., Dublin Branch,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Cormac Langford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Cormac Langford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Fehily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Barry Fehily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9" w:name="page170"/>
    <w:bookmarkEnd w:id="16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Gregory T. Martin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20"/>
          </w:cols>
          <w:pgMar w:left="1440" w:top="274" w:right="1339" w:bottom="1440" w:gutter="0" w:footer="0" w:header="0"/>
        </w:sectPr>
      </w:pPr>
    </w:p>
    <w:bookmarkStart w:id="170" w:name="page171"/>
    <w:bookmarkEnd w:id="17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1" w:name="page172"/>
    <w:bookmarkEnd w:id="17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BANK,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Lilienfeld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Julie Lilienfeld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80"/>
          </w:cols>
          <w:pgMar w:left="1440" w:top="274" w:right="1279" w:bottom="1440" w:gutter="0" w:footer="0" w:header="0"/>
        </w:sectPr>
      </w:pPr>
    </w:p>
    <w:bookmarkStart w:id="172" w:name="page173"/>
    <w:bookmarkEnd w:id="17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MUFG BANK, LTD.,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3" w:name="page174"/>
    <w:bookmarkEnd w:id="17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Hutterer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Kathryn Hutterer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4" w:name="page175"/>
    <w:bookmarkEnd w:id="17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MacVicar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Scott MacVicar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5" w:name="page176"/>
    <w:bookmarkEnd w:id="17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Skandinaviska Enskilda Banken AB (publ),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Penny Neville-Park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Penny Neville-Park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Nash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Duncan Nash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76" w:name="page177"/>
    <w:bookmarkEnd w:id="17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SOCIETE GENERALE,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Kimberly Metzger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7" w:name="page178"/>
    <w:bookmarkEnd w:id="17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 CHARTERED BANK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Beck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Associate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20"/>
          </w:cols>
          <w:pgMar w:left="1440" w:top="274" w:right="1339" w:bottom="1440" w:gutter="0" w:footer="0" w:header="0"/>
        </w:sectPr>
      </w:pPr>
    </w:p>
    <w:bookmarkStart w:id="178" w:name="page179"/>
    <w:bookmarkEnd w:id="17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BANK USA, as an Issuing Bank</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Annie Carr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560"/>
          </w:cols>
          <w:pgMar w:left="1440" w:top="274" w:right="8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DELAYED DRAW TERM LOAN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16,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UPJOHN INC. (to be renamed VIATRIS),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the Lenders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ectPr>
          <w:pgSz w:w="11900" w:h="16838" w:orient="portrait"/>
          <w:cols w:equalWidth="0" w:num="1">
            <w:col w:w="10020"/>
          </w:cols>
          <w:pgMar w:left="1440" w:top="270" w:right="439" w:bottom="1440" w:gutter="0" w:footer="0" w:header="0"/>
        </w:sectPr>
      </w:pPr>
    </w:p>
    <w:bookmarkStart w:id="180" w:name="page181"/>
    <w:bookmarkEnd w:id="180"/>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840" w:type="dxa"/>
            <w:vAlign w:val="bottom"/>
            <w:vMerge w:val="restart"/>
          </w:tcPr>
          <w:p>
            <w:pPr>
              <w:jc w:val="center"/>
              <w:ind w:right="143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36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1.03</w:t>
            </w:r>
          </w:p>
        </w:tc>
        <w:tc>
          <w:tcPr>
            <w:tcW w:w="8840" w:type="dxa"/>
            <w:vAlign w:val="bottom"/>
          </w:tcPr>
          <w:p>
            <w:pPr>
              <w:ind w:left="360"/>
              <w:spacing w:after="0"/>
              <w:rPr>
                <w:sz w:val="20"/>
                <w:szCs w:val="20"/>
                <w:color w:val="auto"/>
              </w:rPr>
            </w:pPr>
            <w:r>
              <w:rPr>
                <w:rFonts w:ascii="Arial" w:cs="Arial" w:eastAsia="Arial" w:hAnsi="Arial"/>
                <w:sz w:val="18"/>
                <w:szCs w:val="18"/>
                <w:color w:val="auto"/>
              </w:rPr>
              <w:t>Terms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1.04</w:t>
            </w:r>
          </w:p>
        </w:tc>
        <w:tc>
          <w:tcPr>
            <w:tcW w:w="8840" w:type="dxa"/>
            <w:vAlign w:val="bottom"/>
          </w:tcPr>
          <w:p>
            <w:pPr>
              <w:ind w:left="360"/>
              <w:spacing w:after="0"/>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1.05</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on Business Days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1.06</w:t>
            </w:r>
          </w:p>
        </w:tc>
        <w:tc>
          <w:tcPr>
            <w:tcW w:w="8840" w:type="dxa"/>
            <w:vAlign w:val="bottom"/>
          </w:tcPr>
          <w:p>
            <w:pPr>
              <w:ind w:left="360"/>
              <w:spacing w:after="0"/>
              <w:rPr>
                <w:sz w:val="20"/>
                <w:szCs w:val="20"/>
                <w:color w:val="auto"/>
              </w:rPr>
            </w:pPr>
            <w:r>
              <w:rPr>
                <w:rFonts w:ascii="Arial" w:cs="Arial" w:eastAsia="Arial" w:hAnsi="Arial"/>
                <w:sz w:val="18"/>
                <w:szCs w:val="18"/>
                <w:color w:val="auto"/>
              </w:rPr>
              <w:t>Rounding</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1.07</w:t>
            </w:r>
          </w:p>
        </w:tc>
        <w:tc>
          <w:tcPr>
            <w:tcW w:w="8840" w:type="dxa"/>
            <w:vAlign w:val="bottom"/>
          </w:tcPr>
          <w:p>
            <w:pPr>
              <w:ind w:left="360"/>
              <w:spacing w:after="0"/>
              <w:rPr>
                <w:sz w:val="20"/>
                <w:szCs w:val="20"/>
                <w:color w:val="auto"/>
              </w:rPr>
            </w:pPr>
            <w:r>
              <w:rPr>
                <w:rFonts w:ascii="Arial" w:cs="Arial" w:eastAsia="Arial" w:hAnsi="Arial"/>
                <w:sz w:val="18"/>
                <w:szCs w:val="18"/>
                <w:color w:val="auto"/>
              </w:rPr>
              <w:t>Divisions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1.08</w:t>
            </w:r>
          </w:p>
        </w:tc>
        <w:tc>
          <w:tcPr>
            <w:tcW w:w="8840" w:type="dxa"/>
            <w:vAlign w:val="bottom"/>
          </w:tcPr>
          <w:p>
            <w:pPr>
              <w:ind w:left="360"/>
              <w:spacing w:after="0"/>
              <w:rPr>
                <w:sz w:val="20"/>
                <w:szCs w:val="20"/>
                <w:color w:val="auto"/>
              </w:rPr>
            </w:pPr>
            <w:r>
              <w:rPr>
                <w:rFonts w:ascii="Arial" w:cs="Arial" w:eastAsia="Arial" w:hAnsi="Arial"/>
                <w:sz w:val="18"/>
                <w:szCs w:val="18"/>
                <w:color w:val="auto"/>
              </w:rPr>
              <w:t>Times of Day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1.09</w:t>
            </w:r>
          </w:p>
        </w:tc>
        <w:tc>
          <w:tcPr>
            <w:tcW w:w="8840" w:type="dxa"/>
            <w:vAlign w:val="bottom"/>
          </w:tcPr>
          <w:p>
            <w:pPr>
              <w:ind w:left="360"/>
              <w:spacing w:after="0"/>
              <w:rPr>
                <w:sz w:val="20"/>
                <w:szCs w:val="20"/>
                <w:color w:val="auto"/>
              </w:rPr>
            </w:pPr>
            <w:r>
              <w:rPr>
                <w:rFonts w:ascii="Arial" w:cs="Arial" w:eastAsia="Arial" w:hAnsi="Arial"/>
                <w:sz w:val="18"/>
                <w:szCs w:val="18"/>
                <w:color w:val="auto"/>
              </w:rPr>
              <w:t>LIBO Rate</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50"/>
              <w:spacing w:after="0"/>
              <w:rPr>
                <w:sz w:val="20"/>
                <w:szCs w:val="20"/>
                <w:color w:val="auto"/>
              </w:rPr>
            </w:pPr>
            <w:r>
              <w:rPr>
                <w:rFonts w:ascii="Arial" w:cs="Arial" w:eastAsia="Arial" w:hAnsi="Arial"/>
                <w:sz w:val="18"/>
                <w:szCs w:val="18"/>
                <w:color w:val="auto"/>
                <w:w w:val="94"/>
              </w:rPr>
              <w:t>THE CREDITS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2.01</w:t>
            </w:r>
          </w:p>
        </w:tc>
        <w:tc>
          <w:tcPr>
            <w:tcW w:w="8840" w:type="dxa"/>
            <w:vAlign w:val="bottom"/>
          </w:tcPr>
          <w:p>
            <w:pPr>
              <w:ind w:left="360"/>
              <w:spacing w:after="0"/>
              <w:rPr>
                <w:sz w:val="20"/>
                <w:szCs w:val="20"/>
                <w:color w:val="auto"/>
              </w:rPr>
            </w:pPr>
            <w:r>
              <w:rPr>
                <w:rFonts w:ascii="Arial" w:cs="Arial" w:eastAsia="Arial" w:hAnsi="Arial"/>
                <w:sz w:val="18"/>
                <w:szCs w:val="18"/>
                <w:color w:val="auto"/>
              </w:rPr>
              <w:t>Term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2.02</w:t>
            </w:r>
          </w:p>
        </w:tc>
        <w:tc>
          <w:tcPr>
            <w:tcW w:w="8840" w:type="dxa"/>
            <w:vAlign w:val="bottom"/>
          </w:tcPr>
          <w:p>
            <w:pPr>
              <w:ind w:left="360"/>
              <w:spacing w:after="0"/>
              <w:rPr>
                <w:sz w:val="20"/>
                <w:szCs w:val="20"/>
                <w:color w:val="auto"/>
              </w:rPr>
            </w:pPr>
            <w:r>
              <w:rPr>
                <w:rFonts w:ascii="Arial" w:cs="Arial" w:eastAsia="Arial" w:hAnsi="Arial"/>
                <w:sz w:val="18"/>
                <w:szCs w:val="18"/>
                <w:color w:val="auto"/>
              </w:rPr>
              <w:t>Loan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360"/>
              <w:spacing w:after="0"/>
              <w:rPr>
                <w:sz w:val="20"/>
                <w:szCs w:val="20"/>
                <w:color w:val="auto"/>
              </w:rPr>
            </w:pPr>
            <w:r>
              <w:rPr>
                <w:rFonts w:ascii="Arial" w:cs="Arial" w:eastAsia="Arial" w:hAnsi="Arial"/>
                <w:sz w:val="18"/>
                <w:szCs w:val="18"/>
                <w:color w:val="auto"/>
              </w:rPr>
              <w:t>Requests for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2.05</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2.06</w:t>
            </w:r>
          </w:p>
        </w:tc>
        <w:tc>
          <w:tcPr>
            <w:tcW w:w="8840" w:type="dxa"/>
            <w:vAlign w:val="bottom"/>
          </w:tcPr>
          <w:p>
            <w:pPr>
              <w:ind w:left="360"/>
              <w:spacing w:after="0"/>
              <w:rPr>
                <w:sz w:val="20"/>
                <w:szCs w:val="20"/>
                <w:color w:val="auto"/>
              </w:rPr>
            </w:pPr>
            <w:r>
              <w:rPr>
                <w:rFonts w:ascii="Arial" w:cs="Arial" w:eastAsia="Arial" w:hAnsi="Arial"/>
                <w:sz w:val="18"/>
                <w:szCs w:val="18"/>
                <w:color w:val="auto"/>
              </w:rPr>
              <w:t>Funding of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2.07</w:t>
            </w:r>
          </w:p>
        </w:tc>
        <w:tc>
          <w:tcPr>
            <w:tcW w:w="8840" w:type="dxa"/>
            <w:vAlign w:val="bottom"/>
          </w:tcPr>
          <w:p>
            <w:pPr>
              <w:ind w:left="360"/>
              <w:spacing w:after="0"/>
              <w:rPr>
                <w:sz w:val="20"/>
                <w:szCs w:val="20"/>
                <w:color w:val="auto"/>
              </w:rPr>
            </w:pPr>
            <w:r>
              <w:rPr>
                <w:rFonts w:ascii="Arial" w:cs="Arial" w:eastAsia="Arial" w:hAnsi="Arial"/>
                <w:sz w:val="18"/>
                <w:szCs w:val="18"/>
                <w:color w:val="auto"/>
              </w:rPr>
              <w:t>Successor LIBOR</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360"/>
              <w:spacing w:after="0"/>
              <w:rPr>
                <w:sz w:val="20"/>
                <w:szCs w:val="20"/>
                <w:color w:val="auto"/>
              </w:rPr>
            </w:pPr>
            <w:r>
              <w:rPr>
                <w:rFonts w:ascii="Arial" w:cs="Arial" w:eastAsia="Arial" w:hAnsi="Arial"/>
                <w:sz w:val="18"/>
                <w:szCs w:val="18"/>
                <w:color w:val="auto"/>
              </w:rPr>
              <w:t>Reduction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2.09</w:t>
            </w:r>
          </w:p>
        </w:tc>
        <w:tc>
          <w:tcPr>
            <w:tcW w:w="8840" w:type="dxa"/>
            <w:vAlign w:val="bottom"/>
          </w:tcPr>
          <w:p>
            <w:pPr>
              <w:ind w:left="36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360"/>
              <w:spacing w:after="0"/>
              <w:rPr>
                <w:sz w:val="20"/>
                <w:szCs w:val="20"/>
                <w:color w:val="auto"/>
              </w:rPr>
            </w:pPr>
            <w:r>
              <w:rPr>
                <w:rFonts w:ascii="Arial" w:cs="Arial" w:eastAsia="Arial" w:hAnsi="Arial"/>
                <w:sz w:val="18"/>
                <w:szCs w:val="18"/>
                <w:color w:val="auto"/>
              </w:rPr>
              <w:t>Optional 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36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2.13</w:t>
            </w:r>
          </w:p>
        </w:tc>
        <w:tc>
          <w:tcPr>
            <w:tcW w:w="8840" w:type="dxa"/>
            <w:vAlign w:val="bottom"/>
          </w:tcPr>
          <w:p>
            <w:pPr>
              <w:ind w:left="360"/>
              <w:spacing w:after="0"/>
              <w:rPr>
                <w:sz w:val="20"/>
                <w:szCs w:val="20"/>
                <w:color w:val="auto"/>
              </w:rPr>
            </w:pPr>
            <w:r>
              <w:rPr>
                <w:rFonts w:ascii="Arial" w:cs="Arial" w:eastAsia="Arial" w:hAnsi="Arial"/>
                <w:sz w:val="18"/>
                <w:szCs w:val="18"/>
                <w:color w:val="auto"/>
              </w:rPr>
              <w:t>Alternate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2.14</w:t>
            </w:r>
          </w:p>
        </w:tc>
        <w:tc>
          <w:tcPr>
            <w:tcW w:w="8840" w:type="dxa"/>
            <w:vAlign w:val="bottom"/>
          </w:tcPr>
          <w:p>
            <w:pPr>
              <w:ind w:left="36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2.15</w:t>
            </w:r>
          </w:p>
        </w:tc>
        <w:tc>
          <w:tcPr>
            <w:tcW w:w="8840" w:type="dxa"/>
            <w:vAlign w:val="bottom"/>
          </w:tcPr>
          <w:p>
            <w:pPr>
              <w:ind w:left="360"/>
              <w:spacing w:after="0"/>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2.16</w:t>
            </w:r>
          </w:p>
        </w:tc>
        <w:tc>
          <w:tcPr>
            <w:tcW w:w="8840" w:type="dxa"/>
            <w:vAlign w:val="bottom"/>
          </w:tcPr>
          <w:p>
            <w:pPr>
              <w:ind w:left="36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2.17</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2.18</w:t>
            </w:r>
          </w:p>
        </w:tc>
        <w:tc>
          <w:tcPr>
            <w:tcW w:w="884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2.19</w:t>
            </w:r>
          </w:p>
        </w:tc>
        <w:tc>
          <w:tcPr>
            <w:tcW w:w="8840" w:type="dxa"/>
            <w:vAlign w:val="bottom"/>
          </w:tcPr>
          <w:p>
            <w:pPr>
              <w:ind w:left="360"/>
              <w:spacing w:after="0"/>
              <w:rPr>
                <w:sz w:val="20"/>
                <w:szCs w:val="20"/>
                <w:color w:val="auto"/>
              </w:rPr>
            </w:pPr>
            <w:r>
              <w:rPr>
                <w:rFonts w:ascii="Arial" w:cs="Arial" w:eastAsia="Arial" w:hAnsi="Arial"/>
                <w:sz w:val="18"/>
                <w:szCs w:val="18"/>
                <w:color w:val="auto"/>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2.20</w:t>
            </w:r>
          </w:p>
        </w:tc>
        <w:tc>
          <w:tcPr>
            <w:tcW w:w="8840" w:type="dxa"/>
            <w:vAlign w:val="bottom"/>
          </w:tcPr>
          <w:p>
            <w:pPr>
              <w:ind w:left="360"/>
              <w:spacing w:after="0"/>
              <w:rPr>
                <w:sz w:val="20"/>
                <w:szCs w:val="20"/>
                <w:color w:val="auto"/>
              </w:rPr>
            </w:pPr>
            <w:r>
              <w:rPr>
                <w:rFonts w:ascii="Arial" w:cs="Arial" w:eastAsia="Arial" w:hAnsi="Arial"/>
                <w:sz w:val="18"/>
                <w:szCs w:val="18"/>
                <w:color w:val="auto"/>
              </w:rPr>
              <w:t>Defaulting Lender</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00"/>
          </w:cols>
          <w:pgMar w:left="800" w:top="270" w:right="4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1860" w:type="dxa"/>
            <w:vAlign w:val="bottom"/>
          </w:tcPr>
          <w:p>
            <w:pPr>
              <w:spacing w:after="0"/>
              <w:rPr>
                <w:sz w:val="20"/>
                <w:szCs w:val="20"/>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5"/>
              </w:rPr>
              <w:t>REPRESENTATIONS AND WARRANTIES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3.01</w:t>
            </w:r>
          </w:p>
        </w:tc>
        <w:tc>
          <w:tcPr>
            <w:tcW w:w="7280" w:type="dxa"/>
            <w:vAlign w:val="bottom"/>
          </w:tcPr>
          <w:p>
            <w:pPr>
              <w:ind w:left="360"/>
              <w:spacing w:after="0"/>
              <w:rPr>
                <w:sz w:val="20"/>
                <w:szCs w:val="20"/>
                <w:color w:val="auto"/>
              </w:rPr>
            </w:pPr>
            <w:r>
              <w:rPr>
                <w:rFonts w:ascii="Arial" w:cs="Arial" w:eastAsia="Arial" w:hAnsi="Arial"/>
                <w:sz w:val="18"/>
                <w:szCs w:val="18"/>
                <w:color w:val="auto"/>
              </w:rPr>
              <w:t>Organization; Powers; Subsidiaries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3.02</w:t>
            </w:r>
          </w:p>
        </w:tc>
        <w:tc>
          <w:tcPr>
            <w:tcW w:w="7280" w:type="dxa"/>
            <w:vAlign w:val="bottom"/>
          </w:tcPr>
          <w:p>
            <w:pPr>
              <w:ind w:left="360"/>
              <w:spacing w:after="0"/>
              <w:rPr>
                <w:sz w:val="20"/>
                <w:szCs w:val="20"/>
                <w:color w:val="auto"/>
              </w:rPr>
            </w:pPr>
            <w:r>
              <w:rPr>
                <w:rFonts w:ascii="Arial" w:cs="Arial" w:eastAsia="Arial" w:hAnsi="Arial"/>
                <w:sz w:val="18"/>
                <w:szCs w:val="18"/>
                <w:color w:val="auto"/>
              </w:rPr>
              <w:t>Authorization; Enforceability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3.03</w:t>
            </w:r>
          </w:p>
        </w:tc>
        <w:tc>
          <w:tcPr>
            <w:tcW w:w="7280" w:type="dxa"/>
            <w:vAlign w:val="bottom"/>
          </w:tcPr>
          <w:p>
            <w:pPr>
              <w:ind w:left="360"/>
              <w:spacing w:after="0"/>
              <w:rPr>
                <w:sz w:val="20"/>
                <w:szCs w:val="20"/>
                <w:color w:val="auto"/>
              </w:rPr>
            </w:pPr>
            <w:r>
              <w:rPr>
                <w:rFonts w:ascii="Arial" w:cs="Arial" w:eastAsia="Arial" w:hAnsi="Arial"/>
                <w:sz w:val="18"/>
                <w:szCs w:val="18"/>
                <w:color w:val="auto"/>
              </w:rPr>
              <w:t>Governmental Approvals; No 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3.04</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Financial Condition; No Material Adverse 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3.05</w:t>
            </w:r>
          </w:p>
        </w:tc>
        <w:tc>
          <w:tcPr>
            <w:tcW w:w="7280" w:type="dxa"/>
            <w:vAlign w:val="bottom"/>
          </w:tcPr>
          <w:p>
            <w:pPr>
              <w:ind w:left="360"/>
              <w:spacing w:after="0"/>
              <w:rPr>
                <w:sz w:val="20"/>
                <w:szCs w:val="20"/>
                <w:color w:val="auto"/>
              </w:rPr>
            </w:pPr>
            <w:r>
              <w:rPr>
                <w:rFonts w:ascii="Arial" w:cs="Arial" w:eastAsia="Arial" w:hAnsi="Arial"/>
                <w:sz w:val="18"/>
                <w:szCs w:val="18"/>
                <w:color w:val="auto"/>
              </w:rPr>
              <w:t>Properties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3.06</w:t>
            </w:r>
          </w:p>
        </w:tc>
        <w:tc>
          <w:tcPr>
            <w:tcW w:w="7280" w:type="dxa"/>
            <w:vAlign w:val="bottom"/>
          </w:tcPr>
          <w:p>
            <w:pPr>
              <w:ind w:left="360"/>
              <w:spacing w:after="0"/>
              <w:rPr>
                <w:sz w:val="20"/>
                <w:szCs w:val="20"/>
                <w:color w:val="auto"/>
              </w:rPr>
            </w:pPr>
            <w:r>
              <w:rPr>
                <w:rFonts w:ascii="Arial" w:cs="Arial" w:eastAsia="Arial" w:hAnsi="Arial"/>
                <w:sz w:val="18"/>
                <w:szCs w:val="18"/>
                <w:color w:val="auto"/>
              </w:rPr>
              <w:t>Litigation and Environmental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 and Agreements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3.08</w:t>
            </w:r>
          </w:p>
        </w:tc>
        <w:tc>
          <w:tcPr>
            <w:tcW w:w="7280" w:type="dxa"/>
            <w:vAlign w:val="bottom"/>
          </w:tcPr>
          <w:p>
            <w:pPr>
              <w:ind w:left="360"/>
              <w:spacing w:after="0"/>
              <w:rPr>
                <w:sz w:val="20"/>
                <w:szCs w:val="20"/>
                <w:color w:val="auto"/>
              </w:rPr>
            </w:pPr>
            <w:r>
              <w:rPr>
                <w:rFonts w:ascii="Arial" w:cs="Arial" w:eastAsia="Arial" w:hAnsi="Arial"/>
                <w:sz w:val="18"/>
                <w:szCs w:val="18"/>
                <w:color w:val="auto"/>
              </w:rPr>
              <w:t>Investment Company Status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3.09</w:t>
            </w:r>
          </w:p>
        </w:tc>
        <w:tc>
          <w:tcPr>
            <w:tcW w:w="7280" w:type="dxa"/>
            <w:vAlign w:val="bottom"/>
          </w:tcPr>
          <w:p>
            <w:pPr>
              <w:ind w:left="360"/>
              <w:spacing w:after="0"/>
              <w:rPr>
                <w:sz w:val="20"/>
                <w:szCs w:val="20"/>
                <w:color w:val="auto"/>
              </w:rPr>
            </w:pPr>
            <w:r>
              <w:rPr>
                <w:rFonts w:ascii="Arial" w:cs="Arial" w:eastAsia="Arial" w:hAnsi="Arial"/>
                <w:sz w:val="18"/>
                <w:szCs w:val="18"/>
                <w:color w:val="auto"/>
              </w:rPr>
              <w:t>Taxes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3.10</w:t>
            </w:r>
          </w:p>
        </w:tc>
        <w:tc>
          <w:tcPr>
            <w:tcW w:w="72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3.11</w:t>
            </w:r>
          </w:p>
        </w:tc>
        <w:tc>
          <w:tcPr>
            <w:tcW w:w="7280" w:type="dxa"/>
            <w:vAlign w:val="bottom"/>
          </w:tcPr>
          <w:p>
            <w:pPr>
              <w:ind w:left="360"/>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3.12</w:t>
            </w:r>
          </w:p>
        </w:tc>
        <w:tc>
          <w:tcPr>
            <w:tcW w:w="7280" w:type="dxa"/>
            <w:vAlign w:val="bottom"/>
          </w:tcPr>
          <w:p>
            <w:pPr>
              <w:ind w:left="360"/>
              <w:spacing w:after="0"/>
              <w:rPr>
                <w:sz w:val="20"/>
                <w:szCs w:val="20"/>
                <w:color w:val="auto"/>
              </w:rPr>
            </w:pPr>
            <w:r>
              <w:rPr>
                <w:rFonts w:ascii="Arial" w:cs="Arial" w:eastAsia="Arial" w:hAnsi="Arial"/>
                <w:sz w:val="18"/>
                <w:szCs w:val="18"/>
                <w:color w:val="auto"/>
              </w:rPr>
              <w:t>Disclosure</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3.13</w:t>
            </w:r>
          </w:p>
        </w:tc>
        <w:tc>
          <w:tcPr>
            <w:tcW w:w="7280" w:type="dxa"/>
            <w:vAlign w:val="bottom"/>
          </w:tcPr>
          <w:p>
            <w:pPr>
              <w:ind w:left="360"/>
              <w:spacing w:after="0"/>
              <w:rPr>
                <w:sz w:val="20"/>
                <w:szCs w:val="20"/>
                <w:color w:val="auto"/>
              </w:rPr>
            </w:pPr>
            <w:r>
              <w:rPr>
                <w:rFonts w:ascii="Arial" w:cs="Arial" w:eastAsia="Arial" w:hAnsi="Arial"/>
                <w:sz w:val="18"/>
                <w:szCs w:val="18"/>
                <w:color w:val="auto"/>
              </w:rPr>
              <w:t>Federal Reserve 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3.14</w:t>
            </w:r>
          </w:p>
        </w:tc>
        <w:tc>
          <w:tcPr>
            <w:tcW w:w="7280" w:type="dxa"/>
            <w:vAlign w:val="bottom"/>
          </w:tcPr>
          <w:p>
            <w:pPr>
              <w:ind w:left="360"/>
              <w:spacing w:after="0"/>
              <w:rPr>
                <w:sz w:val="20"/>
                <w:szCs w:val="20"/>
                <w:color w:val="auto"/>
              </w:rPr>
            </w:pPr>
            <w:r>
              <w:rPr>
                <w:rFonts w:ascii="Arial" w:cs="Arial" w:eastAsia="Arial" w:hAnsi="Arial"/>
                <w:sz w:val="18"/>
                <w:szCs w:val="18"/>
                <w:color w:val="auto"/>
              </w:rPr>
              <w:t>PATRIOT Act</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3.15</w:t>
            </w:r>
          </w:p>
        </w:tc>
        <w:tc>
          <w:tcPr>
            <w:tcW w:w="7280" w:type="dxa"/>
            <w:vAlign w:val="bottom"/>
          </w:tcPr>
          <w:p>
            <w:pPr>
              <w:ind w:left="360"/>
              <w:spacing w:after="0"/>
              <w:rPr>
                <w:sz w:val="20"/>
                <w:szCs w:val="20"/>
                <w:color w:val="auto"/>
              </w:rPr>
            </w:pPr>
            <w:r>
              <w:rPr>
                <w:rFonts w:ascii="Arial" w:cs="Arial" w:eastAsia="Arial" w:hAnsi="Arial"/>
                <w:sz w:val="18"/>
                <w:szCs w:val="18"/>
                <w:color w:val="auto"/>
              </w:rPr>
              <w:t>OFAC</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3.16</w:t>
            </w:r>
          </w:p>
        </w:tc>
        <w:tc>
          <w:tcPr>
            <w:tcW w:w="7280" w:type="dxa"/>
            <w:vAlign w:val="bottom"/>
          </w:tcPr>
          <w:p>
            <w:pPr>
              <w:ind w:left="360"/>
              <w:spacing w:after="0"/>
              <w:rPr>
                <w:sz w:val="20"/>
                <w:szCs w:val="20"/>
                <w:color w:val="auto"/>
              </w:rPr>
            </w:pPr>
            <w:r>
              <w:rPr>
                <w:rFonts w:ascii="Arial" w:cs="Arial" w:eastAsia="Arial" w:hAnsi="Arial"/>
                <w:sz w:val="18"/>
                <w:szCs w:val="18"/>
                <w:color w:val="auto"/>
              </w:rPr>
              <w:t>Beneficial Ownership Certification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3.17</w:t>
            </w:r>
          </w:p>
        </w:tc>
        <w:tc>
          <w:tcPr>
            <w:tcW w:w="7280" w:type="dxa"/>
            <w:vAlign w:val="bottom"/>
          </w:tcPr>
          <w:p>
            <w:pPr>
              <w:ind w:left="360"/>
              <w:spacing w:after="0"/>
              <w:rPr>
                <w:sz w:val="20"/>
                <w:szCs w:val="20"/>
                <w:color w:val="auto"/>
              </w:rPr>
            </w:pPr>
            <w:r>
              <w:rPr>
                <w:rFonts w:ascii="Arial" w:cs="Arial" w:eastAsia="Arial" w:hAnsi="Arial"/>
                <w:sz w:val="18"/>
                <w:szCs w:val="18"/>
                <w:color w:val="auto"/>
              </w:rPr>
              <w:t>Representations as to Foreign Obligors</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7"/>
              </w:rPr>
              <w:t>CONDITIONS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4.01</w:t>
            </w:r>
          </w:p>
        </w:tc>
        <w:tc>
          <w:tcPr>
            <w:tcW w:w="7280" w:type="dxa"/>
            <w:vAlign w:val="bottom"/>
          </w:tcPr>
          <w:p>
            <w:pPr>
              <w:ind w:left="360"/>
              <w:spacing w:after="0"/>
              <w:rPr>
                <w:sz w:val="20"/>
                <w:szCs w:val="20"/>
                <w:color w:val="auto"/>
              </w:rPr>
            </w:pPr>
            <w:r>
              <w:rPr>
                <w:rFonts w:ascii="Arial" w:cs="Arial" w:eastAsia="Arial" w:hAnsi="Arial"/>
                <w:sz w:val="18"/>
                <w:szCs w:val="18"/>
                <w:color w:val="auto"/>
              </w:rPr>
              <w:t>Conditions Precedent to Effectiveness</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4.02</w:t>
            </w:r>
          </w:p>
        </w:tc>
        <w:tc>
          <w:tcPr>
            <w:tcW w:w="7280" w:type="dxa"/>
            <w:vAlign w:val="bottom"/>
          </w:tcPr>
          <w:p>
            <w:pPr>
              <w:ind w:left="360"/>
              <w:spacing w:after="0"/>
              <w:rPr>
                <w:sz w:val="20"/>
                <w:szCs w:val="20"/>
                <w:color w:val="auto"/>
              </w:rPr>
            </w:pPr>
            <w:r>
              <w:rPr>
                <w:rFonts w:ascii="Arial" w:cs="Arial" w:eastAsia="Arial" w:hAnsi="Arial"/>
                <w:sz w:val="18"/>
                <w:szCs w:val="18"/>
                <w:color w:val="auto"/>
              </w:rPr>
              <w:t>Conditions Precedent to Closing Date</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AFFIRMATIVE COVENANTS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5.01</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and Other Information</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5.02</w:t>
            </w:r>
          </w:p>
        </w:tc>
        <w:tc>
          <w:tcPr>
            <w:tcW w:w="7280" w:type="dxa"/>
            <w:vAlign w:val="bottom"/>
          </w:tcPr>
          <w:p>
            <w:pPr>
              <w:ind w:left="360"/>
              <w:spacing w:after="0"/>
              <w:rPr>
                <w:sz w:val="20"/>
                <w:szCs w:val="20"/>
                <w:color w:val="auto"/>
              </w:rPr>
            </w:pPr>
            <w:r>
              <w:rPr>
                <w:rFonts w:ascii="Arial" w:cs="Arial" w:eastAsia="Arial" w:hAnsi="Arial"/>
                <w:sz w:val="18"/>
                <w:szCs w:val="18"/>
                <w:color w:val="auto"/>
              </w:rPr>
              <w:t>Notices of Material Events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5.03</w:t>
            </w:r>
          </w:p>
        </w:tc>
        <w:tc>
          <w:tcPr>
            <w:tcW w:w="7280" w:type="dxa"/>
            <w:vAlign w:val="bottom"/>
          </w:tcPr>
          <w:p>
            <w:pPr>
              <w:ind w:left="360"/>
              <w:spacing w:after="0"/>
              <w:rPr>
                <w:sz w:val="20"/>
                <w:szCs w:val="20"/>
                <w:color w:val="auto"/>
              </w:rPr>
            </w:pPr>
            <w:r>
              <w:rPr>
                <w:rFonts w:ascii="Arial" w:cs="Arial" w:eastAsia="Arial" w:hAnsi="Arial"/>
                <w:sz w:val="18"/>
                <w:szCs w:val="18"/>
                <w:color w:val="auto"/>
              </w:rPr>
              <w:t>Existence; Conduct of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5.04</w:t>
            </w:r>
          </w:p>
        </w:tc>
        <w:tc>
          <w:tcPr>
            <w:tcW w:w="7280" w:type="dxa"/>
            <w:vAlign w:val="bottom"/>
          </w:tcPr>
          <w:p>
            <w:pPr>
              <w:ind w:left="360"/>
              <w:spacing w:after="0"/>
              <w:rPr>
                <w:sz w:val="20"/>
                <w:szCs w:val="20"/>
                <w:color w:val="auto"/>
              </w:rPr>
            </w:pPr>
            <w:r>
              <w:rPr>
                <w:rFonts w:ascii="Arial" w:cs="Arial" w:eastAsia="Arial" w:hAnsi="Arial"/>
                <w:sz w:val="18"/>
                <w:szCs w:val="18"/>
                <w:color w:val="auto"/>
              </w:rPr>
              <w:t>Payment of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5.05</w:t>
            </w:r>
          </w:p>
        </w:tc>
        <w:tc>
          <w:tcPr>
            <w:tcW w:w="7280" w:type="dxa"/>
            <w:vAlign w:val="bottom"/>
          </w:tcPr>
          <w:p>
            <w:pPr>
              <w:ind w:left="360"/>
              <w:spacing w:after="0"/>
              <w:rPr>
                <w:sz w:val="20"/>
                <w:szCs w:val="20"/>
                <w:color w:val="auto"/>
              </w:rPr>
            </w:pPr>
            <w:r>
              <w:rPr>
                <w:rFonts w:ascii="Arial" w:cs="Arial" w:eastAsia="Arial" w:hAnsi="Arial"/>
                <w:sz w:val="18"/>
                <w:szCs w:val="18"/>
                <w:color w:val="auto"/>
              </w:rPr>
              <w:t>Maintenance of Properties; 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5.06</w:t>
            </w:r>
          </w:p>
        </w:tc>
        <w:tc>
          <w:tcPr>
            <w:tcW w:w="7280" w:type="dxa"/>
            <w:vAlign w:val="bottom"/>
          </w:tcPr>
          <w:p>
            <w:pPr>
              <w:ind w:left="360"/>
              <w:spacing w:after="0"/>
              <w:rPr>
                <w:sz w:val="20"/>
                <w:szCs w:val="20"/>
                <w:color w:val="auto"/>
              </w:rPr>
            </w:pPr>
            <w:r>
              <w:rPr>
                <w:rFonts w:ascii="Arial" w:cs="Arial" w:eastAsia="Arial" w:hAnsi="Arial"/>
                <w:sz w:val="18"/>
                <w:szCs w:val="18"/>
                <w:color w:val="auto"/>
              </w:rPr>
              <w:t>Inspection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5.08</w:t>
            </w:r>
          </w:p>
        </w:tc>
        <w:tc>
          <w:tcPr>
            <w:tcW w:w="7280" w:type="dxa"/>
            <w:vAlign w:val="bottom"/>
          </w:tcPr>
          <w:p>
            <w:pPr>
              <w:ind w:left="360"/>
              <w:spacing w:after="0"/>
              <w:rPr>
                <w:sz w:val="20"/>
                <w:szCs w:val="20"/>
                <w:color w:val="auto"/>
              </w:rPr>
            </w:pPr>
            <w:r>
              <w:rPr>
                <w:rFonts w:ascii="Arial" w:cs="Arial" w:eastAsia="Arial" w:hAnsi="Arial"/>
                <w:sz w:val="18"/>
                <w:szCs w:val="18"/>
                <w:color w:val="auto"/>
              </w:rPr>
              <w:t>Use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5.09</w:t>
            </w:r>
          </w:p>
        </w:tc>
        <w:tc>
          <w:tcPr>
            <w:tcW w:w="7280" w:type="dxa"/>
            <w:vAlign w:val="bottom"/>
          </w:tcPr>
          <w:p>
            <w:pPr>
              <w:ind w:left="360"/>
              <w:spacing w:after="0"/>
              <w:rPr>
                <w:sz w:val="20"/>
                <w:szCs w:val="20"/>
                <w:color w:val="auto"/>
              </w:rPr>
            </w:pPr>
            <w:r>
              <w:rPr>
                <w:rFonts w:ascii="Arial" w:cs="Arial" w:eastAsia="Arial" w:hAnsi="Arial"/>
                <w:sz w:val="18"/>
                <w:szCs w:val="18"/>
                <w:color w:val="auto"/>
              </w:rPr>
              <w:t>Guarantees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7"/>
              </w:rPr>
              <w:t>NEGATIVE COVENANTS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6.01</w:t>
            </w:r>
          </w:p>
        </w:tc>
        <w:tc>
          <w:tcPr>
            <w:tcW w:w="7280" w:type="dxa"/>
            <w:vAlign w:val="bottom"/>
          </w:tcPr>
          <w:p>
            <w:pPr>
              <w:ind w:left="360"/>
              <w:spacing w:after="0"/>
              <w:rPr>
                <w:sz w:val="20"/>
                <w:szCs w:val="20"/>
                <w:color w:val="auto"/>
              </w:rPr>
            </w:pPr>
            <w:r>
              <w:rPr>
                <w:rFonts w:ascii="Arial" w:cs="Arial" w:eastAsia="Arial" w:hAnsi="Arial"/>
                <w:sz w:val="18"/>
                <w:szCs w:val="18"/>
                <w:color w:val="auto"/>
              </w:rPr>
              <w:t>Indebtedness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6.02</w:t>
            </w:r>
          </w:p>
        </w:tc>
        <w:tc>
          <w:tcPr>
            <w:tcW w:w="7280" w:type="dxa"/>
            <w:vAlign w:val="bottom"/>
          </w:tcPr>
          <w:p>
            <w:pPr>
              <w:ind w:left="360"/>
              <w:spacing w:after="0"/>
              <w:rPr>
                <w:sz w:val="20"/>
                <w:szCs w:val="20"/>
                <w:color w:val="auto"/>
              </w:rPr>
            </w:pPr>
            <w:r>
              <w:rPr>
                <w:rFonts w:ascii="Arial" w:cs="Arial" w:eastAsia="Arial" w:hAnsi="Arial"/>
                <w:sz w:val="18"/>
                <w:szCs w:val="18"/>
                <w:color w:val="auto"/>
              </w:rPr>
              <w:t>Liens</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6.03</w:t>
            </w:r>
          </w:p>
        </w:tc>
        <w:tc>
          <w:tcPr>
            <w:tcW w:w="7280" w:type="dxa"/>
            <w:vAlign w:val="bottom"/>
          </w:tcPr>
          <w:p>
            <w:pPr>
              <w:ind w:left="360"/>
              <w:spacing w:after="0"/>
              <w:rPr>
                <w:sz w:val="20"/>
                <w:szCs w:val="20"/>
                <w:color w:val="auto"/>
              </w:rPr>
            </w:pPr>
            <w:r>
              <w:rPr>
                <w:rFonts w:ascii="Arial" w:cs="Arial" w:eastAsia="Arial" w:hAnsi="Arial"/>
                <w:sz w:val="18"/>
                <w:szCs w:val="18"/>
                <w:color w:val="auto"/>
              </w:rPr>
              <w:t>Fundamental Changes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6.04</w:t>
            </w:r>
          </w:p>
        </w:tc>
        <w:tc>
          <w:tcPr>
            <w:tcW w:w="7300" w:type="dxa"/>
            <w:vAlign w:val="bottom"/>
          </w:tcPr>
          <w:p>
            <w:pPr>
              <w:ind w:left="300"/>
              <w:spacing w:after="0"/>
              <w:rPr>
                <w:sz w:val="20"/>
                <w:szCs w:val="20"/>
                <w:color w:val="auto"/>
              </w:rPr>
            </w:pPr>
            <w:r>
              <w:rPr>
                <w:rFonts w:ascii="Arial" w:cs="Arial" w:eastAsia="Arial" w:hAnsi="Arial"/>
                <w:sz w:val="18"/>
                <w:szCs w:val="18"/>
                <w:color w:val="auto"/>
              </w:rPr>
              <w:t>Restricted Payments</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6.05</w:t>
            </w:r>
          </w:p>
        </w:tc>
        <w:tc>
          <w:tcPr>
            <w:tcW w:w="730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6.06</w:t>
            </w:r>
          </w:p>
        </w:tc>
        <w:tc>
          <w:tcPr>
            <w:tcW w:w="730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1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6.07</w:t>
            </w:r>
          </w:p>
        </w:tc>
        <w:tc>
          <w:tcPr>
            <w:tcW w:w="7300" w:type="dxa"/>
            <w:vAlign w:val="bottom"/>
          </w:tcPr>
          <w:p>
            <w:pPr>
              <w:ind w:left="300"/>
              <w:spacing w:after="0"/>
              <w:rPr>
                <w:sz w:val="20"/>
                <w:szCs w:val="20"/>
                <w:color w:val="auto"/>
              </w:rPr>
            </w:pPr>
            <w:r>
              <w:rPr>
                <w:rFonts w:ascii="Arial" w:cs="Arial" w:eastAsia="Arial" w:hAnsi="Arial"/>
                <w:sz w:val="18"/>
                <w:szCs w:val="18"/>
                <w:color w:val="auto"/>
              </w:rPr>
              <w:t>Financial Covenant</w:t>
            </w: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6.08</w:t>
            </w:r>
          </w:p>
        </w:tc>
        <w:tc>
          <w:tcPr>
            <w:tcW w:w="7300" w:type="dxa"/>
            <w:vAlign w:val="bottom"/>
          </w:tcPr>
          <w:p>
            <w:pPr>
              <w:ind w:left="300"/>
              <w:spacing w:after="0"/>
              <w:rPr>
                <w:sz w:val="20"/>
                <w:szCs w:val="20"/>
                <w:color w:val="auto"/>
              </w:rPr>
            </w:pPr>
            <w:r>
              <w:rPr>
                <w:rFonts w:ascii="Arial" w:cs="Arial" w:eastAsia="Arial" w:hAnsi="Arial"/>
                <w:sz w:val="18"/>
                <w:szCs w:val="18"/>
                <w:color w:val="auto"/>
              </w:rPr>
              <w:t>Lines of Business</w:t>
            </w: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rPr>
              <w:t>ARTICLE VII</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5"/>
              </w:rPr>
              <w:t>EVENTS OF DEFAULT</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rPr>
              <w:t>ARTICLE VIII</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8"/>
              </w:rPr>
              <w:t>THE ADMINISTRATIVE AGENT</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9"/>
              </w:rPr>
              <w:t>ARTICLE IX</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7"/>
              </w:rPr>
              <w:t>MISCELLANEOUS</w:t>
            </w:r>
          </w:p>
        </w:tc>
        <w:tc>
          <w:tcPr>
            <w:tcW w:w="178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9.01</w:t>
            </w:r>
          </w:p>
        </w:tc>
        <w:tc>
          <w:tcPr>
            <w:tcW w:w="7300" w:type="dxa"/>
            <w:vAlign w:val="bottom"/>
          </w:tcPr>
          <w:p>
            <w:pPr>
              <w:ind w:left="30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9.02</w:t>
            </w:r>
          </w:p>
        </w:tc>
        <w:tc>
          <w:tcPr>
            <w:tcW w:w="730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1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9.03</w:t>
            </w:r>
          </w:p>
        </w:tc>
        <w:tc>
          <w:tcPr>
            <w:tcW w:w="730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9.04</w:t>
            </w:r>
          </w:p>
        </w:tc>
        <w:tc>
          <w:tcPr>
            <w:tcW w:w="730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9.05</w:t>
            </w:r>
          </w:p>
        </w:tc>
        <w:tc>
          <w:tcPr>
            <w:tcW w:w="73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1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9.06</w:t>
            </w:r>
          </w:p>
        </w:tc>
        <w:tc>
          <w:tcPr>
            <w:tcW w:w="7300" w:type="dxa"/>
            <w:vAlign w:val="bottom"/>
          </w:tcPr>
          <w:p>
            <w:pPr>
              <w:ind w:left="300"/>
              <w:spacing w:after="0"/>
              <w:rPr>
                <w:sz w:val="20"/>
                <w:szCs w:val="20"/>
                <w:color w:val="auto"/>
              </w:rPr>
            </w:pPr>
            <w:r>
              <w:rPr>
                <w:rFonts w:ascii="Arial" w:cs="Arial" w:eastAsia="Arial" w:hAnsi="Arial"/>
                <w:sz w:val="18"/>
                <w:szCs w:val="18"/>
                <w:color w:val="auto"/>
              </w:rPr>
              <w:t>Counterparts; Integration; Effectiveness</w:t>
            </w:r>
          </w:p>
        </w:tc>
        <w:tc>
          <w:tcPr>
            <w:tcW w:w="1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9.07</w:t>
            </w:r>
          </w:p>
        </w:tc>
        <w:tc>
          <w:tcPr>
            <w:tcW w:w="730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9.08</w:t>
            </w:r>
          </w:p>
        </w:tc>
        <w:tc>
          <w:tcPr>
            <w:tcW w:w="730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9.09</w:t>
            </w:r>
          </w:p>
        </w:tc>
        <w:tc>
          <w:tcPr>
            <w:tcW w:w="7300" w:type="dxa"/>
            <w:vAlign w:val="bottom"/>
          </w:tcPr>
          <w:p>
            <w:pPr>
              <w:ind w:left="300"/>
              <w:spacing w:after="0"/>
              <w:rPr>
                <w:sz w:val="20"/>
                <w:szCs w:val="20"/>
                <w:color w:val="auto"/>
              </w:rPr>
            </w:pPr>
            <w:r>
              <w:rPr>
                <w:rFonts w:ascii="Arial" w:cs="Arial" w:eastAsia="Arial" w:hAnsi="Arial"/>
                <w:sz w:val="18"/>
                <w:szCs w:val="18"/>
                <w:color w:val="auto"/>
              </w:rPr>
              <w:t>Governing Law; Jurisdiction; Consent to Service of Process</w:t>
            </w:r>
          </w:p>
        </w:tc>
        <w:tc>
          <w:tcPr>
            <w:tcW w:w="1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9.10</w:t>
            </w:r>
          </w:p>
        </w:tc>
        <w:tc>
          <w:tcPr>
            <w:tcW w:w="730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9.11</w:t>
            </w:r>
          </w:p>
        </w:tc>
        <w:tc>
          <w:tcPr>
            <w:tcW w:w="7300" w:type="dxa"/>
            <w:vAlign w:val="bottom"/>
          </w:tcPr>
          <w:p>
            <w:pPr>
              <w:ind w:left="300"/>
              <w:spacing w:after="0"/>
              <w:rPr>
                <w:sz w:val="20"/>
                <w:szCs w:val="20"/>
                <w:color w:val="auto"/>
              </w:rPr>
            </w:pPr>
            <w:r>
              <w:rPr>
                <w:rFonts w:ascii="Arial" w:cs="Arial" w:eastAsia="Arial" w:hAnsi="Arial"/>
                <w:sz w:val="18"/>
                <w:szCs w:val="18"/>
                <w:color w:val="auto"/>
              </w:rPr>
              <w:t>Headings</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9.12</w:t>
            </w:r>
          </w:p>
        </w:tc>
        <w:tc>
          <w:tcPr>
            <w:tcW w:w="730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9.13</w:t>
            </w:r>
          </w:p>
        </w:tc>
        <w:tc>
          <w:tcPr>
            <w:tcW w:w="730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1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9.14</w:t>
            </w:r>
          </w:p>
        </w:tc>
        <w:tc>
          <w:tcPr>
            <w:tcW w:w="730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9.15</w:t>
            </w:r>
          </w:p>
        </w:tc>
        <w:tc>
          <w:tcPr>
            <w:tcW w:w="7300" w:type="dxa"/>
            <w:vAlign w:val="bottom"/>
          </w:tcPr>
          <w:p>
            <w:pPr>
              <w:ind w:left="300"/>
              <w:spacing w:after="0"/>
              <w:rPr>
                <w:sz w:val="20"/>
                <w:szCs w:val="20"/>
                <w:color w:val="auto"/>
              </w:rPr>
            </w:pPr>
            <w:r>
              <w:rPr>
                <w:rFonts w:ascii="Arial" w:cs="Arial" w:eastAsia="Arial" w:hAnsi="Arial"/>
                <w:sz w:val="18"/>
                <w:szCs w:val="18"/>
                <w:color w:val="auto"/>
              </w:rPr>
              <w:t>No Fiduciary Duty</w:t>
            </w: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9.16</w:t>
            </w:r>
          </w:p>
        </w:tc>
        <w:tc>
          <w:tcPr>
            <w:tcW w:w="7300" w:type="dxa"/>
            <w:vAlign w:val="bottom"/>
          </w:tcPr>
          <w:p>
            <w:pPr>
              <w:ind w:left="300"/>
              <w:spacing w:after="0"/>
              <w:rPr>
                <w:sz w:val="20"/>
                <w:szCs w:val="20"/>
                <w:color w:val="auto"/>
              </w:rPr>
            </w:pPr>
            <w:r>
              <w:rPr>
                <w:rFonts w:ascii="Arial" w:cs="Arial" w:eastAsia="Arial" w:hAnsi="Arial"/>
                <w:sz w:val="18"/>
                <w:szCs w:val="18"/>
                <w:color w:val="auto"/>
              </w:rPr>
              <w:t>Electronic Execution of this Agreement and Other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9.17</w:t>
            </w:r>
          </w:p>
        </w:tc>
        <w:tc>
          <w:tcPr>
            <w:tcW w:w="7300" w:type="dxa"/>
            <w:vAlign w:val="bottom"/>
          </w:tcPr>
          <w:p>
            <w:pPr>
              <w:ind w:left="300"/>
              <w:spacing w:after="0"/>
              <w:rPr>
                <w:sz w:val="20"/>
                <w:szCs w:val="20"/>
                <w:color w:val="auto"/>
              </w:rPr>
            </w:pPr>
            <w:r>
              <w:rPr>
                <w:rFonts w:ascii="Arial" w:cs="Arial" w:eastAsia="Arial" w:hAnsi="Arial"/>
                <w:sz w:val="18"/>
                <w:szCs w:val="18"/>
                <w:color w:val="auto"/>
              </w:rPr>
              <w:t>Joint and Several</w:t>
            </w:r>
          </w:p>
        </w:tc>
        <w:tc>
          <w:tcPr>
            <w:tcW w:w="1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9.18</w:t>
            </w:r>
          </w:p>
        </w:tc>
        <w:tc>
          <w:tcPr>
            <w:tcW w:w="730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9.19</w:t>
            </w:r>
          </w:p>
        </w:tc>
        <w:tc>
          <w:tcPr>
            <w:tcW w:w="7300" w:type="dxa"/>
            <w:vAlign w:val="bottom"/>
          </w:tcPr>
          <w:p>
            <w:pPr>
              <w:ind w:left="300"/>
              <w:spacing w:after="0"/>
              <w:rPr>
                <w:sz w:val="20"/>
                <w:szCs w:val="20"/>
                <w:color w:val="auto"/>
              </w:rPr>
            </w:pPr>
            <w:r>
              <w:rPr>
                <w:rFonts w:ascii="Arial" w:cs="Arial" w:eastAsia="Arial" w:hAnsi="Arial"/>
                <w:sz w:val="18"/>
                <w:szCs w:val="18"/>
                <w:color w:val="auto"/>
              </w:rPr>
              <w:t>Netherlands Loan Party Representation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9.20</w:t>
            </w:r>
          </w:p>
        </w:tc>
        <w:tc>
          <w:tcPr>
            <w:tcW w:w="730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9.21</w:t>
            </w:r>
          </w:p>
        </w:tc>
        <w:tc>
          <w:tcPr>
            <w:tcW w:w="7300" w:type="dxa"/>
            <w:vAlign w:val="bottom"/>
          </w:tcPr>
          <w:p>
            <w:pPr>
              <w:ind w:left="300"/>
              <w:spacing w:after="0"/>
              <w:rPr>
                <w:sz w:val="20"/>
                <w:szCs w:val="20"/>
                <w:color w:val="auto"/>
              </w:rPr>
            </w:pPr>
            <w:r>
              <w:rPr>
                <w:rFonts w:ascii="Arial" w:cs="Arial" w:eastAsia="Arial" w:hAnsi="Arial"/>
                <w:sz w:val="18"/>
                <w:szCs w:val="18"/>
                <w:color w:val="auto"/>
              </w:rPr>
              <w:t>Acknowledgement Regarding Any Supported QFCs</w:t>
            </w:r>
          </w:p>
        </w:tc>
        <w:tc>
          <w:tcPr>
            <w:tcW w:w="1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8"/>
              </w:rPr>
              <w:t>ARTICLE X</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8"/>
              </w:rPr>
              <w:t>GUARANTEE</w:t>
            </w:r>
          </w:p>
        </w:tc>
        <w:tc>
          <w:tcPr>
            <w:tcW w:w="178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10.01</w:t>
            </w:r>
          </w:p>
        </w:tc>
        <w:tc>
          <w:tcPr>
            <w:tcW w:w="7300" w:type="dxa"/>
            <w:vAlign w:val="bottom"/>
          </w:tcPr>
          <w:p>
            <w:pPr>
              <w:ind w:left="300"/>
              <w:spacing w:after="0"/>
              <w:rPr>
                <w:sz w:val="20"/>
                <w:szCs w:val="20"/>
                <w:color w:val="auto"/>
              </w:rPr>
            </w:pPr>
            <w:r>
              <w:rPr>
                <w:rFonts w:ascii="Arial" w:cs="Arial" w:eastAsia="Arial" w:hAnsi="Arial"/>
                <w:sz w:val="18"/>
                <w:szCs w:val="18"/>
                <w:color w:val="auto"/>
              </w:rPr>
              <w:t>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10.02</w:t>
            </w:r>
          </w:p>
        </w:tc>
        <w:tc>
          <w:tcPr>
            <w:tcW w:w="7300" w:type="dxa"/>
            <w:vAlign w:val="bottom"/>
          </w:tcPr>
          <w:p>
            <w:pPr>
              <w:ind w:left="300"/>
              <w:spacing w:after="0"/>
              <w:rPr>
                <w:sz w:val="20"/>
                <w:szCs w:val="20"/>
                <w:color w:val="auto"/>
              </w:rPr>
            </w:pPr>
            <w:r>
              <w:rPr>
                <w:rFonts w:ascii="Arial" w:cs="Arial" w:eastAsia="Arial" w:hAnsi="Arial"/>
                <w:sz w:val="18"/>
                <w:szCs w:val="18"/>
                <w:color w:val="auto"/>
              </w:rPr>
              <w:t>Right of Contribution</w:t>
            </w:r>
          </w:p>
        </w:tc>
        <w:tc>
          <w:tcPr>
            <w:tcW w:w="17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00"/>
          </w:cols>
          <w:pgMar w:left="800" w:top="274" w:right="4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10.03</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No Subrogation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10.04</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Amendments, etc., with Respect to the Obligations</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10.05</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Guarantee Absolute and Unconditional</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10.06</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10.07</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Obligations Independent</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10.08</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10.09</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Subordination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10.10</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Stay of Acceleration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10.11</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Condition of Borrower</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10.12</w:t>
            </w:r>
          </w:p>
        </w:tc>
        <w:tc>
          <w:tcPr>
            <w:tcW w:w="32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Releases</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Arial" w:cs="Arial" w:eastAsia="Arial" w:hAnsi="Arial"/>
                <w:sz w:val="18"/>
                <w:szCs w:val="18"/>
                <w:color w:val="auto"/>
              </w:rPr>
              <w:t>ARTICLE XI</w:t>
            </w:r>
          </w:p>
        </w:tc>
        <w:tc>
          <w:tcPr>
            <w:tcW w:w="400" w:type="dxa"/>
            <w:vAlign w:val="bottom"/>
          </w:tcPr>
          <w:p>
            <w:pPr>
              <w:spacing w:after="0"/>
              <w:rPr>
                <w:sz w:val="24"/>
                <w:szCs w:val="24"/>
                <w:color w:val="auto"/>
              </w:rPr>
            </w:pPr>
          </w:p>
        </w:tc>
      </w:tr>
      <w:tr>
        <w:trPr>
          <w:trHeight w:val="324"/>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tcPr>
          <w:p>
            <w:pPr>
              <w:ind w:left="2380"/>
              <w:spacing w:after="0"/>
              <w:rPr>
                <w:sz w:val="20"/>
                <w:szCs w:val="20"/>
                <w:color w:val="auto"/>
              </w:rPr>
            </w:pPr>
            <w:r>
              <w:rPr>
                <w:rFonts w:ascii="Arial" w:cs="Arial" w:eastAsia="Arial" w:hAnsi="Arial"/>
                <w:sz w:val="18"/>
                <w:szCs w:val="18"/>
                <w:color w:val="auto"/>
              </w:rPr>
              <w:t>CERTAIN ERISA MATTERS</w:t>
            </w:r>
          </w:p>
        </w:tc>
        <w:tc>
          <w:tcPr>
            <w:tcW w:w="400" w:type="dxa"/>
            <w:vAlign w:val="bottom"/>
          </w:tcPr>
          <w:p>
            <w:pPr>
              <w:spacing w:after="0"/>
              <w:rPr>
                <w:sz w:val="24"/>
                <w:szCs w:val="24"/>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11.01</w:t>
            </w:r>
          </w:p>
        </w:tc>
        <w:tc>
          <w:tcPr>
            <w:tcW w:w="320" w:type="dxa"/>
            <w:vAlign w:val="bottom"/>
          </w:tcPr>
          <w:p>
            <w:pPr>
              <w:spacing w:after="0"/>
              <w:rPr>
                <w:sz w:val="24"/>
                <w:szCs w:val="24"/>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Certain ERISA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59"/>
        </w:trPr>
        <w:tc>
          <w:tcPr>
            <w:tcW w:w="1680" w:type="dxa"/>
            <w:vAlign w:val="bottom"/>
          </w:tcPr>
          <w:p>
            <w:pPr>
              <w:spacing w:after="0"/>
              <w:rPr>
                <w:sz w:val="20"/>
                <w:szCs w:val="20"/>
                <w:color w:val="auto"/>
              </w:rPr>
            </w:pPr>
            <w:r>
              <w:rPr>
                <w:rFonts w:ascii="Arial" w:cs="Arial" w:eastAsia="Arial" w:hAnsi="Arial"/>
                <w:sz w:val="18"/>
                <w:szCs w:val="18"/>
                <w:color w:val="auto"/>
              </w:rPr>
              <w:t>SCHEDULES:</w:t>
            </w:r>
          </w:p>
        </w:tc>
        <w:tc>
          <w:tcPr>
            <w:tcW w:w="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Schedule 2.01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Term Commitments</w:t>
            </w:r>
          </w:p>
        </w:tc>
        <w:tc>
          <w:tcPr>
            <w:tcW w:w="40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2.03</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Specified Litigation</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Material Subsidiary Stocks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3.04(b)</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Material Adverse Changes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3.06</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Disclosed Matters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3.07</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Compliance with Laws and Agreements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Existing Indebtedness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6.02</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Existing Liens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6.04</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6.05(e)</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6.06</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40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9.01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Notices</w:t>
            </w:r>
          </w:p>
        </w:tc>
        <w:tc>
          <w:tcPr>
            <w:tcW w:w="400" w:type="dxa"/>
            <w:vAlign w:val="bottom"/>
          </w:tcPr>
          <w:p>
            <w:pPr>
              <w:spacing w:after="0"/>
              <w:rPr>
                <w:sz w:val="20"/>
                <w:szCs w:val="20"/>
                <w:color w:val="auto"/>
              </w:rPr>
            </w:pPr>
          </w:p>
        </w:tc>
      </w:tr>
      <w:tr>
        <w:trPr>
          <w:trHeight w:val="418"/>
        </w:trPr>
        <w:tc>
          <w:tcPr>
            <w:tcW w:w="1680" w:type="dxa"/>
            <w:vAlign w:val="bottom"/>
          </w:tcPr>
          <w:p>
            <w:pPr>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A</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Assignment and Assumption</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B</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Term Note</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C</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Borrowing Request</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D</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Compliance Certificate</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E</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Guarantor Joinder Agreement</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F-1</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Lenders That Are Not Partnerships For U.S. Federal Income Tax</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F-2</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Participants That Are Not Partnerships For U.S. Federal Income</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Tax 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F-3</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Participants That Are Partnerships For U.S. Federal Income Tax</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F-4</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w w:val="93"/>
              </w:rPr>
              <w:t>–  Form of U.S. Tax Compliance Certificate (For Foreign Lenders That Are Partnerships For U.S. Federal Income Tax</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Exhibit G</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Solvency Certificate</w:t>
            </w:r>
          </w:p>
        </w:tc>
        <w:tc>
          <w:tcPr>
            <w:tcW w:w="4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DELAYED DRAW TERM LOAN CREDIT AGREEMENT</w:t>
      </w:r>
    </w:p>
    <w:p>
      <w:pPr>
        <w:spacing w:after="0" w:line="22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DELAYED DRAW TERM LOAN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16, 2020 among UPJOHN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Affiliates and Subsidiaries of the Borrower from time to time party hereto as Guarantors, each Lender from time to time party hereto, and MUFG BANK, LTD., as Administrative Agent.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WHEREAS, pursuant to (i) the Separation and Distribution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and the Borrower and (ii) the Business Combination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Pfizer, the Borrower, Mylan N.V. (“</w:t>
      </w:r>
      <w:r>
        <w:rPr>
          <w:rFonts w:ascii="Arial" w:cs="Arial" w:eastAsia="Arial" w:hAnsi="Arial"/>
          <w:sz w:val="18"/>
          <w:szCs w:val="18"/>
          <w:u w:val="single" w:color="auto"/>
          <w:color w:val="auto"/>
        </w:rPr>
        <w:t>Mylan</w:t>
      </w:r>
      <w:r>
        <w:rPr>
          <w:rFonts w:ascii="Arial" w:cs="Arial" w:eastAsia="Arial" w:hAnsi="Arial"/>
          <w:sz w:val="18"/>
          <w:szCs w:val="18"/>
          <w:color w:val="auto"/>
        </w:rPr>
        <w:t>”) and the other parties thereto, the following transactions will be consummated:</w:t>
      </w:r>
    </w:p>
    <w:p>
      <w:pPr>
        <w:spacing w:after="0" w:line="188" w:lineRule="exact"/>
        <w:rPr>
          <w:sz w:val="20"/>
          <w:szCs w:val="20"/>
          <w:color w:val="auto"/>
        </w:rPr>
      </w:pPr>
    </w:p>
    <w:p>
      <w:pPr>
        <w:ind w:right="280" w:firstLine="436"/>
        <w:spacing w:after="0" w:line="263"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Pfizer (and together with Pfizer’s subsidiaries, the “</w:t>
      </w:r>
      <w:r>
        <w:rPr>
          <w:rFonts w:ascii="Arial" w:cs="Arial" w:eastAsia="Arial" w:hAnsi="Arial"/>
          <w:sz w:val="18"/>
          <w:szCs w:val="18"/>
          <w:u w:val="single" w:color="auto"/>
          <w:color w:val="auto"/>
        </w:rPr>
        <w:t>Pfizer Business</w:t>
      </w:r>
      <w:r>
        <w:rPr>
          <w:rFonts w:ascii="Arial" w:cs="Arial" w:eastAsia="Arial" w:hAnsi="Arial"/>
          <w:sz w:val="18"/>
          <w:szCs w:val="18"/>
          <w:color w:val="auto"/>
        </w:rPr>
        <w:t>”) will separate certain businesses, operations and activities, including Pfizer’s global, primarily off-patent branded and generic established medicines business (the “</w:t>
      </w:r>
      <w:r>
        <w:rPr>
          <w:rFonts w:ascii="Arial" w:cs="Arial" w:eastAsia="Arial" w:hAnsi="Arial"/>
          <w:sz w:val="18"/>
          <w:szCs w:val="18"/>
          <w:u w:val="single" w:color="auto"/>
          <w:color w:val="auto"/>
        </w:rPr>
        <w:t>Upjohn Business</w:t>
      </w:r>
      <w:r>
        <w:rPr>
          <w:rFonts w:ascii="Arial" w:cs="Arial" w:eastAsia="Arial" w:hAnsi="Arial"/>
          <w:sz w:val="18"/>
          <w:szCs w:val="18"/>
          <w:color w:val="auto"/>
        </w:rPr>
        <w:t>”) from the Pfizer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436"/>
        <w:spacing w:after="0" w:line="277" w:lineRule="auto"/>
        <w:tabs>
          <w:tab w:leader="none" w:pos="8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following the Separation, the Upjohn Business will be combined with Mylan (and together with Mylan’s subsidiaries, the “Mylan Business”, and the Mylan Business, together with the Upjohn Business, the “</w:t>
      </w:r>
      <w:r>
        <w:rPr>
          <w:rFonts w:ascii="Arial" w:cs="Arial" w:eastAsia="Arial" w:hAnsi="Arial"/>
          <w:sz w:val="18"/>
          <w:szCs w:val="18"/>
          <w:u w:val="single" w:color="auto"/>
          <w:color w:val="auto"/>
        </w:rPr>
        <w:t>Combined Businesses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77"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Pfizer, in order to effect the Separation, will contribute the Upjohn Business to the Borrower, which is and will be a wholly owned subsidiary of Pfizer prior to the Distribution (as defined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436"/>
        <w:spacing w:after="0" w:line="277" w:lineRule="auto"/>
        <w:tabs>
          <w:tab w:leader="none" w:pos="8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connection with the Separation and in partial consideration of the Contribution, the Borrower will make a cash payment to Pfizer in an aggregate amount of $12,000,000,000 (the “</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36"/>
        <w:spacing w:after="0" w:line="263"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substantially concurrently with or within one Business Day following the Borrower Cash Distribution, Pfizer will distribute to the holders of Pfizer common stock all of the issued and outstanding shares of the common stock of the Borrower by way of either, at Pfizer’s option, a spin-off or a split-off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firstLine="436"/>
        <w:spacing w:after="0" w:line="263" w:lineRule="auto"/>
        <w:tabs>
          <w:tab w:leader="none" w:pos="8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immediately following the Distribution, the Borrower and Mylan will engage in a strategic business combination, following which Mylan (or its successor entity) shall become a wholly owned subsidiary of the Borrower (the “Combination”, and together with the Separation, the Contribution, the Borrower Cash Distribution and the Distribution, collectively, the “</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185" w:name="page186"/>
    <w:bookmarkEnd w:id="185"/>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at the request of the Borrower, the Lenders have agreed to extend credit to the Borrower in the form of Loans on the Closing Date, in an aggregate principal amount of $600,000,000, subject to the terms and conditions hereinafter set forth;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 (capitalized terms used but not defined in this Section 1.01 have the meanings specified in the Preliminary Statements):</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MUFG Bank (through itself or through one of its designated Affiliates or branch offices), in its capacity as administrative agent for the Lenders hereunder, or any successor administrative agent.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86" w:name="page187"/>
    <w:bookmarkEnd w:id="1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the percentage (carried out to the ninth decimal place) of the Facility represented by (i) on or prior to the Closing Date, such Lender’s Commitment at such time and (ii) thereafter, the principal amount of such Lender’s Loans at such time. The initial Applicable Percentage of each Lender in respect of the Facility is set forth next to the name of such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1.625% per annum,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Rate for all Loans under the Facility shall increase automatically by 0.25% on the date that is nine months after the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MUFG Bank and Mizuho Bank, Ltd., as joint lead arrangers and bookrunners and/or syndication agent, as applicable.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87" w:name="page188"/>
    <w:bookmarkEnd w:id="187"/>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of interest per annum (rounded upwards, if necessary, to the next 1/100 of 1%) equal to the highest of (a) the Federal Funds Effective Rate in effect on such day plus 1/2 of 1%, (b) the Prime Rate in effect for such day and (c) the LIBO Rate in effect on such day plus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Base Rate shall be less than zero, such rate shall be deemed to be zero for purposes of this Agreement. “Base Rate,” when used in reference to any Loan or Borrowing, refers to whether such Loan, or the Loans comprising such Borrowing, are bearing interest at a rate determined by reference to the Base 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on the Closing Date, or converted or continued on the same date and, in the case of Eurocurrency Loans, as to which a single Interest Period is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with respect to Eurodollar Loans, $5,000,000.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with respect to Eurodollar Loans, $1,000,000.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or the state of New York and, if such day relates to any interest rate settings as to a Eurocurrency Loan, any fundings, disbursements, settlements and payments in respect of any such Eurocurrency Loan, or any other dealings to be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88" w:name="page189"/>
    <w:bookmarkEnd w:id="188"/>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carried out pursuant to this Agreement in respect of any such Eurocurrency Loan, means any such day on which dealings in deposits in Dollars are conducted by and between banks in the London interbank eurodollar market.</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89" w:name="page190"/>
    <w:bookmarkEnd w:id="189"/>
    <w:p>
      <w:pPr>
        <w:jc w:val="both"/>
        <w:ind w:firstLine="436"/>
        <w:spacing w:after="0" w:line="286" w:lineRule="auto"/>
        <w:tabs>
          <w:tab w:leader="none" w:pos="830"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instruments equivalent to those referred to in clauses (1) through (6) above denominated in any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after the Combination of beneficial ownership, directly or indirectly, by any Person or group (within the meaning of the Securities Exchange Act of 1934 and the rules of the SEC thereunder as in effect on the Effective Date), of Equity Interests representing more than 35% of the aggregate ordinary voting power represented by the issued and outstanding Equity Interests of the Borrower.</w:t>
      </w:r>
    </w:p>
    <w:p>
      <w:pPr>
        <w:spacing w:after="0" w:line="149"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Section 2.14(b), by any Lending Office of such Lender or by such Lender’s holding company, if any) with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assigned to such term in Section 9.14.</w:t>
      </w:r>
    </w:p>
    <w:p>
      <w:pPr>
        <w:spacing w:after="0" w:line="225"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or after the Effective Date but not after the Commitment Termination Date, on which all the conditions specified in Section 4.02 of this Agreement are satisfied (or waived in accordance with Section 9.02 of this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Transaction Representations</w:t>
      </w:r>
      <w:r>
        <w:rPr>
          <w:rFonts w:ascii="Arial" w:cs="Arial" w:eastAsia="Arial" w:hAnsi="Arial"/>
          <w:sz w:val="16"/>
          <w:szCs w:val="16"/>
          <w:color w:val="auto"/>
        </w:rPr>
        <w:t>” means the representations made by Pfizer with respect to the Borrower, the Spinco Subsidiaries (as defined in the Business Combination Agreement) or Spinco Sub (as defined in the Business Combination Agreement) in the Business Combination Agreement as are material to the interests of the Lenders and the Arrangers (in their capacities as such)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90" w:name="page191"/>
    <w:bookmarkEnd w:id="19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Businesses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earliest of (a) the date of termination of all Commitments pursuant to Section 2.08 hereof, (b) the date of termination of Mylan’s obligation to consummate the Combination pursuant to the Business Combination Agreement and (c) December 31, 2020, if the Closing Date has not occurred prior to such time.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w:t>
      </w:r>
    </w:p>
    <w:p>
      <w:pPr>
        <w:spacing w:after="0" w:line="1" w:lineRule="exact"/>
        <w:rPr>
          <w:sz w:val="20"/>
          <w:szCs w:val="20"/>
          <w:color w:val="auto"/>
        </w:rPr>
      </w:pPr>
    </w:p>
    <w:p>
      <w:pPr>
        <w:ind w:left="4" w:right="20" w:hanging="4"/>
        <w:spacing w:after="0" w:line="266" w:lineRule="auto"/>
        <w:tabs>
          <w:tab w:leader="none" w:pos="26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7"/>
          <w:szCs w:val="17"/>
          <w:u w:val="single" w:color="auto"/>
          <w:color w:val="auto"/>
        </w:rPr>
        <w:t>Schedule 2.03</w:t>
      </w:r>
      <w:r>
        <w:rPr>
          <w:rFonts w:ascii="Arial" w:cs="Arial" w:eastAsia="Arial" w:hAnsi="Arial"/>
          <w:sz w:val="17"/>
          <w:szCs w:val="17"/>
          <w:color w:val="auto"/>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connection with (1) the Combination Transactions, such actions have been taken within 24 months after the Closing Date and (2) any other acquisition of an Acquired Entity or Business, such actions have been taken within 12 months after the closing date of an acquisition of an Acquired Entity or Business and (B) no cost savings shall be added pursuant to this clause (xii) to the extent</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91" w:name="page192"/>
    <w:bookmarkEnd w:id="191"/>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Consolidated Net Income, the sum of (xvi) any unusual, infrequent or extraordinary income or gains,</w:t>
      </w:r>
    </w:p>
    <w:p>
      <w:pPr>
        <w:spacing w:after="0" w:line="2" w:lineRule="exact"/>
        <w:rPr>
          <w:sz w:val="20"/>
          <w:szCs w:val="20"/>
          <w:color w:val="auto"/>
        </w:rPr>
      </w:pPr>
    </w:p>
    <w:p>
      <w:pPr>
        <w:ind w:left="4" w:right="120" w:hanging="4"/>
        <w:spacing w:after="0" w:line="288" w:lineRule="auto"/>
        <w:tabs>
          <w:tab w:leader="none" w:pos="4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68"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00" w:hanging="4"/>
        <w:spacing w:after="0" w:line="281" w:lineRule="auto"/>
        <w:tabs>
          <w:tab w:leader="none" w:pos="3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hanging="4"/>
        <w:spacing w:after="0" w:line="281" w:lineRule="auto"/>
        <w:tabs>
          <w:tab w:leader="none" w:pos="25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w:t>
      </w:r>
    </w:p>
    <w:p>
      <w:pPr>
        <w:spacing w:after="0" w:line="3" w:lineRule="exact"/>
        <w:rPr>
          <w:rFonts w:ascii="Arial" w:cs="Arial" w:eastAsia="Arial" w:hAnsi="Arial"/>
          <w:sz w:val="16"/>
          <w:szCs w:val="16"/>
          <w:color w:val="auto"/>
        </w:rPr>
      </w:pPr>
    </w:p>
    <w:p>
      <w:pPr>
        <w:ind w:left="4" w:right="120" w:hanging="4"/>
        <w:spacing w:after="0" w:line="255"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Borrower or any of its Subsidiaries (other than the Captive Insurance Subsidiary) of the type described in clause (e) or (f) of the definition of</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for such period and (h) the interest component of all Attributable Receivables Indebtedness of the Borrower and its Subsidiaries (other than the Captive Insurance Subsidiary).</w:t>
      </w:r>
    </w:p>
    <w:p>
      <w:pPr>
        <w:spacing w:after="0" w:line="18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85"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3" w:name="page194"/>
    <w:bookmarkEnd w:id="1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Coronavirus Disease 2019, as defined by the International Committee on Taxonomy of Viruses and the World Health Organization.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94" w:name="page195"/>
    <w:bookmarkEnd w:id="194"/>
    <w:p>
      <w:pPr>
        <w:ind w:left="4"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2.12(c).</w:t>
      </w:r>
    </w:p>
    <w:p>
      <w:pPr>
        <w:spacing w:after="0" w:line="225"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w:t>
      </w:r>
    </w:p>
    <w:p>
      <w:pPr>
        <w:spacing w:after="0" w:line="11" w:lineRule="exact"/>
        <w:rPr>
          <w:sz w:val="20"/>
          <w:szCs w:val="20"/>
          <w:color w:val="auto"/>
        </w:rPr>
      </w:pPr>
    </w:p>
    <w:p>
      <w:pPr>
        <w:jc w:val="both"/>
        <w:ind w:left="4" w:right="100" w:hanging="4"/>
        <w:spacing w:after="0" w:line="302" w:lineRule="auto"/>
        <w:tabs>
          <w:tab w:leader="none" w:pos="24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has, or has a direct or indirect parent company that has, become the subject of a Bail-In Action.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and each Lender.</w:t>
      </w:r>
    </w:p>
    <w:p>
      <w:pPr>
        <w:spacing w:after="0" w:line="15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Disclosed Matters</w:t>
      </w:r>
      <w:r>
        <w:rPr>
          <w:rFonts w:ascii="Arial" w:cs="Arial" w:eastAsia="Arial" w:hAnsi="Arial"/>
          <w:sz w:val="17"/>
          <w:szCs w:val="17"/>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or Mylan with the SEC or furnished by the Borrower or Mylan to the SEC pursuant to the Securities Exchange Act, in each case, filed or furnished before the Effective Date and which are available to the Lenders before the Effective Date and (b) on </w:t>
      </w:r>
      <w:r>
        <w:rPr>
          <w:rFonts w:ascii="Arial" w:cs="Arial" w:eastAsia="Arial" w:hAnsi="Arial"/>
          <w:sz w:val="17"/>
          <w:szCs w:val="17"/>
          <w:u w:val="single" w:color="auto"/>
          <w:color w:val="auto"/>
        </w:rPr>
        <w:t>Schedule 3.06</w:t>
      </w:r>
      <w:r>
        <w:rPr>
          <w:rFonts w:ascii="Arial" w:cs="Arial" w:eastAsia="Arial" w:hAnsi="Arial"/>
          <w:sz w:val="17"/>
          <w:szCs w:val="17"/>
          <w:color w:val="auto"/>
        </w:rPr>
        <w: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95" w:name="page196"/>
    <w:bookmarkEnd w:id="19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Term Loan and all other Obligations that are accrued and payable),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Maturity Date.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all of the conditions specified in Section 4.01 shall have been satisfied.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in Section 9.16(b).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96" w:name="page197"/>
    <w:bookmarkEnd w:id="196"/>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6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7" w:name="page198"/>
    <w:bookmarkEnd w:id="197"/>
    <w:p>
      <w:pPr>
        <w:ind w:left="4"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LIBO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hanging="4"/>
        <w:spacing w:after="0" w:line="253" w:lineRule="auto"/>
        <w:tabs>
          <w:tab w:leader="none" w:pos="25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93"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(a) on or prior to the Closing Date, the aggregate Term Commitments at such time and (b) thereafter, the aggregate principal amount of the Loans of all Lenders outstanding at such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8" w:name="page199"/>
    <w:bookmarkEnd w:id="19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76"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Federal Funds Effective Rate shall be less than zero, the Federal Funds Effective Rate shall be deemed zero for purposes of this Agreement.</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and on or prior to the Closing Date, the proceeds of which are used to fund, in full or in part, the Borrower Cash Distribution and related transaction fees and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99" w:name="page200"/>
    <w:bookmarkEnd w:id="199"/>
    <w:p>
      <w:pPr>
        <w:ind w:left="4"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of any guaranteeing person shall be deemed to be the lower of</w:t>
      </w:r>
    </w:p>
    <w:p>
      <w:pPr>
        <w:spacing w:after="0" w:line="6" w:lineRule="exact"/>
        <w:rPr>
          <w:sz w:val="20"/>
          <w:szCs w:val="20"/>
          <w:color w:val="auto"/>
        </w:rPr>
      </w:pPr>
    </w:p>
    <w:p>
      <w:pPr>
        <w:ind w:left="244" w:hanging="244"/>
        <w:spacing w:after="0"/>
        <w:tabs>
          <w:tab w:leader="none" w:pos="2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 amount equal to the stated or determinable amount of the primary obligation, or portion thereof, in respect of which such Guarantee is made and</w:t>
      </w:r>
    </w:p>
    <w:p>
      <w:pPr>
        <w:spacing w:after="0" w:line="32" w:lineRule="exact"/>
        <w:rPr>
          <w:rFonts w:ascii="Arial" w:cs="Arial" w:eastAsia="Arial" w:hAnsi="Arial"/>
          <w:sz w:val="16"/>
          <w:szCs w:val="16"/>
          <w:color w:val="auto"/>
        </w:rPr>
      </w:pPr>
    </w:p>
    <w:p>
      <w:pPr>
        <w:ind w:left="4" w:right="160" w:hanging="4"/>
        <w:spacing w:after="0" w:line="253" w:lineRule="auto"/>
        <w:tabs>
          <w:tab w:leader="none" w:pos="25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93"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from and after the consummation of the Combination, each Affiliate or Subsidiary of the Borrower (including each Mylan Guarantor), if any, that provides a guarantee of the Obligations pursuant to Section 5.09(a)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5.09(a).</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0" w:name="page201"/>
    <w:bookmarkEnd w:id="200"/>
    <w:p>
      <w:pPr>
        <w:jc w:val="both"/>
        <w:ind w:left="4"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140" w:hanging="4"/>
        <w:spacing w:after="0" w:line="281" w:lineRule="auto"/>
        <w:tabs>
          <w:tab w:leader="none" w:pos="24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78"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01" w:name="page202"/>
    <w:bookmarkEnd w:id="20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Borrowing in accordance with Section 2.03.</w:t>
      </w:r>
    </w:p>
    <w:p>
      <w:pPr>
        <w:spacing w:after="0" w:line="22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Base Rate Loan, the last day of each March, June, September and December, and (b) with respect to any Eurocurrency Loan, the last day of the Interest Period applicable thereto and, in the case of a Eurocurrency Loan with an Interest Period of more than three months’ duration, each day prior to the last day of such Interest Period that occurs at intervals of three months’ duration after the first day of such Interest Period.</w:t>
      </w:r>
    </w:p>
    <w:p>
      <w:pPr>
        <w:spacing w:after="0" w:line="18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(in each case, subject to availability), or such other period that is twelve months or less requested by the Borrower and that is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and in relation to any Interest Period, the rate per annum determined by the Administrative Agent (which determination shall be conclusive and binding absent manifest error) to be equal to the rate that results from interpolating on a linear basis between:</w:t>
      </w:r>
    </w:p>
    <w:p>
      <w:pPr>
        <w:ind w:left="4" w:hanging="4"/>
        <w:spacing w:after="0" w:line="277" w:lineRule="auto"/>
        <w:tabs>
          <w:tab w:leader="none" w:pos="24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applicable LIBOR Screen Rate for the longest period (for which that LIBOR Screen Rate is available) that is shorter than such Interest Period and (b) the LIBOR Screen Rate for the shortest period (for which that LIBOR Screen Rate is available) that exceeds such Interest Period, in each case, at approximately 11:00 a.m., London time, two Business Days prior to the commencement of such Interest Period.</w:t>
      </w:r>
    </w:p>
    <w:p>
      <w:pPr>
        <w:spacing w:after="0" w:line="173"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02" w:name="page203"/>
    <w:bookmarkEnd w:id="2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exceed the original amount of such Investment and (ii) in the event the Borrower or any Subsidiary (an “</w:t>
      </w:r>
      <w:r>
        <w:rPr>
          <w:rFonts w:ascii="Arial" w:cs="Arial" w:eastAsia="Arial" w:hAnsi="Arial"/>
          <w:sz w:val="16"/>
          <w:szCs w:val="16"/>
          <w:u w:val="single" w:color="auto"/>
          <w:color w:val="auto"/>
        </w:rPr>
        <w:t>Initial Investing Person</w:t>
      </w:r>
      <w:r>
        <w:rPr>
          <w:rFonts w:ascii="Arial" w:cs="Arial" w:eastAsia="Arial" w:hAnsi="Arial"/>
          <w:sz w:val="16"/>
          <w:szCs w:val="16"/>
          <w:color w:val="auto"/>
        </w:rPr>
        <w:t>”) transfers an amount of cash or other Property (the “</w:t>
      </w:r>
      <w:r>
        <w:rPr>
          <w:rFonts w:ascii="Arial" w:cs="Arial" w:eastAsia="Arial" w:hAnsi="Arial"/>
          <w:sz w:val="16"/>
          <w:szCs w:val="16"/>
          <w:u w:val="single" w:color="auto"/>
          <w:color w:val="auto"/>
        </w:rPr>
        <w:t>Invested Amount</w:t>
      </w:r>
      <w:r>
        <w:rPr>
          <w:rFonts w:ascii="Arial" w:cs="Arial" w:eastAsia="Arial" w:hAnsi="Arial"/>
          <w:sz w:val="16"/>
          <w:szCs w:val="16"/>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6"/>
          <w:szCs w:val="16"/>
          <w:u w:val="single" w:color="auto"/>
          <w:color w:val="auto"/>
        </w:rPr>
        <w:t>Subject Person</w:t>
      </w:r>
      <w:r>
        <w:rPr>
          <w:rFonts w:ascii="Arial" w:cs="Arial" w:eastAsia="Arial" w:hAnsi="Arial"/>
          <w:sz w:val="16"/>
          <w:szCs w:val="16"/>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6"/>
          <w:szCs w:val="16"/>
          <w:u w:val="single" w:color="auto"/>
          <w:color w:val="auto"/>
        </w:rPr>
        <w:t>Intermediate Investing Person</w:t>
      </w:r>
      <w:r>
        <w:rPr>
          <w:rFonts w:ascii="Arial" w:cs="Arial" w:eastAsia="Arial" w:hAnsi="Arial"/>
          <w:sz w:val="16"/>
          <w:szCs w:val="16"/>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laws, statutes, treaties, rules, guidelines, regulations, ordinances, codes and administrative or judicial precedents or authorities.</w:t>
      </w:r>
    </w:p>
    <w:p>
      <w:pPr>
        <w:spacing w:after="0" w:line="170"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and any other Person that shall have become a Lender hereunder pursuant to an Assignment and Assumption, other than any such Person that ceases to be a party hereto pursuant to an Assignment and Assumption.</w:t>
      </w:r>
    </w:p>
    <w:p>
      <w:pPr>
        <w:spacing w:after="0" w:line="14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xml:space="preserve">” means, collectively, the Administrative Agent, the Lenders and each co-agent or sub-agent appointed by the Administrative Agent from time to time pursuant to clause (e)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LIBO Rate</w:t>
      </w:r>
      <w:r>
        <w:rPr>
          <w:rFonts w:ascii="Arial" w:cs="Arial" w:eastAsia="Arial" w:hAnsi="Arial"/>
          <w:sz w:val="18"/>
          <w:szCs w:val="18"/>
          <w:color w:val="auto"/>
        </w:rPr>
        <w:t>” means:</w:t>
      </w:r>
    </w:p>
    <w:p>
      <w:pPr>
        <w:spacing w:after="0" w:line="225" w:lineRule="exact"/>
        <w:rPr>
          <w:sz w:val="20"/>
          <w:szCs w:val="20"/>
          <w:color w:val="auto"/>
        </w:rPr>
      </w:pPr>
    </w:p>
    <w:p>
      <w:pPr>
        <w:ind w:firstLine="987"/>
        <w:spacing w:after="0" w:line="272" w:lineRule="auto"/>
        <w:tabs>
          <w:tab w:leader="none" w:pos="137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Borrowing or Loan, the rate per annum (rounded upwards, if necessary, to the next 1/100 of 1%)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rate is not available at such time for any reason (other than as a result of the circumstances set forth in Section 2.07(a) or Section 2.07(b)), then the “LIBO Rate” with respect to such Eurocurrency Loan for such Interest Period shall be the Interpolated Rate; and</w:t>
      </w:r>
    </w:p>
    <w:p>
      <w:pPr>
        <w:spacing w:after="0" w:line="177" w:lineRule="exact"/>
        <w:rPr>
          <w:rFonts w:ascii="Arial" w:cs="Arial" w:eastAsia="Arial" w:hAnsi="Arial"/>
          <w:sz w:val="17"/>
          <w:szCs w:val="17"/>
          <w:color w:val="auto"/>
        </w:rPr>
      </w:pPr>
    </w:p>
    <w:p>
      <w:pPr>
        <w:jc w:val="both"/>
        <w:ind w:right="40" w:firstLine="987"/>
        <w:spacing w:after="0" w:line="263" w:lineRule="auto"/>
        <w:tabs>
          <w:tab w:leader="none" w:pos="138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any rate calculation with respect to a Base Rate Loan on any date, the rate per annum (rounded upwards, if necessary, to the next 1/100 of 1%) equal to LIBOR, at or about 11:00 a.m., London time determined two Business Days prior to such date for Dollar deposits with a term of one month commencing that day;</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LIBOR shall be less than zero, such rate shall be deemed zero for purposes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LIBO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70"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promissory notes executed and delivered pursuant to Section 2.09(e) and any amendments, waivers, supplements or other modifications to any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comprising the Term Loan.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04" w:name="page205"/>
    <w:bookmarkEnd w:id="20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eighteen months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day is not a Business Day, the Maturity Date shall be the Business Day immediately preceding such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MUFG Bank</w:t>
      </w:r>
      <w:r>
        <w:rPr>
          <w:rFonts w:ascii="Arial" w:cs="Arial" w:eastAsia="Arial" w:hAnsi="Arial"/>
          <w:sz w:val="18"/>
          <w:szCs w:val="18"/>
          <w:color w:val="auto"/>
        </w:rPr>
        <w:t>” means MUFG Bank, Ltd. and its permitted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immediately following the consummation of the Combination, is an issuer or guarantor of any Mylan Notes or is otherwise required to provide a guarantee of the Obligations pursuant to Section 5.09(a).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225" w:lineRule="exact"/>
        <w:rPr>
          <w:sz w:val="20"/>
          <w:szCs w:val="20"/>
          <w:color w:val="auto"/>
        </w:rPr>
      </w:pPr>
    </w:p>
    <w:p>
      <w:pPr>
        <w:ind w:left="1360" w:hanging="373"/>
        <w:spacing w:after="0"/>
        <w:tabs>
          <w:tab w:leader="none" w:pos="13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firstLine="987"/>
        <w:spacing w:after="0" w:line="277" w:lineRule="auto"/>
        <w:tabs>
          <w:tab w:leader="none" w:pos="13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as guarantor,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as parent, and The Bank of New York Mellon, as trustee, to the indenture dated as of December 21, 2012;</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Indenture dated as of November 29, 2013, by and between Mylan Inc., as issuer, and The Bank of New York Mellon, as trustee;</w:t>
      </w:r>
    </w:p>
    <w:p>
      <w:pPr>
        <w:spacing w:after="0" w:line="248" w:lineRule="exact"/>
        <w:rPr>
          <w:rFonts w:ascii="Arial" w:cs="Arial" w:eastAsia="Arial" w:hAnsi="Arial"/>
          <w:sz w:val="16"/>
          <w:szCs w:val="16"/>
          <w:color w:val="auto"/>
        </w:rPr>
      </w:pPr>
    </w:p>
    <w:p>
      <w:pPr>
        <w:ind w:right="380" w:firstLine="987"/>
        <w:spacing w:after="0" w:line="277" w:lineRule="auto"/>
        <w:tabs>
          <w:tab w:leader="none" w:pos="13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205" w:name="page206"/>
    <w:bookmarkEnd w:id="205"/>
    <w:p>
      <w:pPr>
        <w:ind w:right="280" w:firstLine="987"/>
        <w:spacing w:after="0" w:line="277" w:lineRule="auto"/>
        <w:tabs>
          <w:tab w:leader="none" w:pos="1351"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supplemental indenture dated as of February 27, 2015, among Mylan Inc., as issuer, Mylan,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0" w:firstLine="987"/>
        <w:spacing w:after="0" w:line="277" w:lineRule="auto"/>
        <w:tabs>
          <w:tab w:leader="none" w:pos="13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June 9, 2016, among Mylan, as issuer, Mylan Inc., as guarantor, and The Bank of New York Mellon, as trustee;</w:t>
      </w:r>
    </w:p>
    <w:p>
      <w:pPr>
        <w:spacing w:after="0" w:line="248" w:lineRule="exact"/>
        <w:rPr>
          <w:rFonts w:ascii="Arial" w:cs="Arial" w:eastAsia="Arial" w:hAnsi="Arial"/>
          <w:sz w:val="16"/>
          <w:szCs w:val="16"/>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Indenture dated as of May 24, 2017, among Mylan, as issuer, Mylan Inc., as guarantor, and Citibank, N.A., London Branch,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210" w:lineRule="exact"/>
        <w:rPr>
          <w:rFonts w:ascii="Arial" w:cs="Arial" w:eastAsia="Arial" w:hAnsi="Arial"/>
          <w:sz w:val="17"/>
          <w:szCs w:val="17"/>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April 9, 2018, by and between Mylan Inc., as issuer, Mylan, as guarantor, and The Bank of New York Mellon,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 and</w:t>
      </w:r>
    </w:p>
    <w:p>
      <w:pPr>
        <w:spacing w:after="0" w:line="210" w:lineRule="exact"/>
        <w:rPr>
          <w:rFonts w:ascii="Arial" w:cs="Arial" w:eastAsia="Arial" w:hAnsi="Arial"/>
          <w:sz w:val="16"/>
          <w:szCs w:val="16"/>
          <w:color w:val="auto"/>
        </w:rPr>
      </w:pPr>
    </w:p>
    <w:p>
      <w:pPr>
        <w:ind w:left="1420" w:hanging="433"/>
        <w:spacing w:after="0"/>
        <w:tabs>
          <w:tab w:leader="none" w:pos="14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May 23, 2018, by and between Mylan Inc., as issuer, Mylan, as guarantor, and Citibank, N.A., London Branch,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means any senior notes issued by Mylan and Mylan Inc., as applicable, under the Mylan Indentures and that remain outstanding upon the consummation of the Combination.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to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06" w:name="page207"/>
    <w:bookmarkEnd w:id="2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the greater of (i) the Federal Funds Effective Rate and (ii) an overnight rate as reasonably determined by the Administrative Agent in accordance with banking industry rules on interbank compensation.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07" w:name="page208"/>
    <w:bookmarkEnd w:id="207"/>
    <w:p>
      <w:pPr>
        <w:ind w:right="1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0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4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jc w:val="both"/>
        <w:ind w:left="440" w:right="120" w:firstLine="419"/>
        <w:spacing w:after="0" w:line="263"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09" w:name="page210"/>
    <w:bookmarkEnd w:id="209"/>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with respect to any Person, any amendment,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80"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10" w:name="page211"/>
    <w:bookmarkEnd w:id="21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and ending on the two-year anniversary of the Closing Date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quoted in the print edition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Money Rates Section or another national publication selected by the Administrative Agent as the Prime Rate (currently defined as the base rate on corporate loans posted by at least 75% of the nation’s thirty</w:t>
      </w:r>
    </w:p>
    <w:p>
      <w:pPr>
        <w:ind w:left="4" w:right="200" w:hanging="4"/>
        <w:spacing w:after="0" w:line="255" w:lineRule="auto"/>
        <w:tabs>
          <w:tab w:leader="none" w:pos="3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9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1" w:lineRule="exact"/>
        <w:rPr>
          <w:sz w:val="20"/>
          <w:szCs w:val="20"/>
          <w:color w:val="auto"/>
        </w:rPr>
      </w:pPr>
    </w:p>
    <w:p>
      <w:pPr>
        <w:ind w:left="4" w:right="1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(but without duplication thereof), the foregoing pro forma adjustments may be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11" w:name="page212"/>
    <w:bookmarkEnd w:id="211"/>
    <w:p>
      <w:pPr>
        <w:jc w:val="both"/>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provided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and any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with Term Commitment or Loans, as the case may be, aggregating more than 50% of the aggregate principal amount of all Term Commitments or Loans, as the case may be, outstanding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Commitment or Loans, as the case may be, of any Defaulting Lender shall be excluded for purposes of making a determination of Required Lenders.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means that certain Revolving Credit Agreement dated as of the date hereof, among the Borrower, certain Affiliates and Subsidiaries of the Borrower from time to time party thereto, each lender from time to time party thereto, each issuing bank from time to time party thereto and Bank of America, N.A., as administrative agent thereunder.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13" w:name="page214"/>
    <w:bookmarkEnd w:id="2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immediately available funds.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2.19.</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with respect to the Borrower made by the Borrower set forth in the following sections of this Agreement:</w:t>
      </w:r>
    </w:p>
    <w:p>
      <w:pPr>
        <w:spacing w:after="0" w:line="170" w:lineRule="exact"/>
        <w:rPr>
          <w:sz w:val="20"/>
          <w:szCs w:val="20"/>
          <w:color w:val="auto"/>
        </w:rPr>
      </w:pPr>
    </w:p>
    <w:p>
      <w:pPr>
        <w:ind w:left="1360" w:hanging="373"/>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3.01(with respect to the incorporation or formation and status of the Borrower);</w:t>
      </w:r>
    </w:p>
    <w:p>
      <w:pPr>
        <w:spacing w:after="0" w:line="225"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3.02 (in the case of the first sentence of Section 3.02, with respect to the organizational power and authority of the Borrower to enter into, deliver and perform this Agreement and the other Loan Documents);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3.03(b)(i);</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3.03(b)(ii);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14" w:name="page215"/>
    <w:bookmarkEnd w:id="214"/>
    <w:p>
      <w:pPr>
        <w:ind w:firstLine="987"/>
        <w:spacing w:after="0" w:line="259" w:lineRule="auto"/>
        <w:tabs>
          <w:tab w:leader="none" w:pos="1371"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3.03(c) (with respect to any indenture, agreement or other instrument binding on the Borrower or its assets with respect to indebtedness for borrowed money of the Borrower or its subsidiaries (after giving effect to the Combination Transactions) in a committed or outstanding principal amount of $500 million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representation and warranty shall not be subject to the Material Adverse Effect proviso to Section 3.03);</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3.08;</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3.10(a);</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3.13;</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3.14 (with respect to the second sentence of Section 3.14 only); and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3.15(b).</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borrowings and repayments of Indebtedness in the ordinary course of business under revolving credit facilities except to the extent there is a reduction in the related revolving credit commitment) and (iv) any Restricted Payment involving consideration paid by the Borrower or any Subsidiary in excess of $50,000,000.</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5" w:name="page216"/>
    <w:bookmarkEnd w:id="215"/>
    <w:p>
      <w:pPr>
        <w:ind w:right="2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with respect to each Lender, the commitment, if any, of such Lender on or prior to the Closing Date to make the Term Loan to the Borrower hereunder in an aggregate principal amount equal to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such commitment may be reduced or increased from time to time pursuant to assignments by or to such Lender pursuant to Section 9.04 of this Agreement. The initial amount of each Lender’s Term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to which such Lender becomes a party hereto, as applicable. The aggregate amount of the Lenders’ Term Commitments on the Closing Date is $600,000,000.</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has the meaning set forth in Section 2.01.</w:t>
      </w:r>
    </w:p>
    <w:p>
      <w:pPr>
        <w:spacing w:after="0" w:line="225"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the execution, delivery and performance by the Loan Parties of this Agreement and the other Loan Documents, the borrowing of the Term Loan hereunder, the use of the proceeds thereof and the payment of fees and expenses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the consummation of the Combination, “Transactions” shall also include the Combination Transactions and the payment of fees and expenses related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16" w:name="page217"/>
    <w:bookmarkEnd w:id="2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Upjohn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5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(e.g., a “Eurocurrency Loan”).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17" w:name="page218"/>
    <w:bookmarkEnd w:id="2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30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69" w:lineRule="auto"/>
        <w:tabs>
          <w:tab w:leader="none" w:pos="137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firstLine="987"/>
        <w:spacing w:after="0" w:line="263" w:lineRule="auto"/>
        <w:tabs>
          <w:tab w:leader="none" w:pos="13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Payments on Business Days</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provided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76"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18" w:name="page219"/>
    <w:bookmarkEnd w:id="21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1.07 </w:t>
      </w:r>
      <w:r>
        <w:rPr>
          <w:rFonts w:ascii="Arial" w:cs="Arial" w:eastAsia="Arial" w:hAnsi="Arial"/>
          <w:sz w:val="17"/>
          <w:szCs w:val="17"/>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LIBO Rate</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 Rate” or with respect to any rate that is an alternative or replacement for or successor to any of such rate (including any LIBOR Successor Rate) or the effect of any of the foregoing, or of any LIBOR Successor Rate Conforming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 Commitments</w:t>
      </w:r>
      <w:r>
        <w:rPr>
          <w:rFonts w:ascii="Arial" w:cs="Arial" w:eastAsia="Arial" w:hAnsi="Arial"/>
          <w:sz w:val="16"/>
          <w:szCs w:val="16"/>
          <w:color w:val="auto"/>
        </w:rPr>
        <w:t>.</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Subject to the terms and conditions set forth herein, each Lender severally agrees to make a single loan to the Borrower on the Closing Date in Dollars in an amount not to exceed such Lender’s Term Commitment (collectively, the “</w:t>
      </w:r>
      <w:r>
        <w:rPr>
          <w:rFonts w:ascii="Arial" w:cs="Arial" w:eastAsia="Arial" w:hAnsi="Arial"/>
          <w:sz w:val="18"/>
          <w:szCs w:val="18"/>
          <w:u w:val="single" w:color="auto"/>
          <w:color w:val="auto"/>
        </w:rPr>
        <w:t>Term Loan</w:t>
      </w:r>
      <w:r>
        <w:rPr>
          <w:rFonts w:ascii="Arial" w:cs="Arial" w:eastAsia="Arial" w:hAnsi="Arial"/>
          <w:sz w:val="18"/>
          <w:szCs w:val="18"/>
          <w:color w:val="auto"/>
        </w:rPr>
        <w:t>”). The borrowing on the Closing Date shall consist of Loans made simultaneously by the Lenders in accordance with their respective Term Commitments. Amounts borrowed under this Section 2.01 and repaid or prepaid may not be reborrowed. The Loans may, from time to time, be Base Rate Loans, Eurocurrency Loans, or a combination thereof, as further provided herein.</w:t>
      </w:r>
    </w:p>
    <w:p>
      <w:pPr>
        <w:spacing w:after="0" w:line="29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 and Borrowings</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277" w:lineRule="auto"/>
        <w:tabs>
          <w:tab w:leader="none" w:pos="13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funding of the Term Loan on the Closing Date shall be made as part of a Borrowing consisting of Loans funded by the Lenders ratably in accordance with their respective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19" w:name="page220"/>
    <w:bookmarkEnd w:id="21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Term Commitments. The failure of any Lender to make the portion of the Term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Commitments of the Lenders are several and no Lender shall be responsible for any other Lender’s failure to fund the Term Loan as required.</w:t>
      </w:r>
    </w:p>
    <w:p>
      <w:pPr>
        <w:spacing w:after="0" w:line="184" w:lineRule="exact"/>
        <w:rPr>
          <w:sz w:val="20"/>
          <w:szCs w:val="20"/>
          <w:color w:val="auto"/>
        </w:rPr>
      </w:pPr>
    </w:p>
    <w:p>
      <w:pPr>
        <w:ind w:firstLine="987"/>
        <w:spacing w:after="0" w:line="259" w:lineRule="auto"/>
        <w:tabs>
          <w:tab w:leader="none" w:pos="138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Subject to Section 2.13, each Borrowing shall be comprised entirely of Base Rate Loans or Eurocurrency Loans as the Borrower may request in accordance herewith.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6" w:lineRule="exact"/>
        <w:rPr>
          <w:rFonts w:ascii="Arial" w:cs="Arial" w:eastAsia="Arial" w:hAnsi="Arial"/>
          <w:sz w:val="18"/>
          <w:szCs w:val="18"/>
          <w:color w:val="auto"/>
        </w:rPr>
      </w:pPr>
    </w:p>
    <w:p>
      <w:pPr>
        <w:ind w:right="60" w:firstLine="987"/>
        <w:spacing w:after="0" w:line="257" w:lineRule="auto"/>
        <w:tabs>
          <w:tab w:leader="none" w:pos="13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shall be in an aggregate amount that is an integral multiple of $1,000,000 and not less than $1,000,000.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twenty (20) Eurocurrency Borrowings outstanding.</w:t>
      </w:r>
    </w:p>
    <w:p>
      <w:pPr>
        <w:spacing w:after="0" w:line="187"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would end after the Maturity Date.</w:t>
      </w:r>
    </w:p>
    <w:p>
      <w:pPr>
        <w:spacing w:after="0" w:line="17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To request a Borrowing of the Term Loan on the Closing Date, a conversion of Loans from one Type to the other or a continuation of Eurocurrency Loans, the Borrower shall irrevocably notify the Administrative Agent of such request by a written Borrowing Request in a form attached hereto as Exhibit C or such other form as may be approved by the Administrative Agent (including any form on an electronic platform or electronic transmission system as shall be approved by the Administrative Agent), appropriately completed and signed by a Responsible Officer of the Borrower. Each such Borrowing Request must be received by the Administrative Agent not later than noon (i) three Business Days prior to the requested date of the Borrowing of, conversion to or continuation of Eurocurrency Loans or of any conversion of Eurocurrency Loans to Base Rate Loans, and (ii) on the requested date of the Borrowing of Base Rate Loans; provided, however, that if the Borrower wishes to request Eurocurrency Loans having an Interest Period other than one, two, three or six months in duration as provided in the definition of “Interest Period,” the applicable notice must be received by the Administrative Agent not later than noon four Business Days prior to the requested date of such Borrowing, conversion or continuation of Eurocurrency Loans, whereupon the Administrative Agent shall give prompt notice to the applicable Lenders of such request and determine whether the requested Interest Period is acceptable to all of them. Not later than 11:00 a.m., three Business Days before the requested date of such Borrowing, conversion or continuation of Eurocurrency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90" w:lineRule="exact"/>
        <w:rPr>
          <w:sz w:val="20"/>
          <w:szCs w:val="20"/>
          <w:color w:val="auto"/>
        </w:rPr>
      </w:pPr>
    </w:p>
    <w:p>
      <w:pPr>
        <w:ind w:left="5420" w:right="4380" w:hanging="4992"/>
        <w:spacing w:after="0" w:line="535" w:lineRule="auto"/>
        <w:tabs>
          <w:tab w:leader="none" w:pos="97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aggregate amount of the requested Borrowing, conversion or continuation; 36</w:t>
      </w:r>
    </w:p>
    <w:p>
      <w:pPr>
        <w:sectPr>
          <w:pgSz w:w="11900" w:h="16838" w:orient="portrait"/>
          <w:cols w:equalWidth="0" w:num="1">
            <w:col w:w="10980"/>
          </w:cols>
          <w:pgMar w:left="440" w:top="274" w:right="479" w:bottom="1440" w:gutter="0" w:footer="0" w:header="0"/>
        </w:sectPr>
      </w:pPr>
    </w:p>
    <w:bookmarkStart w:id="220" w:name="page221"/>
    <w:bookmarkEnd w:id="220"/>
    <w:p>
      <w:pPr>
        <w:ind w:left="960" w:hanging="532"/>
        <w:spacing w:after="0"/>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date of such Borrowing, conversion or continuation, which shall be a Business Day;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whether such Borrowing, conversion or continuation is to be a Base Rate Borrowing or a Eurocurrency Borrowing;</w:t>
      </w:r>
    </w:p>
    <w:p>
      <w:pPr>
        <w:spacing w:after="0" w:line="130" w:lineRule="exact"/>
        <w:rPr>
          <w:rFonts w:ascii="Arial" w:cs="Arial" w:eastAsia="Arial" w:hAnsi="Arial"/>
          <w:sz w:val="18"/>
          <w:szCs w:val="18"/>
          <w:color w:val="auto"/>
        </w:rPr>
      </w:pPr>
    </w:p>
    <w:p>
      <w:pPr>
        <w:ind w:left="960" w:right="70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case of a Eurocurrency Borrowing, the Interest Period to be applicable thereto, which shall be a period contemplated by the definition of the term “Interest Period”;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with respect to the borrowing of the Term Loan on the Closing Date, the location and number of the Borrower’s account to which funds are to be disbursed, which shall comply with the requirements of Section 2.06;</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whether the Borrower is requesting the borrowing of the Term Loan, a conversion of Loans from one Type to the other, or a continuation of Eurocurrency Loans; and</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Type of Loans to be borrowed (in the case of the borrowing of the Term Loan on the Closing Date) or to which existing Loans are to be converted.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no election as to the Type of Borrowing is specified, then, the requested Borrowing shall be a Base Rate Borrowing. In the case of a failure to timely request a conversion or continuation of Eurocurrency Loans, such Loans shall be continued as Eurocurrency Loans with an Interest Period of one month’s duration. If no Interest Period is specified with respect to any requested Eurocurrency Borrowing or conversion or continuation of Eurocurrency Loans, then the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 Administrative Agent shall advise each Lender of the details thereof and of the amount of such Lender’s Loan to be made as part of the requested Borrowing. Except as otherwise provided herein, a Eurocurrency Loan may be continued or converted only on the last day of an Interest Period for such Eurocurrency Loan. During the existence of a Default, no Loans may be requested as, converted to or continued as Eurocurrency Loans without the consent of the Required Lenders.</w:t>
      </w:r>
    </w:p>
    <w:p>
      <w:pPr>
        <w:spacing w:after="0" w:line="181"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57" w:lineRule="auto"/>
        <w:tabs>
          <w:tab w:leader="none" w:pos="13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Lender shall make the portion of the Term Loan to be made by it hereunder on the Closing Date by wire transfer in Same Day Funds by 2:00 p.m., New York City time, to the account of the Administrative Agent designated by it for such purpose by notice to the Lenders in an amount equal to such Lender’s Applicable Percentage or other percentage provided for herein. The Administrative Agent will make the Term Loan available to the Borrower on the Closing Date by promptly crediting the amounts so received, in like funds, to an account designated by the Borrower in the Borrowing Request.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21" w:name="page222"/>
    <w:bookmarkEnd w:id="221"/>
    <w:p>
      <w:pPr>
        <w:ind w:left="1384" w:hanging="393"/>
        <w:spacing w:after="0"/>
        <w:tabs>
          <w:tab w:leader="none" w:pos="1384" w:val="left"/>
        </w:tabs>
        <w:numPr>
          <w:ilvl w:val="1"/>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Administrative Agent shall have received notice from a Lender prior to the proposed time of the Borrowing in paragraph</w:t>
      </w:r>
    </w:p>
    <w:p>
      <w:pPr>
        <w:spacing w:after="0" w:line="46" w:lineRule="exact"/>
        <w:rPr>
          <w:rFonts w:ascii="Arial" w:cs="Arial" w:eastAsia="Arial" w:hAnsi="Arial"/>
          <w:sz w:val="16"/>
          <w:szCs w:val="16"/>
          <w:color w:val="auto"/>
        </w:rPr>
      </w:pPr>
    </w:p>
    <w:p>
      <w:pPr>
        <w:ind w:left="4" w:hanging="4"/>
        <w:spacing w:after="0" w:line="267" w:lineRule="auto"/>
        <w:tabs>
          <w:tab w:leader="none" w:pos="24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of this Section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on the Closing Date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84"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Successor LIBOR</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7" w:lineRule="exact"/>
        <w:rPr>
          <w:sz w:val="20"/>
          <w:szCs w:val="20"/>
          <w:color w:val="auto"/>
        </w:rPr>
      </w:pPr>
    </w:p>
    <w:p>
      <w:pPr>
        <w:ind w:left="4" w:right="100" w:firstLine="987"/>
        <w:spacing w:after="0" w:line="277" w:lineRule="auto"/>
        <w:tabs>
          <w:tab w:leader="none" w:pos="13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because the LIBOR Screen Rate is not available or published on a current basis and such circumstances are unlikely to be temporary;</w:t>
      </w:r>
    </w:p>
    <w:p>
      <w:pPr>
        <w:spacing w:after="0" w:line="170" w:lineRule="exact"/>
        <w:rPr>
          <w:rFonts w:ascii="Arial" w:cs="Arial" w:eastAsia="Arial" w:hAnsi="Arial"/>
          <w:sz w:val="18"/>
          <w:szCs w:val="18"/>
          <w:color w:val="auto"/>
        </w:rPr>
      </w:pPr>
    </w:p>
    <w:p>
      <w:pPr>
        <w:ind w:left="4" w:right="400" w:firstLine="987"/>
        <w:spacing w:after="0" w:line="301" w:lineRule="auto"/>
        <w:tabs>
          <w:tab w:leader="none" w:pos="138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4" w:right="120" w:firstLine="987"/>
        <w:spacing w:after="0" w:line="277" w:lineRule="auto"/>
        <w:tabs>
          <w:tab w:leader="none" w:pos="13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2.07, are being executed or amended (as applicable) to incorporate or adopt a new benchmark interest rate to replace LIBOR,</w:t>
      </w:r>
    </w:p>
    <w:p>
      <w:pPr>
        <w:spacing w:after="0" w:line="17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solely for the purpose of replacing LIBOR in accordance with this Section 2.07(b) with (x) one or more SOFR-Based Rates or (y) another alternate benchmark rate giving due consideration to any evolving or then existing convention for similar syndicated credit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22" w:name="page223"/>
    <w:bookmarkEnd w:id="22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facilities syndicated in the U.S. and denominated in Dollars for such alternative benchmarks and, in each case, including any mathematical or other adjustments to such benchmark giving due consideration to any evolving or then existing convention for similar syndicated credit facilities syndicated in the U.S. and denominated in Dollars for such benchmarks,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Arial" w:cs="Arial" w:eastAsia="Arial" w:hAnsi="Arial"/>
          <w:sz w:val="17"/>
          <w:szCs w:val="17"/>
          <w:u w:val="single" w:color="auto"/>
          <w:color w:val="auto"/>
        </w:rPr>
        <w:t>Adjustment</w:t>
      </w:r>
      <w:r>
        <w:rPr>
          <w:rFonts w:ascii="Arial" w:cs="Arial" w:eastAsia="Arial" w:hAnsi="Arial"/>
          <w:sz w:val="17"/>
          <w:szCs w:val="17"/>
          <w:color w:val="auto"/>
        </w:rPr>
        <w:t>;” and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any Adjustment; or (B) in the case of an amendment to replace LIBOR with a rate described in clause (y), object to such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shall be applied in a manner as otherwise reasonably determined by the Administrative Agent after consultation with the Borrower.</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no LIBOR Successor Rate has been determined and the circumstances under clause (i) of this Section 2.07(b) exist or the Scheduled Unavailability Date has occurred (as applicable), the Administrative Agent will promptly so notify the Borrower and each Lender. Thereafter, (x) the obligation of the Lenders to make or maintain Eurocurrency Loans shall be suspended, (to the extent of the affected Eurocurrency Loans or Interest Periods), and (y) the Eurocurrency rate component shall no longer be utilized in determining the Base Rate. Upon receipt of such notice, (i) the Borrower may revoke any pending request for a Borrowing of, conversion to or continuation of Eurocurrency Loans (to the extent of the affected Eurocurrency Loans or Interest Periods) or, failing that, will be deemed to have converted such request into a request for a Borrowing of Base Rate Loans (subject to the foregoing clause (y)) in the amount specified therein and (ii) any outstanding affected Eurocurrency Loans will be deemed to have been converted into Base Rate Loans at the end of the applicable Interest Period.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Conforming Changes to the Lenders reasonably promptly after such amendment becomes effective.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used above:</w:t>
      </w:r>
    </w:p>
    <w:p>
      <w:pPr>
        <w:spacing w:after="0" w:line="22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Screen Rate</w:t>
      </w:r>
      <w:r>
        <w:rPr>
          <w:rFonts w:ascii="Arial" w:cs="Arial" w:eastAsia="Arial" w:hAnsi="Arial"/>
          <w:sz w:val="16"/>
          <w:szCs w:val="16"/>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24"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reasonable discretion of the Administrative Agent in consultation with the Borrower,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reasonably determines in consultation with the Borrower).</w:t>
      </w:r>
    </w:p>
    <w:p>
      <w:pPr>
        <w:spacing w:after="0" w:line="17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Reduction of Commitments</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59" w:lineRule="auto"/>
        <w:tabs>
          <w:tab w:leader="none" w:pos="13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Unless previously terminated, the aggregate Term Commitments shall be automatically, permanently and irrevocably reduced to zero at 5:00 p.m., New York City time, on the Closing Date, such that no additional Term Loan or other extension of credit in respect thereof will be made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Closing Date has not occurred prior to the Commitment Termination Date, all Commitments shall terminate on the Commitment Termination Date.</w:t>
      </w:r>
    </w:p>
    <w:p>
      <w:pPr>
        <w:spacing w:after="0" w:line="186" w:lineRule="exact"/>
        <w:rPr>
          <w:rFonts w:ascii="Arial" w:cs="Arial" w:eastAsia="Arial" w:hAnsi="Arial"/>
          <w:sz w:val="18"/>
          <w:szCs w:val="18"/>
          <w:color w:val="auto"/>
        </w:rPr>
      </w:pPr>
    </w:p>
    <w:p>
      <w:pPr>
        <w:ind w:firstLine="987"/>
        <w:spacing w:after="0" w:line="263" w:lineRule="auto"/>
        <w:tabs>
          <w:tab w:leader="none" w:pos="137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(and, prior to the Combination, Mylan, acting together) may at any time terminate, or from time to time reduce, the Term Commitments; provided that each reduction of the Term Commitments shall be in an amount that is an integral multiple of $1,000,000 and not less than $1,000,000, (or, if less, the remaining amount of the Term Commitments).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24" w:name="page225"/>
    <w:bookmarkEnd w:id="224"/>
    <w:p>
      <w:pPr>
        <w:jc w:val="both"/>
        <w:ind w:left="4" w:right="200" w:firstLine="987"/>
        <w:spacing w:after="0" w:line="291" w:lineRule="auto"/>
        <w:tabs>
          <w:tab w:leader="none" w:pos="1372" w:val="left"/>
        </w:tabs>
        <w:numPr>
          <w:ilvl w:val="1"/>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notify the Administrative Agent in writing (including transmission by electronic communication in accordance with Section 9.01(b)) of any election to terminate or reduce the Term Commitments under paragraph (b) of this Section not later than 12:00 p.m. three</w:t>
      </w:r>
    </w:p>
    <w:p>
      <w:pPr>
        <w:ind w:left="4" w:hanging="4"/>
        <w:spacing w:after="0" w:line="269" w:lineRule="auto"/>
        <w:tabs>
          <w:tab w:leader="none" w:pos="25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provided that a notice of termination of the Term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Term Commitments shall be permanent. Each reduction of the Term Commitments shall be made ratably among the Lenders in accordance with their respective Term Commitments.</w:t>
      </w:r>
    </w:p>
    <w:p>
      <w:pPr>
        <w:spacing w:after="0" w:line="28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17" w:lineRule="exact"/>
        <w:rPr>
          <w:sz w:val="20"/>
          <w:szCs w:val="20"/>
          <w:color w:val="auto"/>
        </w:rPr>
      </w:pPr>
    </w:p>
    <w:p>
      <w:pPr>
        <w:ind w:left="4" w:right="180" w:firstLine="987"/>
        <w:spacing w:after="0" w:line="263" w:lineRule="auto"/>
        <w:tabs>
          <w:tab w:leader="none" w:pos="13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in Dollars to the Administrative Agent for the account of each Lender on the Maturity Date (or such earlier date on which the Loans become due and payable pursuant to Article VII) an amount equal to the then remaining aggregate principal amount of the Term Loan outstanding on such date in full.</w:t>
      </w:r>
    </w:p>
    <w:p>
      <w:pPr>
        <w:spacing w:after="0" w:line="183" w:lineRule="exact"/>
        <w:rPr>
          <w:rFonts w:ascii="Arial" w:cs="Arial" w:eastAsia="Arial" w:hAnsi="Arial"/>
          <w:sz w:val="18"/>
          <w:szCs w:val="18"/>
          <w:color w:val="auto"/>
        </w:rPr>
      </w:pPr>
    </w:p>
    <w:p>
      <w:pPr>
        <w:ind w:left="4" w:right="40" w:firstLine="987"/>
        <w:spacing w:after="0" w:line="263" w:lineRule="auto"/>
        <w:tabs>
          <w:tab w:leader="none" w:pos="13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left="4" w:right="40" w:firstLine="987"/>
        <w:spacing w:after="0" w:line="259" w:lineRule="auto"/>
        <w:tabs>
          <w:tab w:leader="none" w:pos="13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left="4" w:right="160" w:firstLine="987"/>
        <w:spacing w:after="0" w:line="259" w:lineRule="auto"/>
        <w:tabs>
          <w:tab w:leader="none" w:pos="138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left="4" w:right="60" w:firstLine="987"/>
        <w:spacing w:after="0" w:line="308" w:lineRule="auto"/>
        <w:tabs>
          <w:tab w:leader="none" w:pos="136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promissory notes. In such event, the Borrower shall prepare, execute and deliver to such Lender promissory notes payable to such Lender and its registered assigns and in a form approved by the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225" w:name="page226"/>
    <w:bookmarkEnd w:id="225"/>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Optional Prepayment of Loans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36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in whole or in part, without premium or penalty, subject to prior notice given in accordance with paragraph (b) of this Section, or otherwise in form and substance reasonably acceptable to the Administrative Agent.</w:t>
      </w:r>
    </w:p>
    <w:p>
      <w:pPr>
        <w:spacing w:after="0" w:line="183" w:lineRule="exact"/>
        <w:rPr>
          <w:rFonts w:ascii="Arial" w:cs="Arial" w:eastAsia="Arial" w:hAnsi="Arial"/>
          <w:sz w:val="18"/>
          <w:szCs w:val="18"/>
          <w:color w:val="auto"/>
        </w:rPr>
      </w:pPr>
    </w:p>
    <w:p>
      <w:pPr>
        <w:ind w:right="20" w:firstLine="987"/>
        <w:spacing w:after="0" w:line="268" w:lineRule="auto"/>
        <w:tabs>
          <w:tab w:leader="none" w:pos="137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in writing (including transmission by electronic communication in accordance with Section 9.01(b)) of any prepayment hereunder (i) in the case of prepayment of a Eurocurrency Borrowing, not later than 2:00 p.m., New York City time, three (3) Business Days before the date of prepayment and (ii) in the case of prepayment of a Base Rate Borrowing, not later than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of the then outstanding principal amount of the Loans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(x) any Eurocurrency Borrowing shall be in an aggregate amount that is an integral multiple of the Borrowing Multiple and not less than the Borrowing Minimum and (y) any Base Rate Borrowing shall be in an aggregate amount that is an integral multiple of $1,000,000 and not less than $1,000,000. Each prepayment of a Borrowing shall be applied ratably to the Loans included in the notice of prepayment. Prepayments pursuant to this Section 2.10 shall be accompanied by accrued interest to the extent required by Section 2.12 and shall be subject to Section 2.15.</w:t>
      </w:r>
    </w:p>
    <w:p>
      <w:pPr>
        <w:spacing w:after="0" w:line="294"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right="100" w:firstLine="987"/>
        <w:spacing w:after="0" w:line="273" w:lineRule="auto"/>
        <w:tabs>
          <w:tab w:leader="none" w:pos="13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Lender a ticking fee in an amount equal to the product of (i) 0.15% per annum multiplied by (ii) the average daily amount of the Commitments held by each Lender. The ticking fee shall accrue from and including the date that is 90 days from the Effective Date until the earlier of (x) the Closing Date and (y) the termination or abandonment of the Business Combination Agreement, which ticking fee shall be due and payable on such earlier date. The ticking fee shall be computed on the basis of a year of 360 days and shall be payable for the actual number of days elapsed (including the first day but excluding the last day). For the avoidance of doubt, the ticking fee shall be payable irrespective of whether the Closing Date occurs or any Term Loan is made.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26" w:name="page227"/>
    <w:bookmarkEnd w:id="226"/>
    <w:p>
      <w:pPr>
        <w:ind w:right="40" w:firstLine="987"/>
        <w:spacing w:after="0" w:line="277" w:lineRule="auto"/>
        <w:tabs>
          <w:tab w:leader="none" w:pos="13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right="620" w:firstLine="987"/>
        <w:spacing w:after="0" w:line="308" w:lineRule="auto"/>
        <w:tabs>
          <w:tab w:leader="none" w:pos="136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Dollars and in Same Day Funds, to the Administrative Agent for distribution, in the case of ticking fees, to the Lenders. Fees paid shall not be refundable under any circumstances.</w:t>
      </w:r>
    </w:p>
    <w:p>
      <w:pPr>
        <w:spacing w:after="0" w:line="25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The Loans comprising each Base Rate Borrowing shall bear interest at the Base Rate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right="300" w:firstLine="987"/>
        <w:spacing w:after="0" w:line="277" w:lineRule="auto"/>
        <w:tabs>
          <w:tab w:leader="none" w:pos="137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200" w:firstLine="987"/>
        <w:spacing w:after="0" w:line="273" w:lineRule="auto"/>
        <w:tabs>
          <w:tab w:leader="none" w:pos="137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Notwithstanding the foregoing, at any time (x) an Event of Default has occurred and is continuing under clauses (h), (i) or (j) of Article VII or (y) if any principal of or interest on the Term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the Term Loan,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the Term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17"/>
          <w:szCs w:val="17"/>
          <w:u w:val="single" w:color="auto"/>
          <w:color w:val="auto"/>
        </w:rPr>
        <w:t>Default Rate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987"/>
        <w:spacing w:after="0" w:line="296" w:lineRule="auto"/>
        <w:tabs>
          <w:tab w:leader="none" w:pos="137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on the Maturity Date (or such earlier date on which the Loans become due and payable pursuant to Article VII);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the Loans,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61" w:lineRule="exact"/>
        <w:rPr>
          <w:rFonts w:ascii="Arial" w:cs="Arial" w:eastAsia="Arial" w:hAnsi="Arial"/>
          <w:sz w:val="16"/>
          <w:szCs w:val="16"/>
          <w:color w:val="auto"/>
        </w:rPr>
      </w:pPr>
    </w:p>
    <w:p>
      <w:pPr>
        <w:ind w:right="120" w:firstLine="987"/>
        <w:spacing w:after="0" w:line="279" w:lineRule="auto"/>
        <w:tabs>
          <w:tab w:leader="none" w:pos="136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Base Rate shall be computed on the basis of a year of 365 days (or 366 days in a leap year) and, in each case, shall be payable for the actual number of days elapsed (including the first day but excluding the last day). The applicable Base Rate or LIBO Rate shall be determined by the Administrative Agent in accordance with the provisions of this Agreement, and such determination shall be conclusive absent manifest error.</w:t>
      </w:r>
    </w:p>
    <w:p>
      <w:pPr>
        <w:spacing w:after="0" w:line="171"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any Interest Period for a Eurocurrency Borrowing:</w:t>
      </w:r>
    </w:p>
    <w:p>
      <w:pPr>
        <w:spacing w:after="0" w:line="225" w:lineRule="exact"/>
        <w:rPr>
          <w:sz w:val="20"/>
          <w:szCs w:val="20"/>
          <w:color w:val="auto"/>
        </w:rPr>
      </w:pPr>
    </w:p>
    <w:p>
      <w:pPr>
        <w:ind w:right="160" w:firstLine="987"/>
        <w:spacing w:after="0" w:line="308" w:lineRule="auto"/>
        <w:tabs>
          <w:tab w:leader="none" w:pos="137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(x) deposits are not being offered to banks in the applicable offshore interbank eurodollar market for Dollars for the applicable amount and Interest Period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27" w:name="page228"/>
    <w:bookmarkEnd w:id="227"/>
    <w:p>
      <w:pPr>
        <w:ind w:right="10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Eurocurrency Loan or (y) adequate and reasonable means do not exist for ascertaining the LIBO Rate for such Interest Period and the circumstances specified in Section 2.07(b)(i)(b) do not apply (in each case with respect to clause (a), the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124" w:lineRule="exact"/>
        <w:rPr>
          <w:sz w:val="20"/>
          <w:szCs w:val="20"/>
          <w:color w:val="auto"/>
        </w:rPr>
      </w:pPr>
    </w:p>
    <w:p>
      <w:pPr>
        <w:ind w:right="340" w:firstLine="987"/>
        <w:spacing w:after="0" w:line="308" w:lineRule="auto"/>
        <w:tabs>
          <w:tab w:leader="none" w:pos="138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telecopy or transmission by electronic communication in accordance with Section 9.01 as promptly as practicable thereafter and, until the Administrative Agent notifies the Borrower and the Lenders that the circumstances giving rise to such notice no longer exist, any Interest Election Request that requests the conversion of any Borrowing to, or continuation of any Borrowing as, a Eurocurrency Borrowing shall be ineffective and such Borrowing shall be converted to or continued on the last day of the Interest Period applicable thereto as a Base Rate Borrowing.</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Notwithstanding the foregoing, if the Administrative Agent has made the determination described in this section,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Upon the Administrative Agent’s election to establish an alternative rate of interest pursuant to this paragraph, the Borrower may revoke any pending request for a conversion to or continuation of Eurocurrency Loans without payment of any amount specified in Section 2.15, provided that such repayment is effected promptly upon receipt of such notice.</w:t>
      </w:r>
    </w:p>
    <w:p>
      <w:pPr>
        <w:spacing w:after="0" w:line="2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1360" w:hanging="373"/>
        <w:spacing w:after="0"/>
        <w:tabs>
          <w:tab w:leader="none" w:pos="13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right="400" w:firstLine="1428"/>
        <w:spacing w:after="0" w:line="277" w:lineRule="auto"/>
        <w:tabs>
          <w:tab w:leader="none" w:pos="178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28" w:name="page229"/>
    <w:bookmarkEnd w:id="228"/>
    <w:p>
      <w:pPr>
        <w:ind w:right="320" w:firstLine="1428"/>
        <w:spacing w:after="0" w:line="308" w:lineRule="auto"/>
        <w:tabs>
          <w:tab w:leader="none" w:pos="1832"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46" w:lineRule="exact"/>
        <w:rPr>
          <w:rFonts w:ascii="Arial" w:cs="Arial" w:eastAsia="Arial" w:hAnsi="Arial"/>
          <w:sz w:val="17"/>
          <w:szCs w:val="17"/>
          <w:color w:val="auto"/>
        </w:rPr>
      </w:pPr>
    </w:p>
    <w:p>
      <w:pPr>
        <w:ind w:left="1880" w:hanging="452"/>
        <w:spacing w:after="0"/>
        <w:tabs>
          <w:tab w:leader="none" w:pos="18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impose on any Lender or the London interbank market any other condition affecting this Agreement or Eurocurrency Loans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 by such Lender;</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or to reduce the amount of any sum received or receivable by such Lender hereunder, whether of principal, interest or otherwise, in each case by an amount deemed by such Lender to be material in the context of its making of, and participation in, extensions of credit under this Agreement, then, upon the request of such Lender, the Borrower will pay to such Lender, such additional amount or amounts as will compensate such Lender, for such additional costs incurred or reduction suffered.</w:t>
      </w:r>
    </w:p>
    <w:p>
      <w:pPr>
        <w:spacing w:after="0" w:line="176" w:lineRule="exact"/>
        <w:rPr>
          <w:sz w:val="20"/>
          <w:szCs w:val="20"/>
          <w:color w:val="auto"/>
        </w:rPr>
      </w:pPr>
    </w:p>
    <w:p>
      <w:pPr>
        <w:ind w:right="140" w:firstLine="987"/>
        <w:spacing w:after="0" w:line="273" w:lineRule="auto"/>
        <w:tabs>
          <w:tab w:leader="none" w:pos="138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the request of such Lender, the Borrower will pay to such Lender, such additional amount or amounts as will compensate such Lender or such Lender’s holding company for any such reduction suffered.</w:t>
      </w:r>
    </w:p>
    <w:p>
      <w:pPr>
        <w:spacing w:after="0" w:line="177" w:lineRule="exact"/>
        <w:rPr>
          <w:rFonts w:ascii="Arial" w:cs="Arial" w:eastAsia="Arial" w:hAnsi="Arial"/>
          <w:sz w:val="17"/>
          <w:szCs w:val="17"/>
          <w:color w:val="auto"/>
        </w:rPr>
      </w:pPr>
    </w:p>
    <w:p>
      <w:pPr>
        <w:ind w:right="40" w:firstLine="987"/>
        <w:spacing w:after="0" w:line="259" w:lineRule="auto"/>
        <w:tabs>
          <w:tab w:leader="none" w:pos="136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certificate of a Lender setting forth in reasonable detail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186" w:lineRule="exact"/>
        <w:rPr>
          <w:rFonts w:ascii="Arial" w:cs="Arial" w:eastAsia="Arial" w:hAnsi="Arial"/>
          <w:sz w:val="18"/>
          <w:szCs w:val="18"/>
          <w:color w:val="auto"/>
        </w:rPr>
      </w:pPr>
    </w:p>
    <w:p>
      <w:pPr>
        <w:ind w:firstLine="987"/>
        <w:spacing w:after="0" w:line="255" w:lineRule="auto"/>
        <w:tabs>
          <w:tab w:leader="none" w:pos="13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135 days prior to the date that such Lender notifies the Borrower of the Change in Law giving rise to such increased costs or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92" w:lineRule="exact"/>
        <w:rPr>
          <w:rFonts w:ascii="Arial" w:cs="Arial" w:eastAsia="Arial" w:hAnsi="Arial"/>
          <w:sz w:val="18"/>
          <w:szCs w:val="18"/>
          <w:color w:val="auto"/>
        </w:rPr>
      </w:pPr>
    </w:p>
    <w:p>
      <w:pPr>
        <w:ind w:right="180" w:firstLine="987"/>
        <w:spacing w:after="0" w:line="277" w:lineRule="auto"/>
        <w:tabs>
          <w:tab w:leader="none" w:pos="136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Lender’s claim for additional amounts pursuant to this Section 2.14 shall be generally consistent with such Lender’s treatment of customers of such Lender that such Lender considers, in its reasonable discretion, to be similarly situated as the Borrower.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229" w:name="page230"/>
    <w:bookmarkEnd w:id="229"/>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53" w:lineRule="auto"/>
        <w:tabs>
          <w:tab w:leader="none" w:pos="137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94" w:lineRule="exact"/>
        <w:rPr>
          <w:rFonts w:ascii="Arial" w:cs="Arial" w:eastAsia="Arial" w:hAnsi="Arial"/>
          <w:sz w:val="18"/>
          <w:szCs w:val="18"/>
          <w:color w:val="auto"/>
        </w:rPr>
      </w:pPr>
    </w:p>
    <w:p>
      <w:pPr>
        <w:jc w:val="both"/>
        <w:ind w:right="180" w:firstLine="987"/>
        <w:spacing w:after="0" w:line="263" w:lineRule="auto"/>
        <w:tabs>
          <w:tab w:leader="none" w:pos="138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30" w:name="page231"/>
    <w:bookmarkEnd w:id="230"/>
    <w:p>
      <w:pPr>
        <w:ind w:left="1364" w:hanging="373"/>
        <w:spacing w:after="0"/>
        <w:tabs>
          <w:tab w:leader="none" w:pos="1364"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1428"/>
        <w:spacing w:after="0" w:line="254" w:lineRule="auto"/>
        <w:tabs>
          <w:tab w:leader="none" w:pos="1786" w:val="left"/>
        </w:tabs>
        <w:numPr>
          <w:ilvl w:val="2"/>
          <w:numId w:val="250"/>
        </w:numPr>
        <w:rPr>
          <w:rFonts w:ascii="Arial" w:cs="Arial" w:eastAsia="Arial" w:hAnsi="Arial"/>
          <w:sz w:val="18"/>
          <w:szCs w:val="18"/>
          <w:color w:val="auto"/>
        </w:rPr>
      </w:pPr>
      <w:r>
        <w:rPr>
          <w:rFonts w:ascii="Arial" w:cs="Arial" w:eastAsia="Arial" w:hAnsi="Arial"/>
          <w:sz w:val="18"/>
          <w:szCs w:val="18"/>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4" w:lineRule="exact"/>
        <w:rPr>
          <w:rFonts w:ascii="Arial" w:cs="Arial" w:eastAsia="Arial" w:hAnsi="Arial"/>
          <w:sz w:val="18"/>
          <w:szCs w:val="18"/>
          <w:color w:val="auto"/>
        </w:rPr>
      </w:pPr>
    </w:p>
    <w:p>
      <w:pPr>
        <w:ind w:left="4" w:right="120" w:firstLine="1428"/>
        <w:spacing w:after="0" w:line="287" w:lineRule="auto"/>
        <w:tabs>
          <w:tab w:leader="none" w:pos="1836" w:val="left"/>
        </w:tabs>
        <w:numPr>
          <w:ilvl w:val="2"/>
          <w:numId w:val="250"/>
        </w:numPr>
        <w:rPr>
          <w:rFonts w:ascii="Arial" w:cs="Arial" w:eastAsia="Arial" w:hAnsi="Arial"/>
          <w:sz w:val="16"/>
          <w:szCs w:val="16"/>
          <w:color w:val="auto"/>
        </w:rPr>
      </w:pPr>
      <w:r>
        <w:rPr>
          <w:rFonts w:ascii="Arial" w:cs="Arial" w:eastAsia="Arial" w:hAnsi="Arial"/>
          <w:sz w:val="16"/>
          <w:szCs w:val="16"/>
          <w:color w:val="auto"/>
        </w:rPr>
        <w:t>Each Lender shall, and does hereby, severally indemnify, and shall make payment in respect thereof within 10 days after written demand therefor, (x) the Administrative Agent against any Indemnified Taxes attributable to such Lender (but only to the extent that any Loan Party has not already indemnified the Administrative Agent for such Indemnified Taxes and without limiting the obligation of the Loan Party to do so),</w:t>
      </w:r>
    </w:p>
    <w:p>
      <w:pPr>
        <w:spacing w:after="0" w:line="2" w:lineRule="exact"/>
        <w:rPr>
          <w:rFonts w:ascii="Arial" w:cs="Arial" w:eastAsia="Arial" w:hAnsi="Arial"/>
          <w:sz w:val="16"/>
          <w:szCs w:val="16"/>
          <w:color w:val="auto"/>
        </w:rPr>
      </w:pPr>
    </w:p>
    <w:p>
      <w:pPr>
        <w:ind w:left="4" w:right="100" w:hanging="4"/>
        <w:spacing w:after="0" w:line="287" w:lineRule="auto"/>
        <w:tabs>
          <w:tab w:leader="none" w:pos="2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hereby authorizes the Administrative Agent or any Loan Party, as applicable, to set off and apply any and all amounts at any time owing to such Lender, as the case may be, under this Agreement or any other Loan Document against any amount due to the Administrative Agent or any Loan Party, as applicable, under this clause (ii).</w:t>
      </w:r>
    </w:p>
    <w:p>
      <w:pPr>
        <w:spacing w:after="0" w:line="169" w:lineRule="exact"/>
        <w:rPr>
          <w:rFonts w:ascii="Arial" w:cs="Arial" w:eastAsia="Arial" w:hAnsi="Arial"/>
          <w:sz w:val="16"/>
          <w:szCs w:val="16"/>
          <w:color w:val="auto"/>
        </w:rPr>
      </w:pPr>
    </w:p>
    <w:p>
      <w:pPr>
        <w:ind w:left="4" w:firstLine="987"/>
        <w:spacing w:after="0" w:line="255" w:lineRule="auto"/>
        <w:tabs>
          <w:tab w:leader="none" w:pos="1385"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231" w:name="page232"/>
    <w:bookmarkEnd w:id="231"/>
    <w:p>
      <w:pPr>
        <w:ind w:left="1340" w:hanging="373"/>
        <w:spacing w:after="0"/>
        <w:tabs>
          <w:tab w:leader="none" w:pos="13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1428"/>
        <w:spacing w:after="0" w:line="269" w:lineRule="auto"/>
        <w:tabs>
          <w:tab w:leader="none" w:pos="175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1800" w:hanging="392"/>
        <w:spacing w:after="0"/>
        <w:tabs>
          <w:tab w:leader="none" w:pos="18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60" w:right="20" w:firstLine="910"/>
        <w:spacing w:after="0" w:line="259" w:lineRule="auto"/>
        <w:tabs>
          <w:tab w:leader="none" w:pos="229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60" w:right="60" w:firstLine="910"/>
        <w:spacing w:after="0" w:line="259" w:lineRule="auto"/>
        <w:tabs>
          <w:tab w:leader="none" w:pos="228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2" w:lineRule="exact"/>
        <w:rPr>
          <w:rFonts w:ascii="Arial" w:cs="Arial" w:eastAsia="Arial" w:hAnsi="Arial"/>
          <w:sz w:val="18"/>
          <w:szCs w:val="18"/>
          <w:color w:val="auto"/>
        </w:rPr>
      </w:pPr>
    </w:p>
    <w:p>
      <w:pPr>
        <w:ind w:left="2820" w:hanging="428"/>
        <w:spacing w:after="0"/>
        <w:tabs>
          <w:tab w:leader="none" w:pos="2820" w:val="left"/>
        </w:tabs>
        <w:numPr>
          <w:ilvl w:val="3"/>
          <w:numId w:val="25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2820" w:right="60"/>
        <w:spacing w:after="0" w:line="252"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4" w:right="479" w:bottom="1440" w:gutter="0" w:footer="0" w:header="0"/>
        </w:sectPr>
      </w:pPr>
    </w:p>
    <w:bookmarkStart w:id="232" w:name="page233"/>
    <w:bookmarkEnd w:id="232"/>
    <w:p>
      <w:pPr>
        <w:ind w:left="1840" w:hanging="428"/>
        <w:spacing w:after="0"/>
        <w:tabs>
          <w:tab w:leader="none" w:pos="18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executed copies of IRS Form W-8ECI;</w:t>
      </w:r>
    </w:p>
    <w:p>
      <w:pPr>
        <w:spacing w:after="0" w:line="130" w:lineRule="exact"/>
        <w:rPr>
          <w:rFonts w:ascii="Arial" w:cs="Arial" w:eastAsia="Arial" w:hAnsi="Arial"/>
          <w:sz w:val="18"/>
          <w:szCs w:val="18"/>
          <w:color w:val="auto"/>
        </w:rPr>
      </w:pPr>
    </w:p>
    <w:p>
      <w:pPr>
        <w:ind w:left="1840" w:hanging="428"/>
        <w:spacing w:after="0" w:line="273" w:lineRule="auto"/>
        <w:tabs>
          <w:tab w:leader="none" w:pos="18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83" w:lineRule="exact"/>
        <w:rPr>
          <w:rFonts w:ascii="Arial" w:cs="Arial" w:eastAsia="Arial" w:hAnsi="Arial"/>
          <w:sz w:val="17"/>
          <w:szCs w:val="17"/>
          <w:color w:val="auto"/>
        </w:rPr>
      </w:pPr>
    </w:p>
    <w:p>
      <w:pPr>
        <w:ind w:left="1840" w:right="20" w:hanging="428"/>
        <w:spacing w:after="0" w:line="272" w:lineRule="auto"/>
        <w:tabs>
          <w:tab w:leader="none" w:pos="18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69" w:lineRule="exact"/>
        <w:rPr>
          <w:rFonts w:ascii="Arial" w:cs="Arial" w:eastAsia="Arial" w:hAnsi="Arial"/>
          <w:sz w:val="17"/>
          <w:szCs w:val="17"/>
          <w:color w:val="auto"/>
        </w:rPr>
      </w:pPr>
    </w:p>
    <w:p>
      <w:pPr>
        <w:ind w:left="-20" w:right="80" w:firstLine="910"/>
        <w:spacing w:after="0" w:line="293" w:lineRule="auto"/>
        <w:tabs>
          <w:tab w:leader="none" w:pos="130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000"/>
          </w:cols>
          <w:pgMar w:left="1440" w:top="274" w:right="459" w:bottom="1440" w:gutter="0" w:footer="0" w:header="0"/>
        </w:sectPr>
      </w:pPr>
    </w:p>
    <w:bookmarkStart w:id="233" w:name="page234"/>
    <w:bookmarkEnd w:id="233"/>
    <w:p>
      <w:pPr>
        <w:ind w:left="960" w:firstLine="910"/>
        <w:spacing w:after="0" w:line="270" w:lineRule="auto"/>
        <w:tabs>
          <w:tab w:leader="none" w:pos="2292" w:val="left"/>
        </w:tabs>
        <w:numPr>
          <w:ilvl w:val="2"/>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rFonts w:ascii="Arial" w:cs="Arial" w:eastAsia="Arial" w:hAnsi="Arial"/>
          <w:sz w:val="17"/>
          <w:szCs w:val="17"/>
          <w:color w:val="auto"/>
        </w:rPr>
      </w:pPr>
    </w:p>
    <w:p>
      <w:pPr>
        <w:ind w:left="-20" w:right="20" w:firstLine="1428"/>
        <w:spacing w:after="0" w:line="263" w:lineRule="auto"/>
        <w:tabs>
          <w:tab w:leader="none" w:pos="186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20" w:right="20" w:firstLine="987"/>
        <w:spacing w:after="0" w:line="285" w:lineRule="auto"/>
        <w:tabs>
          <w:tab w:leader="none" w:pos="1331"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234" w:name="page235"/>
    <w:bookmarkEnd w:id="234"/>
    <w:p>
      <w:pPr>
        <w:ind w:left="1380" w:hanging="393"/>
        <w:spacing w:after="0"/>
        <w:tabs>
          <w:tab w:leader="none" w:pos="13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2.16, the term “applicable law” includes FATCA.</w:t>
      </w:r>
    </w:p>
    <w:p>
      <w:pPr>
        <w:spacing w:after="0" w:line="225" w:lineRule="exact"/>
        <w:rPr>
          <w:rFonts w:ascii="Arial" w:cs="Arial" w:eastAsia="Arial" w:hAnsi="Arial"/>
          <w:sz w:val="18"/>
          <w:szCs w:val="18"/>
          <w:color w:val="auto"/>
        </w:rPr>
      </w:pPr>
    </w:p>
    <w:p>
      <w:pPr>
        <w:ind w:firstLine="987"/>
        <w:spacing w:after="0" w:line="263" w:lineRule="auto"/>
        <w:tabs>
          <w:tab w:leader="none" w:pos="138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2.16 shall survive the resignation or replacement of the Administrative Agent or any assignment of rights by, or the replacement of, a Lender, the termination of the Commitments and the repayment, satisfaction or discharge of all other Obligations.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85" w:lineRule="auto"/>
        <w:tabs>
          <w:tab w:leader="none" w:pos="136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or fees, or of amounts payable under Section 2.14, 2.15 or 2.16, or otherwise) without condition or deduction for any counterclaim, defense, recoupment or setoff prior to 2:00 p.m., New York City time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in Dollars to the Administrative Agent at the Administrative Agent’s Office, except that payments pursuant to Sections 2.14,</w:t>
      </w:r>
    </w:p>
    <w:p>
      <w:pPr>
        <w:spacing w:after="0" w:line="1"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2.15, 2.16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92" w:lineRule="exact"/>
        <w:rPr>
          <w:rFonts w:ascii="Arial" w:cs="Arial" w:eastAsia="Arial" w:hAnsi="Arial"/>
          <w:sz w:val="16"/>
          <w:szCs w:val="16"/>
          <w:color w:val="auto"/>
        </w:rPr>
      </w:pPr>
    </w:p>
    <w:p>
      <w:pPr>
        <w:ind w:right="120" w:firstLine="987"/>
        <w:spacing w:after="0" w:line="257" w:lineRule="auto"/>
        <w:tabs>
          <w:tab w:leader="none" w:pos="138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based on the amount thereof among the parties entitled thereto in accordance with the amounts of interest and fees then due to such parties, and (ii) second, towards payment of principal then due hereunder, ratably based on the amount thereof among the parties entitled thereto in accordance with the amounts of principal then due to such parties.</w:t>
      </w:r>
    </w:p>
    <w:p>
      <w:pPr>
        <w:spacing w:after="0" w:line="187" w:lineRule="exact"/>
        <w:rPr>
          <w:rFonts w:ascii="Arial" w:cs="Arial" w:eastAsia="Arial" w:hAnsi="Arial"/>
          <w:sz w:val="18"/>
          <w:szCs w:val="18"/>
          <w:color w:val="auto"/>
        </w:rPr>
      </w:pPr>
    </w:p>
    <w:p>
      <w:pPr>
        <w:ind w:right="20" w:firstLine="987"/>
        <w:spacing w:after="0" w:line="269" w:lineRule="auto"/>
        <w:tabs>
          <w:tab w:leader="none" w:pos="137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in accordance with Section 9.04. The Borrower consents to the foregoing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235" w:name="page236"/>
    <w:bookmarkEnd w:id="23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4" w:lineRule="exact"/>
        <w:rPr>
          <w:sz w:val="20"/>
          <w:szCs w:val="20"/>
          <w:color w:val="auto"/>
        </w:rPr>
      </w:pPr>
    </w:p>
    <w:p>
      <w:pPr>
        <w:ind w:right="20" w:firstLine="987"/>
        <w:spacing w:after="0" w:line="291" w:lineRule="auto"/>
        <w:tabs>
          <w:tab w:leader="none" w:pos="138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166" w:lineRule="exact"/>
        <w:rPr>
          <w:rFonts w:ascii="Arial" w:cs="Arial" w:eastAsia="Arial" w:hAnsi="Arial"/>
          <w:sz w:val="16"/>
          <w:szCs w:val="16"/>
          <w:color w:val="auto"/>
        </w:rPr>
      </w:pPr>
    </w:p>
    <w:p>
      <w:pPr>
        <w:ind w:right="20" w:firstLine="987"/>
        <w:spacing w:after="0" w:line="273" w:lineRule="auto"/>
        <w:tabs>
          <w:tab w:leader="none" w:pos="137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and to make payments are several and not joint. The failure of any Lender to make any Loan or to make any payment on any date required hereunder shall not relieve any other Lender of its corresponding obligation to do so on such date, and no Lender shall be responsible for the failure of any other Lender to so make its Loan or to make its payments.</w:t>
      </w:r>
    </w:p>
    <w:p>
      <w:pPr>
        <w:spacing w:after="0" w:line="28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90" w:lineRule="auto"/>
        <w:tabs>
          <w:tab w:leader="none" w:pos="137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65" w:lineRule="exact"/>
        <w:rPr>
          <w:rFonts w:ascii="Arial" w:cs="Arial" w:eastAsia="Arial" w:hAnsi="Arial"/>
          <w:sz w:val="16"/>
          <w:szCs w:val="16"/>
          <w:color w:val="auto"/>
        </w:rPr>
      </w:pPr>
    </w:p>
    <w:p>
      <w:pPr>
        <w:ind w:right="40" w:firstLine="987"/>
        <w:spacing w:after="0" w:line="308" w:lineRule="auto"/>
        <w:tabs>
          <w:tab w:leader="none" w:pos="138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(1) any Lender requests compensation under Section 2.14, (2) the Borrower is required to pay any additional amount to any Lender or any Governmental Authority for the account of any Lender pursuant to Section 2.16, (3) any Lender is a Defaulting Lender, (4)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236" w:name="page237"/>
    <w:bookmarkEnd w:id="23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or (5)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7" w:lineRule="exact"/>
        <w:rPr>
          <w:sz w:val="20"/>
          <w:szCs w:val="20"/>
          <w:color w:val="auto"/>
        </w:rPr>
      </w:pPr>
    </w:p>
    <w:p>
      <w:pPr>
        <w:ind w:right="60" w:firstLine="1428"/>
        <w:spacing w:after="0" w:line="277" w:lineRule="auto"/>
        <w:tabs>
          <w:tab w:leader="none" w:pos="178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170" w:lineRule="exact"/>
        <w:rPr>
          <w:rFonts w:ascii="Arial" w:cs="Arial" w:eastAsia="Arial" w:hAnsi="Arial"/>
          <w:sz w:val="18"/>
          <w:szCs w:val="18"/>
          <w:color w:val="auto"/>
        </w:rPr>
      </w:pPr>
    </w:p>
    <w:p>
      <w:pPr>
        <w:ind w:firstLine="1428"/>
        <w:spacing w:after="0" w:line="311" w:lineRule="auto"/>
        <w:tabs>
          <w:tab w:leader="none" w:pos="18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148" w:lineRule="exact"/>
        <w:rPr>
          <w:rFonts w:ascii="Arial" w:cs="Arial" w:eastAsia="Arial" w:hAnsi="Arial"/>
          <w:sz w:val="16"/>
          <w:szCs w:val="16"/>
          <w:color w:val="auto"/>
        </w:rPr>
      </w:pPr>
    </w:p>
    <w:p>
      <w:pPr>
        <w:ind w:right="320" w:firstLine="1428"/>
        <w:spacing w:after="0" w:line="308" w:lineRule="auto"/>
        <w:tabs>
          <w:tab w:leader="none" w:pos="188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 and</w:t>
      </w:r>
    </w:p>
    <w:p>
      <w:pPr>
        <w:spacing w:after="0" w:line="146" w:lineRule="exact"/>
        <w:rPr>
          <w:rFonts w:ascii="Arial" w:cs="Arial" w:eastAsia="Arial" w:hAnsi="Arial"/>
          <w:sz w:val="17"/>
          <w:szCs w:val="17"/>
          <w:color w:val="auto"/>
        </w:rPr>
      </w:pPr>
    </w:p>
    <w:p>
      <w:pPr>
        <w:ind w:firstLine="1428"/>
        <w:spacing w:after="0" w:line="263" w:lineRule="auto"/>
        <w:tabs>
          <w:tab w:leader="none" w:pos="187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83" w:lineRule="exact"/>
        <w:rPr>
          <w:rFonts w:ascii="Arial" w:cs="Arial" w:eastAsia="Arial" w:hAnsi="Arial"/>
          <w:sz w:val="18"/>
          <w:szCs w:val="18"/>
          <w:color w:val="auto"/>
        </w:rPr>
      </w:pPr>
    </w:p>
    <w:p>
      <w:pPr>
        <w:ind w:right="40" w:firstLine="1428"/>
        <w:spacing w:after="0" w:line="259" w:lineRule="auto"/>
        <w:tabs>
          <w:tab w:leader="none" w:pos="18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an assignment resulting from a circumstance described in clause (5) above, (A) the applicable assignee shall be permitted under Law and licensed to make and maintain the Term Loan to the Borrower in accordance with the terms of this Agreement and (B) after giving effect to such assignment (and to any other assignments made in connection therewith), each Lender shall be permitted under applicable Law and licensed to make and maintain the Term Loan under this Agreement; and</w:t>
      </w:r>
    </w:p>
    <w:p>
      <w:pPr>
        <w:spacing w:after="0" w:line="186" w:lineRule="exact"/>
        <w:rPr>
          <w:rFonts w:ascii="Arial" w:cs="Arial" w:eastAsia="Arial" w:hAnsi="Arial"/>
          <w:sz w:val="18"/>
          <w:szCs w:val="18"/>
          <w:color w:val="auto"/>
        </w:rPr>
      </w:pPr>
    </w:p>
    <w:p>
      <w:pPr>
        <w:ind w:left="1860" w:hanging="432"/>
        <w:spacing w:after="0"/>
        <w:tabs>
          <w:tab w:leader="none" w:pos="1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37" w:name="page238"/>
    <w:bookmarkEnd w:id="2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8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7" w:lineRule="auto"/>
        <w:tabs>
          <w:tab w:leader="none" w:pos="1371"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xml:space="preserve">. Notwithstanding anything to the contrary contained in this Agreement, if any Lender becomes a Defaulting Lender, then, until such time as such Lender is no longer a Defaulting Lender, to the extent permitted by applicable law,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238" w:name="page239"/>
    <w:bookmarkEnd w:id="23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prepayments or other amounts paid or payable to a Defaulting Lender that are applied (or held) to pay amounts owed by a Defaulting Lender pursuant to this Section 2.20(a) shall be deemed paid to and redirected by such Defaulting Lender, and each Lender irrevocably consents hereto</w:t>
      </w:r>
    </w:p>
    <w:p>
      <w:pPr>
        <w:spacing w:after="0" w:line="146" w:lineRule="exact"/>
        <w:rPr>
          <w:sz w:val="20"/>
          <w:szCs w:val="20"/>
          <w:color w:val="auto"/>
        </w:rPr>
      </w:pPr>
    </w:p>
    <w:p>
      <w:pPr>
        <w:ind w:right="20" w:firstLine="987"/>
        <w:spacing w:after="0" w:line="271" w:lineRule="auto"/>
        <w:tabs>
          <w:tab w:leader="none" w:pos="1381"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The Borrower represents and warrants to the Administrative Agent and the Lenders that (a) as of the Effective Date, the Specified Representations are true and correct in all material respects (except that any Specified Representation that is qualified by “materiality”, “material adverse effect” or a similar term shall be true and correct in all respects) and (b) as of the Closing Date, after giving effect to the Transactions (it being understood, in each case, that no representations or warranties relating to the Mylan Business shall be made prior to the consummation of the Combination), that:</w:t>
      </w:r>
    </w:p>
    <w:p>
      <w:pPr>
        <w:spacing w:after="0" w:line="18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Schedule 3.01.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239" w:name="page240"/>
    <w:bookmarkEnd w:id="239"/>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27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Statements; Financial Condition; No Material Adverse Change</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93" w:lineRule="auto"/>
        <w:tabs>
          <w:tab w:leader="none" w:pos="136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Borrower has heretofore furnished to the Lenders (x) the combined balance sheets as of December 31, 2018 and December 31, 2019 of the Upjohn Business and combined statements of income, equity and cash flows of the Upjohn Business for each of the three fiscal years ended December 31, 2017, December 31, 2018 and December 31, 2019, in each case, reported on by KPMG LLP and (y) the unaudited financial statements as of, and for the fiscal quarter ended, March 29, 2020 and the other unaudited financial statements required to be delivered under Section 4.02(e), in each case certified by its chief financial officer which financial statements present fairly, in all material respects, the consolidated financial position and results of operations and cash flows of the Upjohn Business as of such dates and for such periods in accordance with GAAP.</w:t>
      </w:r>
    </w:p>
    <w:p>
      <w:pPr>
        <w:spacing w:after="0" w:line="164" w:lineRule="exact"/>
        <w:rPr>
          <w:rFonts w:ascii="Arial" w:cs="Arial" w:eastAsia="Arial" w:hAnsi="Arial"/>
          <w:sz w:val="16"/>
          <w:szCs w:val="16"/>
          <w:color w:val="auto"/>
        </w:rPr>
      </w:pPr>
    </w:p>
    <w:p>
      <w:pPr>
        <w:ind w:firstLine="987"/>
        <w:spacing w:after="0" w:line="301" w:lineRule="auto"/>
        <w:tabs>
          <w:tab w:leader="none" w:pos="138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3.04(b)</w:t>
      </w:r>
      <w:r>
        <w:rPr>
          <w:rFonts w:ascii="Arial" w:cs="Arial" w:eastAsia="Arial" w:hAnsi="Arial"/>
          <w:sz w:val="16"/>
          <w:szCs w:val="16"/>
          <w:color w:val="auto"/>
        </w:rPr>
        <w:t xml:space="preserve">, since December 31, 2019, there has been no material adverse change in the business, assets, properties or financial condition of the Borrower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period from the Effective Date through December 31, 2020, the impacts of the novel coronavirus COVID-19 pandemic on the business, assets, properties or financial condition of the Borrower and its Subsidiaries, taken as a whole, (i) that occurred prior to the Effective Date and that were publicly disclosed by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40" w:name="page241"/>
    <w:bookmarkEnd w:id="240"/>
    <w:p>
      <w:pPr>
        <w:ind w:left="4" w:right="5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Borrower in its securities filings or disclosed to the Administrative Agent and the Lenders in writing prior to the Effective Date or (ii) that were reasonably foreseeable (in consequence and duration) as of the Effective Date in light of any event, development or circumstance described in the foregoing clause (i)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impacts described in this clause (ii) do not have a disproportionate impact on the Borrower and its Subsidiaries when compared to other comparably situated companies), will, in each case, be disregarded.</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59" w:lineRule="auto"/>
        <w:tabs>
          <w:tab w:leader="none" w:pos="137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jc w:val="both"/>
        <w:ind w:left="4" w:right="140" w:firstLine="987"/>
        <w:spacing w:after="0" w:line="279" w:lineRule="auto"/>
        <w:tabs>
          <w:tab w:leader="none" w:pos="138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possesses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75" w:lineRule="auto"/>
        <w:tabs>
          <w:tab w:leader="none" w:pos="1372"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Except as set forth on Schedule 3.07,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241" w:name="page242"/>
    <w:bookmarkEnd w:id="241"/>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other Loan Party is required to register as an “investment company” as defined in the Investment Company Act of 1940.</w:t>
      </w:r>
    </w:p>
    <w:p>
      <w:pPr>
        <w:spacing w:after="0" w:line="17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Solvency</w:t>
      </w:r>
      <w:r>
        <w:rPr>
          <w:rFonts w:ascii="Arial" w:cs="Arial" w:eastAsia="Arial" w:hAnsi="Arial"/>
          <w:sz w:val="18"/>
          <w:szCs w:val="18"/>
          <w:color w:val="auto"/>
        </w:rPr>
        <w:t>. (a) On the Closing Date after giving effect to the Transactions, the Contribution, the Borrower Cash Distribution and the Distribution (but prior to the Combination), the Borrower and its Subsidiaries, on a consolidated basis, are Solvent and (b) from and after, as applicable, consummation of the Combination, after giving effect to the Combination Transactions, the Borrower and its Subsidiaries, on a consolidated basis, are Solvent.</w:t>
      </w:r>
    </w:p>
    <w:p>
      <w:pPr>
        <w:spacing w:after="0" w:line="187"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400" w:firstLine="440"/>
        <w:spacing w:after="0" w:line="308"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the Term Loan have been used or will be used, whether directly or indirectly, for any purpose that entails a violation of any of the Regulations of the Board, including Regulations T, U and X.</w:t>
      </w:r>
    </w:p>
    <w:p>
      <w:pPr>
        <w:spacing w:after="0" w:line="146"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Loan Parties and each of their respective Subsidiaries are in compliance, in all material respects, with the Act. No part of the proceeds of the Term Loan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242" w:name="page243"/>
    <w:bookmarkEnd w:id="242"/>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3.15</w:t>
      </w:r>
      <w:r>
        <w:rPr>
          <w:sz w:val="20"/>
          <w:szCs w:val="20"/>
          <w:color w:val="auto"/>
        </w:rPr>
        <w:tab/>
      </w:r>
      <w:r>
        <w:rPr>
          <w:rFonts w:ascii="Arial" w:cs="Arial" w:eastAsia="Arial" w:hAnsi="Arial"/>
          <w:sz w:val="16"/>
          <w:szCs w:val="16"/>
          <w:u w:val="single" w:color="auto"/>
          <w:color w:val="auto"/>
        </w:rPr>
        <w:t>OFAC</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272" w:lineRule="auto"/>
        <w:tabs>
          <w:tab w:leader="none" w:pos="1371"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Neither the Borrower, nor any Subsidiary is (i) a Person whose name appears on the list of Specially Designated Nationals and Blocked Persons published by OFAC (an “</w:t>
      </w:r>
      <w:r>
        <w:rPr>
          <w:rFonts w:ascii="Arial" w:cs="Arial" w:eastAsia="Arial" w:hAnsi="Arial"/>
          <w:sz w:val="17"/>
          <w:szCs w:val="17"/>
          <w:u w:val="single" w:color="auto"/>
          <w:color w:val="auto"/>
        </w:rPr>
        <w:t>OFAC Listed Person</w:t>
      </w:r>
      <w:r>
        <w:rPr>
          <w:rFonts w:ascii="Arial" w:cs="Arial" w:eastAsia="Arial" w:hAnsi="Arial"/>
          <w:sz w:val="17"/>
          <w:szCs w:val="17"/>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17"/>
          <w:szCs w:val="17"/>
          <w:u w:val="single" w:color="auto"/>
          <w:color w:val="auto"/>
        </w:rPr>
        <w:t>EU/UK Listed Person</w:t>
      </w:r>
      <w:r>
        <w:rPr>
          <w:rFonts w:ascii="Arial" w:cs="Arial" w:eastAsia="Arial" w:hAnsi="Arial"/>
          <w:sz w:val="17"/>
          <w:szCs w:val="17"/>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7"/>
          <w:szCs w:val="17"/>
          <w:u w:val="single" w:color="auto"/>
          <w:color w:val="auto"/>
        </w:rPr>
        <w:t>OFAC Countries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987"/>
        <w:spacing w:after="0" w:line="254" w:lineRule="auto"/>
        <w:tabs>
          <w:tab w:leader="none" w:pos="137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represents and covenants that neither the Term Loan, nor the proceeds from the Term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The information included in the Beneficial Ownership Certification, if applicable, is true and correct in all respects, as of the date such Beneficial Ownership Certification is delivered.</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Representations as to Foreign Obligors</w:t>
      </w:r>
      <w:r>
        <w:rPr>
          <w:rFonts w:ascii="Arial" w:cs="Arial" w:eastAsia="Arial" w:hAnsi="Arial"/>
          <w:sz w:val="16"/>
          <w:szCs w:val="16"/>
          <w:color w:val="auto"/>
        </w:rPr>
        <w:t>. Each Foreign Obligor represents and warrants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firstLine="987"/>
        <w:spacing w:after="0" w:line="254" w:lineRule="auto"/>
        <w:tabs>
          <w:tab w:leader="none" w:pos="137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Arial" w:cs="Arial" w:eastAsia="Arial" w:hAnsi="Arial"/>
          <w:sz w:val="18"/>
          <w:szCs w:val="18"/>
          <w:color w:val="auto"/>
        </w:rPr>
      </w:pPr>
    </w:p>
    <w:p>
      <w:pPr>
        <w:ind w:right="560" w:firstLine="987"/>
        <w:spacing w:after="0" w:line="277" w:lineRule="auto"/>
        <w:tabs>
          <w:tab w:leader="none" w:pos="137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43" w:name="page244"/>
    <w:bookmarkEnd w:id="243"/>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w:t>
      </w:r>
    </w:p>
    <w:p>
      <w:pPr>
        <w:spacing w:after="0" w:line="2" w:lineRule="exact"/>
        <w:rPr>
          <w:sz w:val="20"/>
          <w:szCs w:val="20"/>
          <w:color w:val="auto"/>
        </w:rPr>
      </w:pPr>
    </w:p>
    <w:p>
      <w:pPr>
        <w:ind w:left="4" w:right="20" w:hanging="4"/>
        <w:spacing w:after="0" w:line="260" w:lineRule="auto"/>
        <w:tabs>
          <w:tab w:leader="none" w:pos="21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5" w:lineRule="exact"/>
        <w:rPr>
          <w:rFonts w:ascii="Arial" w:cs="Arial" w:eastAsia="Arial" w:hAnsi="Arial"/>
          <w:sz w:val="18"/>
          <w:szCs w:val="18"/>
          <w:color w:val="auto"/>
        </w:rPr>
      </w:pPr>
    </w:p>
    <w:p>
      <w:pPr>
        <w:ind w:left="4" w:right="20" w:firstLine="987"/>
        <w:spacing w:after="0" w:line="279" w:lineRule="auto"/>
        <w:tabs>
          <w:tab w:leader="none" w:pos="1372"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shall become effective on and as of the first date on which the following conditions precedent have been satisfied:</w:t>
      </w:r>
    </w:p>
    <w:p>
      <w:pPr>
        <w:spacing w:after="0" w:line="170"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Administrative Agent (or its counsel) shall have received a counterpart of this Agreement duly executed and delivered by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4" w:right="20" w:firstLine="987"/>
        <w:spacing w:after="0" w:line="311" w:lineRule="auto"/>
        <w:tabs>
          <w:tab w:leader="none" w:pos="138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Specified Representations shall be true and correct in all material respects (except that any Specified Representation that is qualified by “materiality”, “material adverse effect” or a similar term shall be true and correct in all respects) as of the Effective Date. For the avoidance of doubt, no representations or warranties relating to the Mylan Business shall be made prior to the consummation of the Combination Transactions;</w:t>
      </w:r>
    </w:p>
    <w:p>
      <w:pPr>
        <w:spacing w:after="0" w:line="148" w:lineRule="exact"/>
        <w:rPr>
          <w:rFonts w:ascii="Arial" w:cs="Arial" w:eastAsia="Arial" w:hAnsi="Arial"/>
          <w:sz w:val="16"/>
          <w:szCs w:val="16"/>
          <w:color w:val="auto"/>
        </w:rPr>
      </w:pPr>
    </w:p>
    <w:p>
      <w:pPr>
        <w:ind w:left="4" w:right="720" w:firstLine="987"/>
        <w:spacing w:after="0" w:line="277" w:lineRule="auto"/>
        <w:tabs>
          <w:tab w:leader="none" w:pos="137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 letter of Cravath, Swaine &amp; Moore LLP, in a form reasonably satisfactory to the Administrative Agent;</w:t>
      </w:r>
    </w:p>
    <w:p>
      <w:pPr>
        <w:spacing w:after="0" w:line="170" w:lineRule="exact"/>
        <w:rPr>
          <w:rFonts w:ascii="Arial" w:cs="Arial" w:eastAsia="Arial" w:hAnsi="Arial"/>
          <w:sz w:val="18"/>
          <w:szCs w:val="18"/>
          <w:color w:val="auto"/>
        </w:rPr>
      </w:pPr>
    </w:p>
    <w:p>
      <w:pPr>
        <w:ind w:left="4" w:right="120" w:firstLine="987"/>
        <w:spacing w:after="0" w:line="263" w:lineRule="auto"/>
        <w:tabs>
          <w:tab w:leader="none" w:pos="138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customary closing documents and certificates as the Administrative Agent or its counsel may reasonably request relating to the organization, existence and good standing of the Borrower, the authorization of the Transactions and incumbency, all in form and substance reasonably satisfactory to the Administrative Agent and its counsel;</w:t>
      </w:r>
    </w:p>
    <w:p>
      <w:pPr>
        <w:spacing w:after="0" w:line="183" w:lineRule="exact"/>
        <w:rPr>
          <w:rFonts w:ascii="Arial" w:cs="Arial" w:eastAsia="Arial" w:hAnsi="Arial"/>
          <w:sz w:val="18"/>
          <w:szCs w:val="18"/>
          <w:color w:val="auto"/>
        </w:rPr>
      </w:pPr>
    </w:p>
    <w:p>
      <w:pPr>
        <w:ind w:left="4" w:right="280" w:firstLine="987"/>
        <w:spacing w:after="0" w:line="277" w:lineRule="auto"/>
        <w:tabs>
          <w:tab w:leader="none" w:pos="137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Effective Date all documentation and other information regarding the Borrower</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244" w:name="page245"/>
    <w:bookmarkEnd w:id="244"/>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by bank regulatory authorities under applicable “know-your-customer” and anti-money laundering rules and regulations, including the PATRIOT Act and the Beneficial Ownership Regulation, in each case to the extent reasonably requested at least ten Business Days prior to the Effective Date; and</w:t>
      </w:r>
    </w:p>
    <w:p>
      <w:pPr>
        <w:spacing w:after="0" w:line="184" w:lineRule="exact"/>
        <w:rPr>
          <w:sz w:val="20"/>
          <w:szCs w:val="20"/>
          <w:color w:val="auto"/>
        </w:rPr>
      </w:pPr>
    </w:p>
    <w:p>
      <w:pPr>
        <w:ind w:right="80" w:firstLine="987"/>
        <w:spacing w:after="0" w:line="311" w:lineRule="auto"/>
        <w:tabs>
          <w:tab w:leader="none" w:pos="1341"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Effective Date and the fees contemplated by the Fee Letters payable to the Arrangers, the Administrative Agent or the Lenders shall have been paid on or prior to the Effective Date, in each case, to the extent required by the Fee Letters or the Loan Documents to be paid on or prior to the Effective Date.</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Closing Date</w:t>
      </w:r>
      <w:r>
        <w:rPr>
          <w:rFonts w:ascii="Arial" w:cs="Arial" w:eastAsia="Arial" w:hAnsi="Arial"/>
          <w:sz w:val="18"/>
          <w:szCs w:val="18"/>
          <w:color w:val="auto"/>
        </w:rPr>
        <w:t>. The occurrence of the Closing Date and the obligations of the Lenders to make the Term Loan on the Closing Date are, in each case, subject to each of the following conditions being satisfied:</w:t>
      </w:r>
    </w:p>
    <w:p>
      <w:pPr>
        <w:spacing w:after="0" w:line="170" w:lineRule="exact"/>
        <w:rPr>
          <w:sz w:val="20"/>
          <w:szCs w:val="20"/>
          <w:color w:val="auto"/>
        </w:rPr>
      </w:pPr>
    </w:p>
    <w:p>
      <w:pPr>
        <w:ind w:right="100" w:firstLine="987"/>
        <w:spacing w:after="0" w:line="291" w:lineRule="auto"/>
        <w:tabs>
          <w:tab w:leader="none" w:pos="136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a Responsible Officer of the Borrower certifying that (a) the conditions to the Combination set forth in the Business Combination Agreement (without giving effect to any modifications, consents, amendments or waivers thereto by Mylan that in each case are materially adverse to the interests of the Lenders or the Arrangers, in their capacities as such, unless the Arrangers shall have provided their written consent thereto (such consent not to be unreasonably withheld, conditioned or delayed)), in each case, other than such conditions that by their nature are to be satisfied upon the closing of such transaction, have been satisfied or waived or are expected to be satisfied and waived on the Closing Date or one Business Day thereafter and (b) the Distribution is expected to be, the Combination is expected to be and the Contribution has been or is expected to be consummated on the Closing Date or one Business Day thereafter;</w:t>
      </w:r>
    </w:p>
    <w:p>
      <w:pPr>
        <w:spacing w:after="0" w:line="166" w:lineRule="exact"/>
        <w:rPr>
          <w:rFonts w:ascii="Arial" w:cs="Arial" w:eastAsia="Arial" w:hAnsi="Arial"/>
          <w:sz w:val="16"/>
          <w:szCs w:val="16"/>
          <w:color w:val="auto"/>
        </w:rPr>
      </w:pPr>
    </w:p>
    <w:p>
      <w:pPr>
        <w:ind w:right="160" w:firstLine="987"/>
        <w:spacing w:after="0" w:line="286" w:lineRule="auto"/>
        <w:tabs>
          <w:tab w:leader="none" w:pos="137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attesting to the Solvency of the Borrower and its Subsidiaries (taken as a whole) on the Closing Date after giving effect to the Transactions, the Contribution, the Borrower Cash Distribution and the Distribution (but prior to the Combination) in or substantially in the form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 from a Financial Officer of the Borrower;</w:t>
      </w:r>
    </w:p>
    <w:p>
      <w:pPr>
        <w:spacing w:after="0" w:line="165" w:lineRule="exact"/>
        <w:rPr>
          <w:rFonts w:ascii="Arial" w:cs="Arial" w:eastAsia="Arial" w:hAnsi="Arial"/>
          <w:sz w:val="17"/>
          <w:szCs w:val="17"/>
          <w:color w:val="auto"/>
        </w:rPr>
      </w:pPr>
    </w:p>
    <w:p>
      <w:pPr>
        <w:ind w:firstLine="987"/>
        <w:spacing w:after="0" w:line="277" w:lineRule="auto"/>
        <w:tabs>
          <w:tab w:leader="none" w:pos="13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70" w:lineRule="exact"/>
        <w:rPr>
          <w:rFonts w:ascii="Arial" w:cs="Arial" w:eastAsia="Arial" w:hAnsi="Arial"/>
          <w:sz w:val="18"/>
          <w:szCs w:val="18"/>
          <w:color w:val="auto"/>
        </w:rPr>
      </w:pPr>
    </w:p>
    <w:p>
      <w:pPr>
        <w:ind w:right="300" w:firstLine="987"/>
        <w:spacing w:after="0" w:line="277" w:lineRule="auto"/>
        <w:tabs>
          <w:tab w:leader="none" w:pos="13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costs, fees, expenses (including legal fees and expenses) to the extent invoiced at least two Business Days prior to the Closing Date and the fees contemplated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45" w:name="page246"/>
    <w:bookmarkEnd w:id="245"/>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70" w:lineRule="exact"/>
        <w:rPr>
          <w:sz w:val="20"/>
          <w:szCs w:val="20"/>
          <w:color w:val="auto"/>
        </w:rPr>
      </w:pPr>
    </w:p>
    <w:p>
      <w:pPr>
        <w:jc w:val="both"/>
        <w:ind w:left="4" w:right="100" w:firstLine="987"/>
        <w:spacing w:after="0" w:line="285" w:lineRule="auto"/>
        <w:tabs>
          <w:tab w:leader="none" w:pos="1372"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Administrative Agent shall have received (i) audited consolidated balance sheets of the Mylan Business for each of its two most recent fiscal years and audited consolidated statements of income and cash flows of the Mylan Business for each of its three most recent fiscal years, in each case, ended at least 60 days prior to the Closing Date and unaudited financial statements of the Mylan Business for any quarterly interim period or periods (other than the fourth fiscal quarter) ended after the date of its most recent audited financial statements (and corresponding periods of any prior year) and more than 40 days prior to the Closing Date (with respect to which independent auditors shall have performed a SAS 100 review) and</w:t>
      </w:r>
    </w:p>
    <w:p>
      <w:pPr>
        <w:spacing w:after="0" w:line="1" w:lineRule="exact"/>
        <w:rPr>
          <w:rFonts w:ascii="Arial" w:cs="Arial" w:eastAsia="Arial" w:hAnsi="Arial"/>
          <w:sz w:val="16"/>
          <w:szCs w:val="16"/>
          <w:color w:val="auto"/>
        </w:rPr>
      </w:pPr>
    </w:p>
    <w:p>
      <w:pPr>
        <w:ind w:left="4" w:right="40" w:hanging="4"/>
        <w:spacing w:after="0" w:line="287" w:lineRule="auto"/>
        <w:tabs>
          <w:tab w:leader="none" w:pos="26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audited combined balance sheets of the Upjohn Business for each of its two most recent fiscal years and audited combined statements of income and cash flows of the Upjohn Business for each of its three most recent fiscal years, in each case, ended at least 90 days prior to the Closing Date and unaudited financial statements of the Upjohn Business for any quarterly interim period or periods (other than the fourth fiscal quarter) ended after the date of its most recent audited financial statements (and corresponding periods of any prior year) and more than 90 days prior to the Closing Date (with respect to which independent auditors shall have performed a SAS 100 or equivalent review). The Administrative Agent hereby acknowledges that the public filing with the Securities and Exchange Commission under the Securities Exchange Act of 1934, as amended, of any of the foregoing financial statements will satisfy the requirements of this paragraph and hereby acknowledge receipt of the financial statements of the Upjohn Business as of, and for (i) the three fiscal years ended December 31, 2019 and (ii) the fiscal quarter ended March 29, 2020;</w:t>
      </w:r>
    </w:p>
    <w:p>
      <w:pPr>
        <w:spacing w:after="0" w:line="169" w:lineRule="exact"/>
        <w:rPr>
          <w:rFonts w:ascii="Arial" w:cs="Arial" w:eastAsia="Arial" w:hAnsi="Arial"/>
          <w:sz w:val="16"/>
          <w:szCs w:val="16"/>
          <w:color w:val="auto"/>
        </w:rPr>
      </w:pPr>
    </w:p>
    <w:p>
      <w:pPr>
        <w:ind w:left="1344" w:hanging="353"/>
        <w:spacing w:after="0"/>
        <w:tabs>
          <w:tab w:leader="none" w:pos="1344"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At the time of and upon giving effect to the Borrowing and application of the proceeds of the Term Loan on the Closing Date,</w:t>
      </w:r>
    </w:p>
    <w:p>
      <w:pPr>
        <w:spacing w:after="0" w:line="35" w:lineRule="exact"/>
        <w:rPr>
          <w:sz w:val="20"/>
          <w:szCs w:val="20"/>
          <w:color w:val="auto"/>
        </w:rPr>
      </w:pPr>
    </w:p>
    <w:p>
      <w:pPr>
        <w:ind w:left="4" w:hanging="4"/>
        <w:spacing w:after="0" w:line="270" w:lineRule="auto"/>
        <w:tabs>
          <w:tab w:leader="none" w:pos="25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Combination Transaction Representation shall be true and correct as of the Closing Date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 (y) the Specified Representations shall be true and correct in all material respects (except that any Specified Representation that is qualified by “materiality”, “material adverse effect” or a similar term shall be true and correct in all respects) as of the Closing Date and (z) there shall not exist any Event of Default under clause (a), (b), (h), (i) or (j) of Article VII with respect to the Borrower under this Agreement;</w:t>
      </w:r>
    </w:p>
    <w:p>
      <w:pPr>
        <w:spacing w:after="0" w:line="178" w:lineRule="exact"/>
        <w:rPr>
          <w:rFonts w:ascii="Arial" w:cs="Arial" w:eastAsia="Arial" w:hAnsi="Arial"/>
          <w:sz w:val="17"/>
          <w:szCs w:val="17"/>
          <w:color w:val="auto"/>
        </w:rPr>
      </w:pPr>
    </w:p>
    <w:p>
      <w:pPr>
        <w:ind w:left="4" w:right="560" w:firstLine="987"/>
        <w:spacing w:after="0" w:line="277" w:lineRule="auto"/>
        <w:tabs>
          <w:tab w:leader="none" w:pos="138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set forth in the preceding clause (f) have been satisfied;</w:t>
      </w:r>
    </w:p>
    <w:p>
      <w:pPr>
        <w:spacing w:after="0" w:line="170" w:lineRule="exact"/>
        <w:rPr>
          <w:rFonts w:ascii="Arial" w:cs="Arial" w:eastAsia="Arial" w:hAnsi="Arial"/>
          <w:sz w:val="18"/>
          <w:szCs w:val="18"/>
          <w:color w:val="auto"/>
        </w:rPr>
      </w:pPr>
    </w:p>
    <w:p>
      <w:pPr>
        <w:ind w:left="4" w:firstLine="987"/>
        <w:spacing w:after="0" w:line="279" w:lineRule="auto"/>
        <w:tabs>
          <w:tab w:leader="none" w:pos="1385"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Except as otherwise disclosed or identified in (a) the Pluto SEC Documents (as defined in the Business Combination Agreement as in effect as of the date hereof) filed or furnished with the SEC (as defined in the Business Combination Agreement as in effect as of the date hereof) on or prior to the date hereof (excluding any risk factor disclosure and disclosure of risks included in any “forward-looking statements” disclaimer included in such Pluto SEC Documents that are predictive, forward-looking or primarily cautionary in nature);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246" w:name="page247"/>
    <w:bookmarkEnd w:id="24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exception shall apply only to the extent that the relevance of such disclosure to the applicable representation and warranty is reasonably apparent on its face, or (b) the Spinco Disclosure Schedule (as defined in the Business Combination Agreement as in effect as of the date hereof) (it being understood that any information set forth in one section or subsection of the Spinco Disclosure Schedule shall be deemed to apply to and qualify the representation and warranty set forth in the Section of the Business Combination Agreement to which it corresponds in number and, whether or not an explicit reference or cross-reference is made, each other representation and warranty set forth in each other Section of Article V or Article VI of the Business Combination Agreement for which it is reasonably apparent on the face of such information that such information is relevant to such other Section), since December 31, 2018, there has not been any change, event, development, occurrence or effect that would reasonably be expected to have, individually or in the aggregate, a Spinco Material Adverse Effect (as defined in the Business Combination Agreement as in effect as of the date hereof); and</w:t>
      </w:r>
    </w:p>
    <w:p>
      <w:pPr>
        <w:spacing w:after="0" w:line="196" w:lineRule="exact"/>
        <w:rPr>
          <w:sz w:val="20"/>
          <w:szCs w:val="20"/>
          <w:color w:val="auto"/>
        </w:rPr>
      </w:pPr>
    </w:p>
    <w:p>
      <w:pPr>
        <w:ind w:left="1340" w:hanging="353"/>
        <w:spacing w:after="0"/>
        <w:tabs>
          <w:tab w:leader="none" w:pos="1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Applicable only from and after the consummation of the Combination and until the Commitment has expired or been terminated and the principal of and interest on the Term Loan and all fees payable hereunder shall have been paid in full, the Borrower covenants and agrees with the Administrative Agent and the Lenders that: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(who shall promptly furnish a copy to each Lender):</w:t>
      </w:r>
    </w:p>
    <w:p>
      <w:pPr>
        <w:spacing w:after="0" w:line="170" w:lineRule="exact"/>
        <w:rPr>
          <w:sz w:val="20"/>
          <w:szCs w:val="20"/>
          <w:color w:val="auto"/>
        </w:rPr>
      </w:pPr>
    </w:p>
    <w:p>
      <w:pPr>
        <w:ind w:right="60" w:firstLine="987"/>
        <w:spacing w:after="0" w:line="293" w:lineRule="auto"/>
        <w:tabs>
          <w:tab w:leader="none" w:pos="137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64" w:lineRule="exact"/>
        <w:rPr>
          <w:rFonts w:ascii="Arial" w:cs="Arial" w:eastAsia="Arial" w:hAnsi="Arial"/>
          <w:sz w:val="16"/>
          <w:szCs w:val="16"/>
          <w:color w:val="auto"/>
        </w:rPr>
      </w:pPr>
    </w:p>
    <w:p>
      <w:pPr>
        <w:jc w:val="both"/>
        <w:ind w:right="140" w:firstLine="987"/>
        <w:spacing w:after="0" w:line="259" w:lineRule="auto"/>
        <w:tabs>
          <w:tab w:leader="none" w:pos="138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47" w:name="page248"/>
    <w:bookmarkEnd w:id="24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65" w:lineRule="exact"/>
        <w:rPr>
          <w:sz w:val="20"/>
          <w:szCs w:val="20"/>
          <w:color w:val="auto"/>
        </w:rPr>
      </w:pPr>
    </w:p>
    <w:p>
      <w:pPr>
        <w:ind w:right="120" w:firstLine="987"/>
        <w:spacing w:after="0" w:line="259" w:lineRule="auto"/>
        <w:tabs>
          <w:tab w:leader="none" w:pos="137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Borrower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such information on DebtDomain, IntraLinks, Syndtrak, ClearPar, or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 side” Lenders (</w:t>
      </w:r>
      <w:r>
        <w:rPr>
          <w:rFonts w:ascii="Arial" w:cs="Arial" w:eastAsia="Arial" w:hAnsi="Arial"/>
          <w:sz w:val="18"/>
          <w:szCs w:val="18"/>
          <w:u w:val="single" w:color="auto"/>
          <w:color w:val="auto"/>
        </w:rPr>
        <w:t>i.e.</w:t>
      </w:r>
      <w:r>
        <w:rPr>
          <w:rFonts w:ascii="Arial" w:cs="Arial" w:eastAsia="Arial" w:hAnsi="Arial"/>
          <w:sz w:val="18"/>
          <w:szCs w:val="18"/>
          <w:color w:val="auto"/>
        </w:rPr>
        <w:t>, Lenders that do not wish to receive material non-public information 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occurrence of any continuing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248" w:name="page249"/>
    <w:bookmarkEnd w:id="248"/>
    <w:p>
      <w:pPr>
        <w:ind w:right="500" w:firstLine="987"/>
        <w:spacing w:after="0" w:line="308" w:lineRule="auto"/>
        <w:tabs>
          <w:tab w:leader="none" w:pos="1381"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filing or commencement of any action, suit or proceeding by or before any arbitrator or Governmental Authority against or affecting the Borrower or any Subsidiary thereof that would reasonably be expected to result in a Material Adverse Effect; and</w:t>
      </w:r>
    </w:p>
    <w:p>
      <w:pPr>
        <w:spacing w:after="0" w:line="146" w:lineRule="exact"/>
        <w:rPr>
          <w:rFonts w:ascii="Arial" w:cs="Arial" w:eastAsia="Arial" w:hAnsi="Arial"/>
          <w:sz w:val="17"/>
          <w:szCs w:val="17"/>
          <w:color w:val="auto"/>
        </w:rPr>
      </w:pPr>
    </w:p>
    <w:p>
      <w:pPr>
        <w:ind w:right="280" w:firstLine="987"/>
        <w:spacing w:after="0" w:line="277" w:lineRule="auto"/>
        <w:tabs>
          <w:tab w:leader="none" w:pos="137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provided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7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 Rights</w:t>
      </w:r>
      <w:r>
        <w:rPr>
          <w:rFonts w:ascii="Arial" w:cs="Arial" w:eastAsia="Arial" w:hAnsi="Arial"/>
          <w:sz w:val="17"/>
          <w:szCs w:val="17"/>
          <w:color w:val="auto"/>
        </w:rPr>
        <w:t>.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 provided that (i) the Lenders will conduct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49" w:name="page250"/>
    <w:bookmarkEnd w:id="249"/>
    <w:p>
      <w:pPr>
        <w:jc w:val="both"/>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84"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Term Loans will be used (a) to finance a portion of the Borrower Cash Distribution and</w:t>
      </w:r>
    </w:p>
    <w:p>
      <w:pPr>
        <w:spacing w:after="0" w:line="23" w:lineRule="exact"/>
        <w:rPr>
          <w:sz w:val="20"/>
          <w:szCs w:val="20"/>
          <w:color w:val="auto"/>
        </w:rPr>
      </w:pPr>
    </w:p>
    <w:p>
      <w:pPr>
        <w:ind w:left="4" w:right="60" w:hanging="4"/>
        <w:spacing w:after="0" w:line="323" w:lineRule="auto"/>
        <w:tabs>
          <w:tab w:leader="none" w:pos="25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to pay fees and expenses associated with the Transactions and the Combination Transactions. No part of the proceeds of the Term Loan will be used, whether directly or indirectly, for any purpose that entails a violation of any of the Regulations of the Board, including Regulations T, U and X.</w:t>
      </w:r>
    </w:p>
    <w:p>
      <w:pPr>
        <w:spacing w:after="0" w:line="138"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Guarantees</w:t>
      </w:r>
      <w:r>
        <w:rPr>
          <w:rFonts w:ascii="Arial" w:cs="Arial" w:eastAsia="Arial" w:hAnsi="Arial"/>
          <w:sz w:val="17"/>
          <w:szCs w:val="17"/>
          <w:color w:val="auto"/>
        </w:rPr>
        <w:t>. (a)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Arial" w:cs="Arial" w:eastAsia="Arial" w:hAnsi="Arial"/>
          <w:sz w:val="17"/>
          <w:szCs w:val="17"/>
          <w:u w:val="single" w:color="auto"/>
          <w:color w:val="auto"/>
        </w:rPr>
        <w:t>Triggering Indebtedness</w:t>
      </w:r>
      <w:r>
        <w:rPr>
          <w:rFonts w:ascii="Arial" w:cs="Arial" w:eastAsia="Arial" w:hAnsi="Arial"/>
          <w:sz w:val="17"/>
          <w:szCs w:val="17"/>
          <w:color w:val="auto"/>
        </w:rPr>
        <w:t xml:space="preserve">”) or (y) Mylan Notes in excess of an aggregate principal amount of $500,000,000 and (ii) if Finco ceases to be an Excluded Finco and would otherwise satisfy clause (a)(i)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(each such joinder, a “</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Joinder Agreement</w:t>
      </w:r>
      <w:r>
        <w:rPr>
          <w:rFonts w:ascii="Arial" w:cs="Arial" w:eastAsia="Arial" w:hAnsi="Arial"/>
          <w:sz w:val="17"/>
          <w:szCs w:val="17"/>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4.01(d) (with such changes as may be appropriate to reflect local law concerns), (D) customary closing documents substantially similar to those delivered pursuant to Section 4.01(e) and (E) other documentation required under applicable Laws (it being understood that any such guarantee of Indebtedness by such Subsidiary shall be subject to the provisions of Section 6.01 of this Agreement). In the event that (1) the Administrative Agent receives evidence reasonably satisfactory to it that any Guarantor (other than Finco)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250" w:name="page251"/>
    <w:bookmarkEnd w:id="250"/>
    <w:p>
      <w:pPr>
        <w:jc w:val="both"/>
        <w:ind w:right="140" w:firstLine="987"/>
        <w:spacing w:after="0" w:line="257" w:lineRule="auto"/>
        <w:tabs>
          <w:tab w:leader="none" w:pos="1378"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not later than one Business Day after the consummation of the Combination, cause each Mylan Guarantor and each other Guarantor to Guarantee the Obligations in favor of the Administrative Agent for the benefit of the Administrative Agent and the Lenders in accordance with Section 5.09(a) and deliver (or cause to be delivered) the documents referred to in Section 5.09(a);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Guarantee of each Mylan Guarantor and each other Guarantor shall be subject to release in accordance with Section 5.09(a) and clause (i) of Article VIII.</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Applicable only from and after the consummation of the Combination until the Commitment has expired or terminated and the principal of and interest on the Term Loan and all fees payable hereunder have been paid in full, the Borrower covenants and agrees with the Administrative Agent and the Lenders that: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260" w:firstLine="987"/>
        <w:spacing w:after="0" w:line="263" w:lineRule="auto"/>
        <w:tabs>
          <w:tab w:leader="none" w:pos="138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firstLine="987"/>
        <w:spacing w:after="0" w:line="284" w:lineRule="auto"/>
        <w:tabs>
          <w:tab w:leader="none" w:pos="138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5.01(a) or (b) and (ii) any Permitted Refinancing Indebtedness in respect of Indebtedness permitted by clause (i) of this clause (d);</w:t>
      </w:r>
    </w:p>
    <w:p>
      <w:pPr>
        <w:spacing w:after="0" w:line="210" w:lineRule="exact"/>
        <w:rPr>
          <w:rFonts w:ascii="Arial" w:cs="Arial" w:eastAsia="Arial" w:hAnsi="Arial"/>
          <w:sz w:val="16"/>
          <w:szCs w:val="16"/>
          <w:color w:val="auto"/>
        </w:rPr>
      </w:pPr>
    </w:p>
    <w:p>
      <w:pPr>
        <w:ind w:right="20" w:firstLine="987"/>
        <w:spacing w:after="0" w:line="263" w:lineRule="auto"/>
        <w:tabs>
          <w:tab w:leader="none" w:pos="13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51" w:name="page252"/>
    <w:bookmarkEnd w:id="251"/>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compensation claims, health, disability or other employee benefits or property, casualty or liability insurance or self-insurance or other Indebtedness with respect to reimbursement-type obligations regarding workers compensation claims;</w:t>
      </w:r>
    </w:p>
    <w:p>
      <w:pPr>
        <w:spacing w:after="0" w:line="170" w:lineRule="exact"/>
        <w:rPr>
          <w:sz w:val="20"/>
          <w:szCs w:val="20"/>
          <w:color w:val="auto"/>
        </w:rPr>
      </w:pPr>
    </w:p>
    <w:p>
      <w:pPr>
        <w:ind w:left="4" w:right="180" w:firstLine="987"/>
        <w:spacing w:after="0" w:line="263" w:lineRule="auto"/>
        <w:tabs>
          <w:tab w:leader="none" w:pos="135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00" w:firstLine="987"/>
        <w:spacing w:after="0" w:line="259" w:lineRule="auto"/>
        <w:tabs>
          <w:tab w:leader="none" w:pos="138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60" w:firstLine="987"/>
        <w:spacing w:after="0" w:line="342" w:lineRule="auto"/>
        <w:tabs>
          <w:tab w:leader="none" w:pos="134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40" w:firstLine="987"/>
        <w:spacing w:after="0" w:line="287" w:lineRule="auto"/>
        <w:tabs>
          <w:tab w:leader="none" w:pos="138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780" w:firstLine="987"/>
        <w:spacing w:after="0" w:line="277" w:lineRule="auto"/>
        <w:tabs>
          <w:tab w:leader="none" w:pos="134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firstLine="987"/>
        <w:spacing w:after="0" w:line="273" w:lineRule="auto"/>
        <w:tabs>
          <w:tab w:leader="none" w:pos="138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$2,500,000,000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4"/>
          </w:cols>
          <w:pgMar w:left="436" w:top="274" w:right="499" w:bottom="1440" w:gutter="0" w:footer="0" w:header="0"/>
        </w:sectPr>
      </w:pPr>
    </w:p>
    <w:bookmarkStart w:id="252" w:name="page253"/>
    <w:bookmarkEnd w:id="252"/>
    <w:p>
      <w:pPr>
        <w:ind w:left="4" w:right="60" w:firstLine="987"/>
        <w:spacing w:after="0" w:line="287" w:lineRule="auto"/>
        <w:tabs>
          <w:tab w:leader="none" w:pos="1385" w:val="left"/>
        </w:tabs>
        <w:numPr>
          <w:ilvl w:val="1"/>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210" w:lineRule="exact"/>
        <w:rPr>
          <w:rFonts w:ascii="Arial" w:cs="Arial" w:eastAsia="Arial" w:hAnsi="Arial"/>
          <w:sz w:val="18"/>
          <w:szCs w:val="18"/>
          <w:color w:val="auto"/>
        </w:rPr>
      </w:pPr>
    </w:p>
    <w:p>
      <w:pPr>
        <w:ind w:left="4" w:right="380" w:firstLine="987"/>
        <w:spacing w:after="0" w:line="277" w:lineRule="auto"/>
        <w:tabs>
          <w:tab w:leader="none" w:pos="138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supported by a letter of credit under the Revolving Credit Agreement, in a principal amount not to exceed the face amount of such letter of credit;</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left="4" w:right="460" w:firstLine="987"/>
        <w:spacing w:after="0" w:line="277" w:lineRule="auto"/>
        <w:tabs>
          <w:tab w:leader="none" w:pos="136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4" w:hanging="373"/>
        <w:spacing w:after="0"/>
        <w:tabs>
          <w:tab w:leader="none" w:pos="13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4" w:right="280" w:firstLine="987"/>
        <w:spacing w:after="0" w:line="275" w:lineRule="auto"/>
        <w:tabs>
          <w:tab w:leader="none" w:pos="138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76" w:lineRule="exact"/>
        <w:rPr>
          <w:rFonts w:ascii="Arial" w:cs="Arial" w:eastAsia="Arial" w:hAnsi="Arial"/>
          <w:sz w:val="17"/>
          <w:szCs w:val="17"/>
          <w:color w:val="auto"/>
        </w:rPr>
      </w:pPr>
    </w:p>
    <w:p>
      <w:pPr>
        <w:ind w:left="4" w:firstLine="987"/>
        <w:spacing w:after="0" w:line="272" w:lineRule="auto"/>
        <w:tabs>
          <w:tab w:leader="none" w:pos="137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4"/>
          </w:cols>
          <w:pgMar w:left="436" w:top="274" w:right="499" w:bottom="1440" w:gutter="0" w:footer="0" w:header="0"/>
        </w:sectPr>
      </w:pPr>
    </w:p>
    <w:bookmarkStart w:id="253" w:name="page254"/>
    <w:bookmarkEnd w:id="253"/>
    <w:p>
      <w:pPr>
        <w:ind w:left="4" w:right="20" w:firstLine="987"/>
        <w:spacing w:after="0" w:line="288" w:lineRule="auto"/>
        <w:tabs>
          <w:tab w:leader="none" w:pos="1385" w:val="left"/>
        </w:tabs>
        <w:numPr>
          <w:ilvl w:val="1"/>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Liens on fixed or capital assets acquired, constructed, repaired, replaced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fixed or capital assets provided by one lender may be cross-collateralized to other financings of fixed or capital assets provided by such lender;</w:t>
      </w:r>
    </w:p>
    <w:p>
      <w:pPr>
        <w:spacing w:after="0" w:line="168" w:lineRule="exact"/>
        <w:rPr>
          <w:rFonts w:ascii="Arial" w:cs="Arial" w:eastAsia="Arial" w:hAnsi="Arial"/>
          <w:sz w:val="16"/>
          <w:szCs w:val="16"/>
          <w:color w:val="auto"/>
        </w:rPr>
      </w:pPr>
    </w:p>
    <w:p>
      <w:pPr>
        <w:ind w:left="4" w:right="60" w:firstLine="987"/>
        <w:spacing w:after="0" w:line="259" w:lineRule="auto"/>
        <w:tabs>
          <w:tab w:leader="none" w:pos="1375" w:val="left"/>
        </w:tabs>
        <w:numPr>
          <w:ilvl w:val="1"/>
          <w:numId w:val="291"/>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254" w:name="page255"/>
    <w:bookmarkEnd w:id="254"/>
    <w:p>
      <w:pPr>
        <w:ind w:left="1384" w:hanging="393"/>
        <w:spacing w:after="0"/>
        <w:tabs>
          <w:tab w:leader="none" w:pos="1384" w:val="left"/>
        </w:tabs>
        <w:numPr>
          <w:ilvl w:val="1"/>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38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294"/>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5" w:lineRule="exact"/>
        <w:rPr>
          <w:sz w:val="20"/>
          <w:szCs w:val="20"/>
          <w:color w:val="auto"/>
        </w:rPr>
      </w:pPr>
    </w:p>
    <w:p>
      <w:pPr>
        <w:ind w:left="4" w:hanging="4"/>
        <w:spacing w:after="0" w:line="271" w:lineRule="auto"/>
        <w:tabs>
          <w:tab w:leader="none" w:pos="22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$2,500,000,000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78" w:lineRule="exact"/>
        <w:rPr>
          <w:rFonts w:ascii="Arial" w:cs="Arial" w:eastAsia="Arial" w:hAnsi="Arial"/>
          <w:sz w:val="17"/>
          <w:szCs w:val="17"/>
          <w:color w:val="auto"/>
        </w:rPr>
      </w:pPr>
    </w:p>
    <w:p>
      <w:pPr>
        <w:ind w:left="1364" w:hanging="373"/>
        <w:spacing w:after="0"/>
        <w:tabs>
          <w:tab w:leader="none" w:pos="136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left="4" w:right="240" w:firstLine="987"/>
        <w:spacing w:after="0" w:line="342" w:lineRule="auto"/>
        <w:tabs>
          <w:tab w:leader="none" w:pos="134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4" w:right="20" w:firstLine="987"/>
        <w:spacing w:after="0" w:line="277" w:lineRule="auto"/>
        <w:tabs>
          <w:tab w:leader="none" w:pos="138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255" w:name="page256"/>
    <w:bookmarkEnd w:id="255"/>
    <w:p>
      <w:pPr>
        <w:ind w:left="1384" w:hanging="393"/>
        <w:spacing w:after="0"/>
        <w:tabs>
          <w:tab w:leader="none" w:pos="13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left="4" w:right="100" w:firstLine="987"/>
        <w:spacing w:after="0" w:line="277" w:lineRule="auto"/>
        <w:tabs>
          <w:tab w:leader="none" w:pos="142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Liens on Cash Equivalents deposited as cash collateral on letters of credit as contemplated by the Revolving Credit Agreement;</w:t>
      </w:r>
    </w:p>
    <w:p>
      <w:pPr>
        <w:spacing w:after="0" w:line="236" w:lineRule="exact"/>
        <w:rPr>
          <w:rFonts w:ascii="Arial" w:cs="Arial" w:eastAsia="Arial" w:hAnsi="Arial"/>
          <w:sz w:val="17"/>
          <w:szCs w:val="17"/>
          <w:color w:val="auto"/>
        </w:rPr>
      </w:pPr>
    </w:p>
    <w:p>
      <w:pPr>
        <w:ind w:left="4" w:right="20" w:firstLine="987"/>
        <w:spacing w:after="0" w:line="277" w:lineRule="auto"/>
        <w:tabs>
          <w:tab w:leader="none" w:pos="138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left="4" w:right="260" w:firstLine="987"/>
        <w:spacing w:after="0" w:line="311" w:lineRule="auto"/>
        <w:tabs>
          <w:tab w:leader="none" w:pos="137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provided that any Investment in connection therewith is otherwise permitted by Section 6.05; and provided further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w:t>
      </w:r>
    </w:p>
    <w:p>
      <w:pPr>
        <w:spacing w:after="0" w:line="2" w:lineRule="exact"/>
        <w:rPr>
          <w:sz w:val="20"/>
          <w:szCs w:val="20"/>
          <w:color w:val="auto"/>
        </w:rPr>
      </w:pPr>
    </w:p>
    <w:p>
      <w:pPr>
        <w:ind w:left="4" w:hanging="4"/>
        <w:spacing w:after="0" w:line="252" w:lineRule="auto"/>
        <w:tabs>
          <w:tab w:leader="none" w:pos="25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256" w:name="page257"/>
    <w:bookmarkEnd w:id="256"/>
    <w:p>
      <w:pPr>
        <w:jc w:val="both"/>
        <w:ind w:left="4"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w:t>
      </w:r>
    </w:p>
    <w:p>
      <w:pPr>
        <w:ind w:left="4" w:right="180" w:hanging="4"/>
        <w:spacing w:after="0" w:line="271" w:lineRule="auto"/>
        <w:tabs>
          <w:tab w:leader="none" w:pos="25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and will not allow any of its Subsidiaries to make or hold any Investments, except:</w:t>
      </w:r>
    </w:p>
    <w:p>
      <w:pPr>
        <w:spacing w:after="0" w:line="225" w:lineRule="exact"/>
        <w:rPr>
          <w:sz w:val="20"/>
          <w:szCs w:val="20"/>
          <w:color w:val="auto"/>
        </w:rPr>
      </w:pPr>
    </w:p>
    <w:p>
      <w:pPr>
        <w:ind w:left="1364" w:hanging="373"/>
        <w:spacing w:after="0"/>
        <w:tabs>
          <w:tab w:leader="none" w:pos="13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left="4" w:firstLine="987"/>
        <w:spacing w:after="0" w:line="301" w:lineRule="auto"/>
        <w:tabs>
          <w:tab w:leader="none" w:pos="138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64" w:hanging="373"/>
        <w:spacing w:after="0"/>
        <w:tabs>
          <w:tab w:leader="none" w:pos="13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left="4" w:right="100" w:firstLine="987"/>
        <w:spacing w:after="0" w:line="255" w:lineRule="auto"/>
        <w:tabs>
          <w:tab w:leader="none" w:pos="138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92" w:lineRule="exact"/>
        <w:rPr>
          <w:rFonts w:ascii="Arial" w:cs="Arial" w:eastAsia="Arial" w:hAnsi="Arial"/>
          <w:sz w:val="18"/>
          <w:szCs w:val="18"/>
          <w:color w:val="auto"/>
        </w:rPr>
      </w:pPr>
    </w:p>
    <w:p>
      <w:pPr>
        <w:ind w:left="4" w:right="80" w:firstLine="987"/>
        <w:spacing w:after="0" w:line="259" w:lineRule="auto"/>
        <w:tabs>
          <w:tab w:leader="none" w:pos="137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in Swap Agreements in the ordinary course of business;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257" w:name="page258"/>
    <w:bookmarkEnd w:id="257"/>
    <w:p>
      <w:pPr>
        <w:ind w:right="180" w:firstLine="987"/>
        <w:spacing w:after="0" w:line="277" w:lineRule="auto"/>
        <w:tabs>
          <w:tab w:leader="none" w:pos="13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right="720" w:firstLine="987"/>
        <w:spacing w:after="0" w:line="342" w:lineRule="auto"/>
        <w:tabs>
          <w:tab w:leader="none" w:pos="134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advances of payroll payments, fees or other compensation to officers, directors, consultants or employees,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94" w:lineRule="exact"/>
        <w:rPr>
          <w:rFonts w:ascii="Arial" w:cs="Arial" w:eastAsia="Arial" w:hAnsi="Arial"/>
          <w:sz w:val="18"/>
          <w:szCs w:val="18"/>
          <w:color w:val="auto"/>
        </w:rPr>
      </w:pPr>
    </w:p>
    <w:p>
      <w:pPr>
        <w:ind w:right="60" w:firstLine="987"/>
        <w:spacing w:after="0" w:line="263" w:lineRule="auto"/>
        <w:tabs>
          <w:tab w:leader="none" w:pos="135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258" w:name="page259"/>
    <w:bookmarkEnd w:id="25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Schedule 6.06, in each case, with officers, directors, consultants and employees of the Borrower or its Subsidiaries,</w:t>
      </w:r>
    </w:p>
    <w:p>
      <w:pPr>
        <w:spacing w:after="0" w:line="2" w:lineRule="exact"/>
        <w:rPr>
          <w:sz w:val="20"/>
          <w:szCs w:val="20"/>
          <w:color w:val="auto"/>
        </w:rPr>
      </w:pPr>
    </w:p>
    <w:p>
      <w:pPr>
        <w:ind w:left="4" w:right="60" w:hanging="4"/>
        <w:spacing w:after="0" w:line="284" w:lineRule="auto"/>
        <w:tabs>
          <w:tab w:leader="none" w:pos="25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transactions pursuant to the agreements set forth in Schedule 6.06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Schedule 6.06,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174" w:lineRule="exact"/>
        <w:rPr>
          <w:sz w:val="20"/>
          <w:szCs w:val="20"/>
          <w:color w:val="auto"/>
        </w:rPr>
      </w:pPr>
    </w:p>
    <w:p>
      <w:pPr>
        <w:jc w:val="center"/>
        <w:ind w:right="56"/>
        <w:spacing w:after="0"/>
        <w:tabs>
          <w:tab w:leader="none" w:pos="1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The Borrower will not permit the Consolidated Leverage Ratio as of the last day of any fiscal quarter</w:t>
      </w:r>
    </w:p>
    <w:p>
      <w:pPr>
        <w:spacing w:after="0" w:line="23" w:lineRule="exact"/>
        <w:rPr>
          <w:sz w:val="20"/>
          <w:szCs w:val="20"/>
          <w:color w:val="auto"/>
        </w:rPr>
      </w:pPr>
    </w:p>
    <w:p>
      <w:pPr>
        <w:ind w:left="4" w:right="120" w:hanging="4"/>
        <w:spacing w:after="0" w:line="253" w:lineRule="auto"/>
        <w:tabs>
          <w:tab w:leader="none" w:pos="25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ended on or prior to the first four full fiscal quarters ending after the Closing Date to exceed 4.25 to 1.00 and (y) any fiscal quarter thereafter to exceed 3.75 to 1.00; provided that in lieu of the ratio set forth in this clause (y),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3"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and will not permit any of its Subsidiaries to, engage to any material extent in any business substantially different from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259" w:name="page260"/>
    <w:bookmarkEnd w:id="259"/>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businesses of the type conducted by the Borrower and its Subsidiaries on the date of execution of this Agreement and businesses reasonably related, ancillary or complementary thereto and reasonable extensions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 (other than the event set forth in paragraph (o) below):</w:t>
      </w:r>
    </w:p>
    <w:p>
      <w:pPr>
        <w:spacing w:after="0" w:line="170" w:lineRule="exact"/>
        <w:rPr>
          <w:sz w:val="20"/>
          <w:szCs w:val="20"/>
          <w:color w:val="auto"/>
        </w:rPr>
      </w:pPr>
    </w:p>
    <w:p>
      <w:pPr>
        <w:ind w:firstLine="987"/>
        <w:spacing w:after="0" w:line="277"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pay any principal of the Term Loan when and as the same shall become due and payable, whether at the due date thereof or at a date fixed for prepayment thereof or otherwise;</w:t>
      </w:r>
    </w:p>
    <w:p>
      <w:pPr>
        <w:spacing w:after="0" w:line="170" w:lineRule="exact"/>
        <w:rPr>
          <w:rFonts w:ascii="Arial" w:cs="Arial" w:eastAsia="Arial" w:hAnsi="Arial"/>
          <w:sz w:val="18"/>
          <w:szCs w:val="18"/>
          <w:color w:val="auto"/>
        </w:rPr>
      </w:pPr>
    </w:p>
    <w:p>
      <w:pPr>
        <w:ind w:right="420" w:firstLine="987"/>
        <w:spacing w:after="0" w:line="263" w:lineRule="auto"/>
        <w:tabs>
          <w:tab w:leader="none" w:pos="138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pay any interest on the Term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ind w:firstLine="987"/>
        <w:spacing w:after="0" w:line="279" w:lineRule="auto"/>
        <w:tabs>
          <w:tab w:leader="none" w:pos="137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right="20" w:firstLine="987"/>
        <w:spacing w:after="0" w:line="277" w:lineRule="auto"/>
        <w:tabs>
          <w:tab w:leader="none" w:pos="138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Section 5.09(b) or Article VI;</w:t>
      </w:r>
    </w:p>
    <w:p>
      <w:pPr>
        <w:spacing w:after="0" w:line="170" w:lineRule="exact"/>
        <w:rPr>
          <w:rFonts w:ascii="Arial" w:cs="Arial" w:eastAsia="Arial" w:hAnsi="Arial"/>
          <w:sz w:val="18"/>
          <w:szCs w:val="18"/>
          <w:color w:val="auto"/>
        </w:rPr>
      </w:pPr>
    </w:p>
    <w:p>
      <w:pPr>
        <w:ind w:right="140" w:firstLine="987"/>
        <w:spacing w:after="0" w:line="263"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83" w:lineRule="exact"/>
        <w:rPr>
          <w:rFonts w:ascii="Arial" w:cs="Arial" w:eastAsia="Arial" w:hAnsi="Arial"/>
          <w:sz w:val="18"/>
          <w:szCs w:val="18"/>
          <w:color w:val="auto"/>
        </w:rPr>
      </w:pPr>
    </w:p>
    <w:p>
      <w:pPr>
        <w:ind w:right="20" w:firstLine="987"/>
        <w:spacing w:after="0" w:line="271" w:lineRule="auto"/>
        <w:tabs>
          <w:tab w:leader="none" w:pos="135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60" w:name="page261"/>
    <w:bookmarkEnd w:id="260"/>
    <w:p>
      <w:pPr>
        <w:ind w:left="4" w:right="100" w:firstLine="987"/>
        <w:spacing w:after="0" w:line="284" w:lineRule="auto"/>
        <w:tabs>
          <w:tab w:leader="none" w:pos="1385" w:val="left"/>
        </w:tabs>
        <w:numPr>
          <w:ilvl w:val="1"/>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w:t>
      </w:r>
    </w:p>
    <w:p>
      <w:pPr>
        <w:spacing w:after="0" w:line="2" w:lineRule="exact"/>
        <w:rPr>
          <w:rFonts w:ascii="Arial" w:cs="Arial" w:eastAsia="Arial" w:hAnsi="Arial"/>
          <w:sz w:val="16"/>
          <w:szCs w:val="16"/>
          <w:color w:val="auto"/>
        </w:rPr>
      </w:pPr>
    </w:p>
    <w:p>
      <w:pPr>
        <w:ind w:left="4" w:right="300" w:hanging="4"/>
        <w:spacing w:after="0" w:line="290" w:lineRule="auto"/>
        <w:tabs>
          <w:tab w:leader="none" w:pos="269"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61" w:lineRule="exact"/>
        <w:rPr>
          <w:rFonts w:ascii="Arial" w:cs="Arial" w:eastAsia="Arial" w:hAnsi="Arial"/>
          <w:sz w:val="17"/>
          <w:szCs w:val="17"/>
          <w:color w:val="auto"/>
        </w:rPr>
      </w:pPr>
    </w:p>
    <w:p>
      <w:pPr>
        <w:ind w:left="4" w:right="240" w:firstLine="987"/>
        <w:spacing w:after="0" w:line="293" w:lineRule="auto"/>
        <w:tabs>
          <w:tab w:leader="none" w:pos="138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left="4" w:firstLine="987"/>
        <w:spacing w:after="0" w:line="254" w:lineRule="auto"/>
        <w:tabs>
          <w:tab w:leader="none" w:pos="134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94" w:lineRule="exact"/>
        <w:rPr>
          <w:rFonts w:ascii="Arial" w:cs="Arial" w:eastAsia="Arial" w:hAnsi="Arial"/>
          <w:sz w:val="18"/>
          <w:szCs w:val="18"/>
          <w:color w:val="auto"/>
        </w:rPr>
      </w:pPr>
    </w:p>
    <w:p>
      <w:pPr>
        <w:ind w:left="4" w:right="180" w:firstLine="987"/>
        <w:spacing w:after="0" w:line="277" w:lineRule="auto"/>
        <w:tabs>
          <w:tab w:leader="none" w:pos="134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Loan Party or any Material Subsidiary shall become generally unable, admit in writing its inability generally or fail generally to pay its debts as they become due;</w:t>
      </w:r>
    </w:p>
    <w:p>
      <w:pPr>
        <w:spacing w:after="0" w:line="170" w:lineRule="exact"/>
        <w:rPr>
          <w:rFonts w:ascii="Arial" w:cs="Arial" w:eastAsia="Arial" w:hAnsi="Arial"/>
          <w:sz w:val="18"/>
          <w:szCs w:val="18"/>
          <w:color w:val="auto"/>
        </w:rPr>
      </w:pPr>
    </w:p>
    <w:p>
      <w:pPr>
        <w:ind w:left="4" w:right="20" w:firstLine="987"/>
        <w:spacing w:after="0" w:line="259" w:lineRule="auto"/>
        <w:tabs>
          <w:tab w:leader="none" w:pos="138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4"/>
          </w:cols>
          <w:pgMar w:left="436" w:top="274" w:right="439" w:bottom="1440" w:gutter="0" w:footer="0" w:header="0"/>
        </w:sectPr>
      </w:pPr>
    </w:p>
    <w:bookmarkStart w:id="261" w:name="page262"/>
    <w:bookmarkEnd w:id="261"/>
    <w:p>
      <w:pPr>
        <w:ind w:right="80" w:firstLine="987"/>
        <w:spacing w:after="0" w:line="277" w:lineRule="auto"/>
        <w:tabs>
          <w:tab w:leader="none" w:pos="13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right="20" w:firstLine="987"/>
        <w:spacing w:after="0" w:line="291" w:lineRule="auto"/>
        <w:tabs>
          <w:tab w:leader="none" w:pos="138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5.09(a)), or purports in writing to revoke or rescind any Guarantee Agreement, in each case with respect to a material provision of any such Guarantee Agreement; or</w:t>
      </w:r>
    </w:p>
    <w:p>
      <w:pPr>
        <w:spacing w:after="0" w:line="166" w:lineRule="exact"/>
        <w:rPr>
          <w:rFonts w:ascii="Arial" w:cs="Arial" w:eastAsia="Arial" w:hAnsi="Arial"/>
          <w:sz w:val="16"/>
          <w:szCs w:val="16"/>
          <w:color w:val="auto"/>
        </w:rPr>
      </w:pPr>
    </w:p>
    <w:p>
      <w:pPr>
        <w:ind w:left="1380" w:hanging="393"/>
        <w:spacing w:after="0"/>
        <w:tabs>
          <w:tab w:leader="none" w:pos="138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Combination Transactions shall fail for any reason to be consummated within two Business Days following the Closing Date,</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declare the Term Loan then outstanding to be due and payable in whole (or in part, in which case any principal not so declared to be due and payable may thereafter be declared to be due and payable), and thereupon the principal of the Term Loan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principal of the Term Loan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firstLine="987"/>
        <w:spacing w:after="0" w:line="263" w:lineRule="auto"/>
        <w:tabs>
          <w:tab w:leader="none" w:pos="137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of the Lenders hereby irrevocably appoints MUFG Bank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262" w:name="page263"/>
    <w:bookmarkEnd w:id="26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such actions and powers as are reasonably incidental thereto. The provisions of this Article VIII and Article XI are solely for the benefit of the Administrative Agent and the Lenders,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1" w:lineRule="exact"/>
        <w:rPr>
          <w:sz w:val="20"/>
          <w:szCs w:val="20"/>
          <w:color w:val="auto"/>
        </w:rPr>
      </w:pPr>
    </w:p>
    <w:p>
      <w:pPr>
        <w:ind w:right="40" w:firstLine="987"/>
        <w:spacing w:after="0" w:line="272" w:lineRule="auto"/>
        <w:tabs>
          <w:tab w:leader="none" w:pos="137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77" w:lineRule="exact"/>
        <w:rPr>
          <w:rFonts w:ascii="Arial" w:cs="Arial" w:eastAsia="Arial" w:hAnsi="Arial"/>
          <w:sz w:val="17"/>
          <w:szCs w:val="17"/>
          <w:color w:val="auto"/>
        </w:rPr>
      </w:pPr>
    </w:p>
    <w:p>
      <w:pPr>
        <w:ind w:firstLine="987"/>
        <w:spacing w:after="0" w:line="267" w:lineRule="auto"/>
        <w:tabs>
          <w:tab w:leader="none" w:pos="13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263" w:name="page264"/>
    <w:bookmarkEnd w:id="26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competent jurisdiction by final and non-appealable judgment, and the Administrative Agent shall be deemed not to have knowledge of any Default unless and until written notice describing such Default thereof is given to the Administrative Agent by the Borrower or a Lender; and (e) shall not be responsible for or have any duty or obligation to any Lender,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65" w:lineRule="exact"/>
        <w:rPr>
          <w:sz w:val="20"/>
          <w:szCs w:val="20"/>
          <w:color w:val="auto"/>
        </w:rPr>
      </w:pPr>
    </w:p>
    <w:p>
      <w:pPr>
        <w:ind w:firstLine="987"/>
        <w:spacing w:after="0" w:line="270" w:lineRule="auto"/>
        <w:tabs>
          <w:tab w:leader="none" w:pos="137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0" w:lineRule="exact"/>
        <w:rPr>
          <w:rFonts w:ascii="Arial" w:cs="Arial" w:eastAsia="Arial" w:hAnsi="Arial"/>
          <w:sz w:val="17"/>
          <w:szCs w:val="17"/>
          <w:color w:val="auto"/>
        </w:rPr>
      </w:pPr>
    </w:p>
    <w:p>
      <w:pPr>
        <w:ind w:right="20" w:firstLine="987"/>
        <w:spacing w:after="0" w:line="254" w:lineRule="auto"/>
        <w:tabs>
          <w:tab w:leader="none" w:pos="13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ind w:right="160" w:firstLine="1428"/>
        <w:spacing w:after="0" w:line="308" w:lineRule="auto"/>
        <w:tabs>
          <w:tab w:leader="none" w:pos="177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and (unless an Event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264" w:name="page265"/>
    <w:bookmarkEnd w:id="26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77" w:lineRule="exact"/>
        <w:rPr>
          <w:sz w:val="20"/>
          <w:szCs w:val="20"/>
          <w:color w:val="auto"/>
        </w:rPr>
      </w:pPr>
    </w:p>
    <w:p>
      <w:pPr>
        <w:ind w:firstLine="1428"/>
        <w:spacing w:after="0" w:line="289" w:lineRule="auto"/>
        <w:tabs>
          <w:tab w:leader="none" w:pos="183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66" w:lineRule="exact"/>
        <w:rPr>
          <w:rFonts w:ascii="Arial" w:cs="Arial" w:eastAsia="Arial" w:hAnsi="Arial"/>
          <w:sz w:val="16"/>
          <w:szCs w:val="16"/>
          <w:color w:val="auto"/>
        </w:rPr>
      </w:pPr>
    </w:p>
    <w:p>
      <w:pPr>
        <w:ind w:firstLine="1428"/>
        <w:spacing w:after="0" w:line="286" w:lineRule="auto"/>
        <w:tabs>
          <w:tab w:leader="none" w:pos="187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440" w:top="274" w:right="539" w:bottom="1440" w:gutter="0" w:footer="0" w:header="0"/>
        </w:sectPr>
      </w:pPr>
    </w:p>
    <w:bookmarkStart w:id="265" w:name="page266"/>
    <w:bookmarkEnd w:id="265"/>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49" w:lineRule="exact"/>
        <w:rPr>
          <w:sz w:val="20"/>
          <w:szCs w:val="20"/>
          <w:color w:val="auto"/>
        </w:rPr>
      </w:pPr>
    </w:p>
    <w:p>
      <w:pPr>
        <w:ind w:firstLine="987"/>
        <w:spacing w:after="0" w:line="284" w:lineRule="auto"/>
        <w:tabs>
          <w:tab w:leader="none" w:pos="138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as to any matter, including whether the Administrative Agent or any Arranger have disclosed material information in their (or their Related Parties’) possession. Each Lender represents to the Administrative Agent and the Arrangers that it has, independently and without reliance upon the Administrative Agent, the Arrangers,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Arrangers,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party hereto, each Lender represents and warrants that (i) it is the intention of such Lender that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8" w:lineRule="exact"/>
        <w:rPr>
          <w:rFonts w:ascii="Arial" w:cs="Arial" w:eastAsia="Arial" w:hAnsi="Arial"/>
          <w:sz w:val="16"/>
          <w:szCs w:val="16"/>
          <w:color w:val="auto"/>
        </w:rPr>
      </w:pPr>
    </w:p>
    <w:p>
      <w:pPr>
        <w:ind w:left="1380" w:hanging="393"/>
        <w:spacing w:after="0"/>
        <w:tabs>
          <w:tab w:leader="none" w:pos="13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987"/>
        <w:spacing w:after="0" w:line="263" w:lineRule="auto"/>
        <w:tabs>
          <w:tab w:leader="none" w:pos="133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Lenders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266" w:name="page267"/>
    <w:bookmarkEnd w:id="26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88" w:lineRule="exact"/>
        <w:rPr>
          <w:sz w:val="20"/>
          <w:szCs w:val="20"/>
          <w:color w:val="auto"/>
        </w:rPr>
      </w:pPr>
    </w:p>
    <w:p>
      <w:pPr>
        <w:ind w:right="100" w:firstLine="987"/>
        <w:spacing w:after="0" w:line="263" w:lineRule="auto"/>
        <w:tabs>
          <w:tab w:leader="none" w:pos="133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or a Lender hereunder.</w:t>
      </w:r>
    </w:p>
    <w:p>
      <w:pPr>
        <w:spacing w:after="0" w:line="183" w:lineRule="exact"/>
        <w:rPr>
          <w:rFonts w:ascii="Arial" w:cs="Arial" w:eastAsia="Arial" w:hAnsi="Arial"/>
          <w:sz w:val="18"/>
          <w:szCs w:val="18"/>
          <w:color w:val="auto"/>
        </w:rPr>
      </w:pPr>
    </w:p>
    <w:p>
      <w:pPr>
        <w:ind w:right="60" w:firstLine="987"/>
        <w:spacing w:after="0" w:line="270" w:lineRule="auto"/>
        <w:tabs>
          <w:tab w:leader="none" w:pos="137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Term Loan, the Commitment and this Agreement, (y) may recognize a gain if it extended the Term Loan or the Commitment for an amount less than the amount being paid for an interest in the Term Loan or the Commitment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57" w:lineRule="auto"/>
        <w:tabs>
          <w:tab w:leader="none" w:pos="1371"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(including the Borrowing Request and any notice given under Section 2.08(c) or Section 2.10(b))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7" w:lineRule="exact"/>
        <w:rPr>
          <w:rFonts w:ascii="Arial" w:cs="Arial" w:eastAsia="Arial" w:hAnsi="Arial"/>
          <w:sz w:val="18"/>
          <w:szCs w:val="18"/>
          <w:color w:val="auto"/>
        </w:rPr>
      </w:pPr>
    </w:p>
    <w:p>
      <w:pPr>
        <w:ind w:right="540" w:firstLine="1428"/>
        <w:spacing w:after="0" w:line="277" w:lineRule="auto"/>
        <w:tabs>
          <w:tab w:leader="none" w:pos="178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if to any Loan Party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267" w:name="page268"/>
    <w:bookmarkEnd w:id="267"/>
    <w:p>
      <w:pPr>
        <w:ind w:left="4" w:right="760" w:firstLine="1428"/>
        <w:spacing w:after="0" w:line="277" w:lineRule="auto"/>
        <w:tabs>
          <w:tab w:leader="none" w:pos="1836"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any other Lender, to the address, telecopier number, electronic mail address or telephone number specified in its Administrative Questionnaire.</w:t>
      </w:r>
    </w:p>
    <w:p>
      <w:pPr>
        <w:spacing w:after="0" w:line="170"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4" w:firstLine="987"/>
        <w:spacing w:after="0" w:line="273" w:lineRule="auto"/>
        <w:tabs>
          <w:tab w:leader="none" w:pos="138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8"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right="20" w:hanging="4"/>
        <w:spacing w:after="0" w:line="255" w:lineRule="auto"/>
        <w:tabs>
          <w:tab w:leader="none" w:pos="26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100" w:firstLine="987"/>
        <w:spacing w:after="0" w:line="253" w:lineRule="auto"/>
        <w:tabs>
          <w:tab w:leader="none" w:pos="1375"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268" w:name="page269"/>
    <w:bookmarkEnd w:id="268"/>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Loan Party, any Lender or any other Person for indirect, special, incidental, consequential or punitive damages (as opposed to direct or actual damages).</w:t>
      </w:r>
    </w:p>
    <w:p>
      <w:pPr>
        <w:spacing w:after="0" w:line="149" w:lineRule="exact"/>
        <w:rPr>
          <w:sz w:val="20"/>
          <w:szCs w:val="20"/>
          <w:color w:val="auto"/>
        </w:rPr>
      </w:pPr>
    </w:p>
    <w:p>
      <w:pPr>
        <w:ind w:firstLine="987"/>
        <w:spacing w:after="0" w:line="269" w:lineRule="auto"/>
        <w:tabs>
          <w:tab w:leader="none" w:pos="138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(with respect to the notice address for the Loan Parties),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81" w:lineRule="exact"/>
        <w:rPr>
          <w:rFonts w:ascii="Arial" w:cs="Arial" w:eastAsia="Arial" w:hAnsi="Arial"/>
          <w:sz w:val="17"/>
          <w:szCs w:val="17"/>
          <w:color w:val="auto"/>
        </w:rPr>
      </w:pPr>
    </w:p>
    <w:p>
      <w:pPr>
        <w:ind w:right="20" w:firstLine="987"/>
        <w:spacing w:after="0" w:line="254" w:lineRule="auto"/>
        <w:tabs>
          <w:tab w:leader="none" w:pos="1371"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or electronic notices and Borrowing Request)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30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55" w:lineRule="auto"/>
        <w:tabs>
          <w:tab w:leader="none" w:pos="137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Loan Party therefrom shall in any event be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269" w:name="page270"/>
    <w:bookmarkEnd w:id="269"/>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unless the same shall be permitted by paragraph (b) of this Section, and then such waiver or consent shall be effective only in the specific instance and for the purpose for which given. Without limiting the generality of the foregoing, the making of the Term Loan shall not be construed as a waiver of any Default, regardless of whether the Administrative Agent or any Lender may have had notice or knowledge of such Default at the time.</w:t>
      </w:r>
    </w:p>
    <w:p>
      <w:pPr>
        <w:spacing w:after="0" w:line="149" w:lineRule="exact"/>
        <w:rPr>
          <w:sz w:val="20"/>
          <w:szCs w:val="20"/>
          <w:color w:val="auto"/>
        </w:rPr>
      </w:pPr>
    </w:p>
    <w:p>
      <w:pPr>
        <w:ind w:firstLine="987"/>
        <w:spacing w:after="0" w:line="284" w:lineRule="auto"/>
        <w:tabs>
          <w:tab w:leader="none" w:pos="138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shall not constitute an increase of any Commitment of any Lender, (ii) reduce the principal amount of the Term Loan or reduce the rate of interest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2.12(c) or to waive any obligation of the Borrower to pay interest at the rate set forth therein, (iii) postpone the scheduled date of payment of the principal amount of the Term Loan, or any interest thereon, or any fees payable hereunder, or reduce the amount of, waive or excuse any such payment, or postpone the scheduled date of expiration of any Commitment, without the written consent of each Lender directly affected thereby, (iv) change Section 2.17(b) or (c) in a manner that would alter the pro rata sharing of payments required thereby, without the written consent of each Lender directly affected thereby, (v) change any of the provisions of this Section,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all or substantially all of the Guarantors from their obligations under any Guarantee Agreement (other than pursuant to the proviso set forth in Section 5.09(a)), without the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(1) no such agreement shall amend, modify or otherwise affect the rights or duties of the Administrative Agent hereunder without the prior written consent of the Administrative Agent,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Loans held or deemed held by any Defaulting Lender shall be excluded for a vote of the Lenders hereunder requiring any consent of less than all affected Lenders).</w:t>
      </w:r>
    </w:p>
    <w:p>
      <w:pPr>
        <w:spacing w:after="0" w:line="200" w:lineRule="exact"/>
        <w:rPr>
          <w:sz w:val="20"/>
          <w:szCs w:val="20"/>
          <w:color w:val="auto"/>
        </w:rPr>
      </w:pPr>
    </w:p>
    <w:p>
      <w:pPr>
        <w:spacing w:after="0" w:line="30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17" w:lineRule="exact"/>
        <w:rPr>
          <w:sz w:val="20"/>
          <w:szCs w:val="20"/>
          <w:color w:val="auto"/>
        </w:rPr>
      </w:pPr>
    </w:p>
    <w:p>
      <w:pPr>
        <w:ind w:right="620" w:firstLine="987"/>
        <w:spacing w:after="0" w:line="342" w:lineRule="auto"/>
        <w:tabs>
          <w:tab w:leader="none" w:pos="136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440" w:top="274" w:right="519" w:bottom="1440" w:gutter="0" w:footer="0" w:header="0"/>
        </w:sectPr>
      </w:pPr>
    </w:p>
    <w:bookmarkStart w:id="270" w:name="page271"/>
    <w:bookmarkEnd w:id="270"/>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Term Loan made hereunder, including all such reasonable and documented out-of-pocket expenses incurred during any workout, restructuring or negotiations in respect of such Term Loan.</w:t>
      </w:r>
    </w:p>
    <w:p>
      <w:pPr>
        <w:spacing w:after="0" w:line="165" w:lineRule="exact"/>
        <w:rPr>
          <w:sz w:val="20"/>
          <w:szCs w:val="20"/>
          <w:color w:val="auto"/>
        </w:rPr>
      </w:pPr>
    </w:p>
    <w:p>
      <w:pPr>
        <w:ind w:left="4" w:right="80" w:firstLine="987"/>
        <w:spacing w:after="0" w:line="285" w:lineRule="auto"/>
        <w:tabs>
          <w:tab w:leader="none" w:pos="138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w:t>
      </w:r>
    </w:p>
    <w:p>
      <w:pPr>
        <w:spacing w:after="0" w:line="1" w:lineRule="exact"/>
        <w:rPr>
          <w:rFonts w:ascii="Arial" w:cs="Arial" w:eastAsia="Arial" w:hAnsi="Arial"/>
          <w:sz w:val="16"/>
          <w:szCs w:val="16"/>
          <w:color w:val="auto"/>
        </w:rPr>
      </w:pPr>
    </w:p>
    <w:p>
      <w:pPr>
        <w:ind w:left="4" w:right="20" w:hanging="4"/>
        <w:spacing w:after="0" w:line="267" w:lineRule="auto"/>
        <w:tabs>
          <w:tab w:leader="none" w:pos="21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the execution or delivery of this Agreement or any agreement or instrument contemplated hereby, the performance by the parties hereto of their respective obligations hereunder or the consummation of the Transactions or from and after, as applicable, consummation of the Combination or any other transactions contemplated hereby, (ii) the Term Loan or the use of the proceeds therefrom,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 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and any Arranger,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1" w:lineRule="exact"/>
        <w:rPr>
          <w:rFonts w:ascii="Arial" w:cs="Arial" w:eastAsia="Arial" w:hAnsi="Arial"/>
          <w:sz w:val="17"/>
          <w:szCs w:val="17"/>
          <w:color w:val="auto"/>
        </w:rPr>
      </w:pPr>
    </w:p>
    <w:p>
      <w:pPr>
        <w:ind w:left="1364" w:hanging="373"/>
        <w:spacing w:after="0"/>
        <w:tabs>
          <w:tab w:leader="none" w:pos="1364"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To the extent that the Borrower fails to pay any amount required to be paid by it to the Administrative Agent under paragraph (a)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of this Section, each Lender severally agrees to pay to the Administrative Agent such Lender’s pro rata share (determined as of the time</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271" w:name="page272"/>
    <w:bookmarkEnd w:id="271"/>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in its capacity as such.</w:t>
      </w:r>
    </w:p>
    <w:p>
      <w:pPr>
        <w:spacing w:after="0" w:line="184" w:lineRule="exact"/>
        <w:rPr>
          <w:sz w:val="20"/>
          <w:szCs w:val="20"/>
          <w:color w:val="auto"/>
        </w:rPr>
      </w:pPr>
    </w:p>
    <w:p>
      <w:pPr>
        <w:ind w:right="60" w:firstLine="987"/>
        <w:spacing w:after="0" w:line="270" w:lineRule="auto"/>
        <w:tabs>
          <w:tab w:leader="none" w:pos="137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the Term Loan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rFonts w:ascii="Arial" w:cs="Arial" w:eastAsia="Arial" w:hAnsi="Arial"/>
          <w:sz w:val="17"/>
          <w:szCs w:val="17"/>
          <w:color w:val="auto"/>
        </w:rPr>
      </w:pPr>
    </w:p>
    <w:p>
      <w:pPr>
        <w:ind w:firstLine="987"/>
        <w:spacing w:after="0" w:line="311" w:lineRule="auto"/>
        <w:tabs>
          <w:tab w:leader="none" w:pos="136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25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69" w:lineRule="auto"/>
        <w:tabs>
          <w:tab w:leader="none" w:pos="1371"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5" w:lineRule="exact"/>
        <w:rPr>
          <w:rFonts w:ascii="Arial" w:cs="Arial" w:eastAsia="Arial" w:hAnsi="Arial"/>
          <w:sz w:val="17"/>
          <w:szCs w:val="17"/>
          <w:color w:val="auto"/>
        </w:rPr>
      </w:pPr>
    </w:p>
    <w:p>
      <w:pPr>
        <w:ind w:right="60" w:firstLine="987"/>
        <w:spacing w:after="0" w:line="308" w:lineRule="auto"/>
        <w:tabs>
          <w:tab w:leader="none" w:pos="1381"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Any Lender (the “</w:t>
      </w:r>
      <w:r>
        <w:rPr>
          <w:rFonts w:ascii="Arial" w:cs="Arial" w:eastAsia="Arial" w:hAnsi="Arial"/>
          <w:sz w:val="17"/>
          <w:szCs w:val="17"/>
          <w:u w:val="single" w:color="auto"/>
          <w:color w:val="auto"/>
        </w:rPr>
        <w:t>Existing Lender</w:t>
      </w:r>
      <w:r>
        <w:rPr>
          <w:rFonts w:ascii="Arial" w:cs="Arial" w:eastAsia="Arial" w:hAnsi="Arial"/>
          <w:sz w:val="17"/>
          <w:szCs w:val="17"/>
          <w:color w:val="auto"/>
        </w:rPr>
        <w:t>”) may at any time assign to one or more assignees all or a portion of its rights and obligations under this Agreement (including all or a portion of (x) the unfunded Term Commitment held by it at any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272" w:name="page273"/>
    <w:bookmarkEnd w:id="272"/>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and following the Effective Date and prior to the Closing Date or (y) the Term Loan at the time owing to it) (each such assignee being a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78" w:lineRule="exact"/>
        <w:rPr>
          <w:sz w:val="20"/>
          <w:szCs w:val="20"/>
          <w:color w:val="auto"/>
        </w:rPr>
      </w:pPr>
    </w:p>
    <w:p>
      <w:pPr>
        <w:ind w:left="1780" w:hanging="352"/>
        <w:spacing w:after="0"/>
        <w:tabs>
          <w:tab w:leader="none" w:pos="1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117" w:lineRule="exact"/>
        <w:rPr>
          <w:rFonts w:ascii="Arial" w:cs="Arial" w:eastAsia="Arial" w:hAnsi="Arial"/>
          <w:sz w:val="18"/>
          <w:szCs w:val="18"/>
          <w:color w:val="auto"/>
        </w:rPr>
      </w:pPr>
    </w:p>
    <w:p>
      <w:pPr>
        <w:ind w:left="980" w:right="20" w:firstLine="910"/>
        <w:spacing w:after="0" w:line="263" w:lineRule="auto"/>
        <w:tabs>
          <w:tab w:leader="none" w:pos="231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the case of an assignment of the assigning Lender’s entire unfunded Term Commitment or in the case of an assignment of the entire remaining amount of the assigning Lender’s Term Loan at the time owing to it or in the case of an assignment to a Lender, an Affiliate of a Lender or an Approved Fund, no minimum amount need be assigned; and</w:t>
      </w:r>
    </w:p>
    <w:p>
      <w:pPr>
        <w:spacing w:after="0" w:line="75" w:lineRule="exact"/>
        <w:rPr>
          <w:rFonts w:ascii="Arial" w:cs="Arial" w:eastAsia="Arial" w:hAnsi="Arial"/>
          <w:sz w:val="18"/>
          <w:szCs w:val="18"/>
          <w:color w:val="auto"/>
        </w:rPr>
      </w:pPr>
    </w:p>
    <w:p>
      <w:pPr>
        <w:ind w:left="980" w:right="20" w:firstLine="910"/>
        <w:spacing w:after="0" w:line="269" w:lineRule="auto"/>
        <w:tabs>
          <w:tab w:leader="none" w:pos="2302"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(x) the unfunded Term Commitment of the assigning Lender subject to each such assignment and (y) the principal outstanding balance of the Term Loan of the assigning Lender subject to each such assignment, in each case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185" w:lineRule="exact"/>
        <w:rPr>
          <w:rFonts w:ascii="Arial" w:cs="Arial" w:eastAsia="Arial" w:hAnsi="Arial"/>
          <w:sz w:val="17"/>
          <w:szCs w:val="17"/>
          <w:color w:val="auto"/>
        </w:rPr>
      </w:pPr>
    </w:p>
    <w:p>
      <w:pPr>
        <w:jc w:val="both"/>
        <w:ind w:right="260" w:firstLine="1428"/>
        <w:spacing w:after="0" w:line="263" w:lineRule="auto"/>
        <w:tabs>
          <w:tab w:leader="none" w:pos="183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portion of the unfunded Term Commitment or the Term Loan, as applicable, being assigned;</w:t>
      </w:r>
    </w:p>
    <w:p>
      <w:pPr>
        <w:spacing w:after="0" w:line="183" w:lineRule="exact"/>
        <w:rPr>
          <w:rFonts w:ascii="Arial" w:cs="Arial" w:eastAsia="Arial" w:hAnsi="Arial"/>
          <w:sz w:val="18"/>
          <w:szCs w:val="18"/>
          <w:color w:val="auto"/>
        </w:rPr>
      </w:pPr>
    </w:p>
    <w:p>
      <w:pPr>
        <w:ind w:right="220" w:firstLine="1428"/>
        <w:spacing w:after="0" w:line="277" w:lineRule="auto"/>
        <w:tabs>
          <w:tab w:leader="none" w:pos="188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980" w:firstLine="910"/>
        <w:spacing w:after="0" w:line="293" w:lineRule="auto"/>
        <w:tabs>
          <w:tab w:leader="none" w:pos="2312"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(x) in the case of an assignment of any unfunded Term Commitment, the consent of the Borrower in its sole discretion shall be required and (y) in the case of an assignment of any Term Loan, the consent of the Borrower (such consent not to be unreasonably withheld or delayed) shall be required unless an Event of Default pursuant to clause (a), (b), (h), (i) or (j) of Article VII has occurred and is continuing at the time of such assignment of any Term Loan or the assignment of any Term Loan is made to a Lender or to a Lender’s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of any Term Loan unless it shall object thereto by written notice to the Administrative Agent within ten (10) Business Days after having received notice thereof;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273" w:name="page274"/>
    <w:bookmarkEnd w:id="273"/>
    <w:p>
      <w:pPr>
        <w:ind w:left="980" w:right="60" w:firstLine="910"/>
        <w:spacing w:after="0" w:line="263" w:lineRule="auto"/>
        <w:tabs>
          <w:tab w:leader="none" w:pos="2302" w:val="left"/>
        </w:tabs>
        <w:numPr>
          <w:ilvl w:val="1"/>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consent of the Administrative Agent (such consent not to be unreasonably withheld or delayed) shall be required for assignments in respect of any unfunded Term Commitments or any Term Loan, as applicable, unless the assignment is to a Lender or its Affiliate.</w:t>
      </w:r>
    </w:p>
    <w:p>
      <w:pPr>
        <w:spacing w:after="0" w:line="183" w:lineRule="exact"/>
        <w:rPr>
          <w:rFonts w:ascii="Arial" w:cs="Arial" w:eastAsia="Arial" w:hAnsi="Arial"/>
          <w:sz w:val="18"/>
          <w:szCs w:val="18"/>
          <w:color w:val="auto"/>
        </w:rPr>
      </w:pPr>
    </w:p>
    <w:p>
      <w:pPr>
        <w:ind w:firstLine="1428"/>
        <w:spacing w:after="0" w:line="257" w:lineRule="auto"/>
        <w:tabs>
          <w:tab w:leader="none" w:pos="1872"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of any Term Commitment or any Term Loan, as applicable,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187" w:lineRule="exact"/>
        <w:rPr>
          <w:rFonts w:ascii="Arial" w:cs="Arial" w:eastAsia="Arial" w:hAnsi="Arial"/>
          <w:sz w:val="18"/>
          <w:szCs w:val="18"/>
          <w:color w:val="auto"/>
        </w:rPr>
      </w:pPr>
    </w:p>
    <w:p>
      <w:pPr>
        <w:ind w:left="1820" w:hanging="392"/>
        <w:spacing w:after="0"/>
        <w:tabs>
          <w:tab w:leader="none" w:pos="182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No Assignment to Loan Parties</w:t>
      </w:r>
      <w:r>
        <w:rPr>
          <w:rFonts w:ascii="Arial" w:cs="Arial" w:eastAsia="Arial" w:hAnsi="Arial"/>
          <w:sz w:val="17"/>
          <w:szCs w:val="17"/>
          <w:color w:val="auto"/>
        </w:rPr>
        <w:t>. No such assignment shall be made to any Loan Party or any Loan Party’s Affiliates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860" w:hanging="432"/>
        <w:spacing w:after="0"/>
        <w:tabs>
          <w:tab w:leader="none" w:pos="186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ind w:firstLine="1428"/>
        <w:spacing w:after="0" w:line="289" w:lineRule="auto"/>
        <w:tabs>
          <w:tab w:leader="none" w:pos="1922"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the Term Loan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rFonts w:ascii="Arial" w:cs="Arial" w:eastAsia="Arial" w:hAnsi="Arial"/>
          <w:sz w:val="16"/>
          <w:szCs w:val="16"/>
          <w:color w:val="auto"/>
        </w:rPr>
      </w:pPr>
    </w:p>
    <w:p>
      <w:pPr>
        <w:ind w:right="20" w:firstLine="1428"/>
        <w:spacing w:after="0" w:line="272" w:lineRule="auto"/>
        <w:tabs>
          <w:tab w:leader="none" w:pos="197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274" w:name="page275"/>
    <w:bookmarkEnd w:id="274"/>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8" w:lineRule="exact"/>
        <w:rPr>
          <w:sz w:val="20"/>
          <w:szCs w:val="20"/>
          <w:color w:val="auto"/>
        </w:rPr>
      </w:pPr>
    </w:p>
    <w:p>
      <w:pPr>
        <w:ind w:left="4" w:firstLine="987"/>
        <w:spacing w:after="0" w:line="291" w:lineRule="auto"/>
        <w:tabs>
          <w:tab w:leader="none" w:pos="1375"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Term Loan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6" w:lineRule="exact"/>
        <w:rPr>
          <w:rFonts w:ascii="Arial" w:cs="Arial" w:eastAsia="Arial" w:hAnsi="Arial"/>
          <w:sz w:val="16"/>
          <w:szCs w:val="16"/>
          <w:color w:val="auto"/>
        </w:rPr>
      </w:pPr>
    </w:p>
    <w:p>
      <w:pPr>
        <w:ind w:left="4" w:right="60" w:firstLine="987"/>
        <w:spacing w:after="0" w:line="286" w:lineRule="auto"/>
        <w:tabs>
          <w:tab w:leader="none" w:pos="1385"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or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in all or a portion of such Lender’s rights and/or obligations under this Agreement (including all or a portion of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w:t>
      </w:r>
    </w:p>
    <w:p>
      <w:pPr>
        <w:spacing w:after="0" w:line="1"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Any agreement or instrument pursuant to which a Lender sells such a participation shall provide that such Lender shall retain the sole right 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instrument may provide that such Lender will not, without the consent of the Participant, agree to any amendment, waiver or other modification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described in Section 9.02(b)(i) that affects such Participant. Subject to subsection (e) of this Section, the Borrower agrees that each Participant shall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entitled to the benefits of Sections 2.14, 2.15 and 2.16 (subject to the requirements and limitations therein, including the requirements under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2.16(e)) to the same extent as if it were a Lender and had acquired its interest by assignment pursuant to subsection (b) of this Section.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agrees to be subject to Sections 2.17 and 2.18 as though it were a Lender. Each Lender that sells a participation shall, acting solely for this purpose as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non-fiduciary agent of the Borrower, maintain a register on which it enters the name and address of each Participant and the principal amounts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interest</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4"/>
          </w:cols>
          <w:pgMar w:left="436" w:top="274" w:right="519" w:bottom="1440" w:gutter="0" w:footer="0" w:header="0"/>
        </w:sectPr>
      </w:pPr>
    </w:p>
    <w:bookmarkStart w:id="275" w:name="page276"/>
    <w:bookmarkEnd w:id="27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thereon of each participant’s interest in the Term Loan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2" w:lineRule="exact"/>
        <w:rPr>
          <w:sz w:val="20"/>
          <w:szCs w:val="20"/>
          <w:color w:val="auto"/>
        </w:rPr>
      </w:pPr>
    </w:p>
    <w:p>
      <w:pPr>
        <w:ind w:left="1360" w:hanging="373"/>
        <w:spacing w:after="0"/>
        <w:tabs>
          <w:tab w:leader="none" w:pos="1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Limitations upon New Lender Rights.</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0" w:right="480" w:firstLine="910"/>
        <w:spacing w:after="0" w:line="277" w:lineRule="auto"/>
        <w:tabs>
          <w:tab w:leader="none" w:pos="2312"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0" w:right="60" w:firstLine="910"/>
        <w:spacing w:after="0" w:line="263" w:lineRule="auto"/>
        <w:tabs>
          <w:tab w:leader="none" w:pos="2302"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right="260" w:firstLine="1428"/>
        <w:spacing w:after="0" w:line="296" w:lineRule="auto"/>
        <w:tabs>
          <w:tab w:leader="none" w:pos="182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61" w:lineRule="exact"/>
        <w:rPr>
          <w:rFonts w:ascii="Arial" w:cs="Arial" w:eastAsia="Arial" w:hAnsi="Arial"/>
          <w:sz w:val="16"/>
          <w:szCs w:val="16"/>
          <w:color w:val="auto"/>
        </w:rPr>
      </w:pPr>
    </w:p>
    <w:p>
      <w:pPr>
        <w:ind w:right="80" w:firstLine="987"/>
        <w:spacing w:after="0" w:line="301" w:lineRule="auto"/>
        <w:tabs>
          <w:tab w:leader="none" w:pos="1351"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276" w:name="page277"/>
    <w:bookmarkEnd w:id="276"/>
    <w:p>
      <w:pPr>
        <w:ind w:left="4" w:right="20" w:firstLine="987"/>
        <w:spacing w:after="0" w:line="287" w:lineRule="auto"/>
        <w:tabs>
          <w:tab w:leader="none" w:pos="1385" w:val="left"/>
        </w:tabs>
        <w:numPr>
          <w:ilvl w:val="1"/>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6" w:lineRule="exact"/>
        <w:rPr>
          <w:sz w:val="20"/>
          <w:szCs w:val="20"/>
          <w:color w:val="auto"/>
        </w:rPr>
      </w:pPr>
    </w:p>
    <w:p>
      <w:pPr>
        <w:ind w:left="4" w:right="120" w:firstLine="440"/>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Borrowing of the Term Loan on the Closing Date, and shall continue in full force and effect as long as the Term Loan or any other Obligation hereunder shall remain unpaid or unsatisfied. The provisions of Sections 2.14, 2.15, 2.16 and 9.03 and Article VIII shall survive and remain in full force and effect regardless of the consummation of the transactions contemplated hereby, the repayment of the Term Loan, the expiration or termination of the Commitments or the termination of this Agreement or any other Loan Document or any provision hereof or thereof.</w:t>
      </w:r>
    </w:p>
    <w:p>
      <w:pPr>
        <w:spacing w:after="0" w:line="165"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277" w:name="page278"/>
    <w:bookmarkEnd w:id="27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6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54" w:lineRule="auto"/>
        <w:tabs>
          <w:tab w:leader="none" w:pos="137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right="20" w:firstLine="987"/>
        <w:spacing w:after="0" w:line="288" w:lineRule="auto"/>
        <w:tabs>
          <w:tab w:leader="none" w:pos="137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the extent that any payment by or on behalf of the Borrower or any other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278" w:name="page279"/>
    <w:bookmarkEnd w:id="278"/>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9" w:lineRule="auto"/>
        <w:tabs>
          <w:tab w:leader="none" w:pos="136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(without regard to the conflict of law principles thereof to the extent that the application of the laws of another jurisdiction would be required thereby); </w:t>
      </w:r>
      <w:r>
        <w:rPr>
          <w:rFonts w:ascii="Arial" w:cs="Arial" w:eastAsia="Arial" w:hAnsi="Arial"/>
          <w:sz w:val="17"/>
          <w:szCs w:val="17"/>
          <w:i w:val="1"/>
          <w:iCs w:val="1"/>
          <w:color w:val="auto"/>
        </w:rPr>
        <w:t>provided</w:t>
      </w:r>
      <w:r>
        <w:rPr>
          <w:rFonts w:ascii="Arial" w:cs="Arial" w:eastAsia="Arial" w:hAnsi="Arial"/>
          <w:sz w:val="17"/>
          <w:szCs w:val="17"/>
          <w:color w:val="auto"/>
        </w:rPr>
        <w:t>, that (i) the interpretation of the definition of Spinco Material Adverse Effect and whether or not a Spinco Material Adverse Effect has occurred, (ii) the determination of the accuracy of any Combination Transaction Representation and whether as a result of any inaccuracy thereof, Mylan has the right to terminate its obligation to consummate the Combination under the Business Combination Agreement and (iii) the determination of whether (a) the conditions to the Distribution set forth in the Separation and Distribution Agreement and (b) the conditions to the Combination set forth in the Business Combination Agreement, in each case, other than such conditions that by their nature are to be satisfied upon the closing of such transaction, have been satisfied or waived or are expected to be satisfied and waived on the Closing Date or one Business Day thereafter, in each case, shall be governed by and construed in accordance with the Law (as defined in the Business Combination Agreement as in effect on the date hereof) of the State of Delaware, without regard to any Laws or principles thereof that would result in the application of the Laws of any other jurisdiction (except that the Laws of the Netherlands shall govern (i) the duties of the members of the Mylan Board (as defined in the Business Combination Agreement as in effect on the date hereof) and (ii) the Combination, to the extent mandatorily applicable thereto).</w:t>
      </w:r>
    </w:p>
    <w:p>
      <w:pPr>
        <w:spacing w:after="0" w:line="178" w:lineRule="exact"/>
        <w:rPr>
          <w:rFonts w:ascii="Arial" w:cs="Arial" w:eastAsia="Arial" w:hAnsi="Arial"/>
          <w:sz w:val="17"/>
          <w:szCs w:val="17"/>
          <w:color w:val="auto"/>
        </w:rPr>
      </w:pPr>
    </w:p>
    <w:p>
      <w:pPr>
        <w:ind w:firstLine="987"/>
        <w:spacing w:after="0" w:line="268" w:lineRule="auto"/>
        <w:tabs>
          <w:tab w:leader="none" w:pos="137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86" w:lineRule="exact"/>
        <w:rPr>
          <w:rFonts w:ascii="Arial" w:cs="Arial" w:eastAsia="Arial" w:hAnsi="Arial"/>
          <w:sz w:val="17"/>
          <w:szCs w:val="17"/>
          <w:color w:val="auto"/>
        </w:rPr>
      </w:pPr>
    </w:p>
    <w:p>
      <w:pPr>
        <w:ind w:right="120" w:firstLine="987"/>
        <w:spacing w:after="0" w:line="301" w:lineRule="auto"/>
        <w:tabs>
          <w:tab w:leader="none" w:pos="137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279" w:name="page280"/>
    <w:bookmarkEnd w:id="279"/>
    <w:p>
      <w:pPr>
        <w:ind w:left="4" w:right="100" w:firstLine="987"/>
        <w:spacing w:after="0" w:line="259" w:lineRule="auto"/>
        <w:tabs>
          <w:tab w:leader="none" w:pos="1385"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60" w:hanging="4"/>
        <w:spacing w:after="0" w:line="253" w:lineRule="auto"/>
        <w:tabs>
          <w:tab w:leader="none" w:pos="29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w:t>
      </w:r>
    </w:p>
    <w:p>
      <w:pPr>
        <w:spacing w:after="0" w:line="2" w:lineRule="exact"/>
        <w:rPr>
          <w:sz w:val="20"/>
          <w:szCs w:val="20"/>
          <w:color w:val="auto"/>
        </w:rPr>
      </w:pPr>
    </w:p>
    <w:p>
      <w:pPr>
        <w:ind w:left="4" w:hanging="4"/>
        <w:spacing w:after="0" w:line="268" w:lineRule="auto"/>
        <w:tabs>
          <w:tab w:leader="none" w:pos="24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to the extent required by applicable laws or regulations or by any subpoena or similar legal process (provided,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Loan Party and its obligations, (g) with the consent of any Loan Party, (h) to the extent such Information (x) becomes publicly available other than as a result of a breach of this Section or (y) becomes available to the Administrative Agent, any Lender or any of their respective Affiliates on a nonconfidential basis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4"/>
          </w:cols>
          <w:pgMar w:left="436" w:top="274" w:right="479" w:bottom="1440" w:gutter="0" w:footer="0" w:header="0"/>
        </w:sectPr>
      </w:pPr>
    </w:p>
    <w:bookmarkStart w:id="280" w:name="page281"/>
    <w:bookmarkEnd w:id="28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to deliver Borrower Materials or notices to the Lenders or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and the Lenders in connection with the administration of this Agreement, the other Loan Documents and the Borrowing hereunder. For purposes of this Section, “Information”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“Act”),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281" w:name="page282"/>
    <w:bookmarkEnd w:id="281"/>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Fiduciary Duty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8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Electronic Execution of this Agreement and Other Documents</w:t>
      </w:r>
      <w:r>
        <w:rPr>
          <w:rFonts w:ascii="Arial" w:cs="Arial" w:eastAsia="Arial" w:hAnsi="Arial"/>
          <w:sz w:val="16"/>
          <w:szCs w:val="16"/>
          <w:color w:val="auto"/>
        </w:rPr>
        <w:t>.</w:t>
      </w:r>
    </w:p>
    <w:p>
      <w:pPr>
        <w:spacing w:after="0" w:line="117" w:lineRule="exact"/>
        <w:rPr>
          <w:sz w:val="20"/>
          <w:szCs w:val="20"/>
          <w:color w:val="auto"/>
        </w:rPr>
      </w:pPr>
    </w:p>
    <w:p>
      <w:pPr>
        <w:ind w:right="340" w:firstLine="987"/>
        <w:spacing w:after="0" w:line="255" w:lineRule="auto"/>
        <w:tabs>
          <w:tab w:leader="none" w:pos="136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4" w:right="479" w:bottom="1440" w:gutter="0" w:footer="0" w:header="0"/>
        </w:sectPr>
      </w:pPr>
    </w:p>
    <w:bookmarkStart w:id="282" w:name="page283"/>
    <w:bookmarkEnd w:id="28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ind w:firstLine="987"/>
        <w:spacing w:after="0" w:line="267" w:lineRule="auto"/>
        <w:tabs>
          <w:tab w:leader="none" w:pos="137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This Agreement and any document, amendment, approval, consent, information, notice, certificate, request, statement, disclosure or authorization related to this Agreement (each a “</w:t>
      </w:r>
      <w:r>
        <w:rPr>
          <w:rFonts w:ascii="Arial" w:cs="Arial" w:eastAsia="Arial" w:hAnsi="Arial"/>
          <w:sz w:val="17"/>
          <w:szCs w:val="17"/>
          <w:u w:val="single" w:color="auto"/>
          <w:color w:val="auto"/>
        </w:rPr>
        <w:t>Communication</w:t>
      </w:r>
      <w:r>
        <w:rPr>
          <w:rFonts w:ascii="Arial" w:cs="Arial" w:eastAsia="Arial" w:hAnsi="Arial"/>
          <w:sz w:val="17"/>
          <w:szCs w:val="17"/>
          <w:color w:val="auto"/>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may, at its option, create one or more copies of any Communication in the form of an imaged Electronic Record (“</w:t>
      </w:r>
      <w:r>
        <w:rPr>
          <w:rFonts w:ascii="Arial" w:cs="Arial" w:eastAsia="Arial" w:hAnsi="Arial"/>
          <w:sz w:val="17"/>
          <w:szCs w:val="17"/>
          <w:u w:val="single" w:color="auto"/>
          <w:color w:val="auto"/>
        </w:rPr>
        <w:t>Electronic Copy</w:t>
      </w:r>
      <w:r>
        <w:rPr>
          <w:rFonts w:ascii="Arial" w:cs="Arial" w:eastAsia="Arial" w:hAnsi="Arial"/>
          <w:sz w:val="17"/>
          <w:szCs w:val="17"/>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(i) to the extent the Administrative Agent has agreed to accept such Electronic Signature, the Loan Parties, the Administrative Agent and each of the Lenders shall be entitled to rely on any such Electronic Signature purportedly given by or on behalf of any party hereto without further verification and (ii) upon the request of the Administrative Agent or any Lender, any Electronic Signature shall be promptly followed by such manually executed counterpart. For purposes hereof, “</w:t>
      </w:r>
      <w:r>
        <w:rPr>
          <w:rFonts w:ascii="Arial" w:cs="Arial" w:eastAsia="Arial" w:hAnsi="Arial"/>
          <w:sz w:val="17"/>
          <w:szCs w:val="17"/>
          <w:u w:val="single" w:color="auto"/>
          <w:color w:val="auto"/>
        </w:rPr>
        <w:t>Electronic Record</w:t>
      </w:r>
      <w:r>
        <w:rPr>
          <w:rFonts w:ascii="Arial" w:cs="Arial" w:eastAsia="Arial" w:hAnsi="Arial"/>
          <w:sz w:val="17"/>
          <w:szCs w:val="17"/>
          <w:color w:val="auto"/>
        </w:rPr>
        <w:t>” and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shall have the meanings assigned to them, respectively, by 15 USC §7006, as it may be amended from time to time.</w:t>
      </w:r>
    </w:p>
    <w:p>
      <w:pPr>
        <w:spacing w:after="0" w:line="18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Joint and Several</w:t>
      </w:r>
      <w:r>
        <w:rPr>
          <w:rFonts w:ascii="Arial" w:cs="Arial" w:eastAsia="Arial" w:hAnsi="Arial"/>
          <w:sz w:val="17"/>
          <w:szCs w:val="17"/>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283" w:name="page284"/>
    <w:bookmarkEnd w:id="283"/>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9.18 </w:t>
      </w:r>
      <w:r>
        <w:rPr>
          <w:rFonts w:ascii="Arial" w:cs="Arial" w:eastAsia="Arial" w:hAnsi="Arial"/>
          <w:sz w:val="16"/>
          <w:szCs w:val="16"/>
          <w:u w:val="single" w:color="auto"/>
          <w:color w:val="auto"/>
        </w:rPr>
        <w:t>Enforcement</w:t>
      </w:r>
      <w:r>
        <w:rPr>
          <w:rFonts w:ascii="Arial" w:cs="Arial" w:eastAsia="Arial" w:hAnsi="Arial"/>
          <w:sz w:val="16"/>
          <w:szCs w:val="16"/>
          <w:color w:val="auto"/>
        </w:rPr>
        <w: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provided, however,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9.08 (subject to the terms of Section 2.17(c)), or (c)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and (c) of the preceding proviso and subject to Section 2.17(c), any Lender may, with the consent of the Required Lenders, enforce any rights and remedies available to it and as authorized by the Required Lenders.</w:t>
      </w:r>
    </w:p>
    <w:p>
      <w:pPr>
        <w:spacing w:after="0" w:line="172"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Netherlands Loan Party Representation</w:t>
      </w:r>
      <w:r>
        <w:rPr>
          <w:rFonts w:ascii="Arial" w:cs="Arial" w:eastAsia="Arial" w:hAnsi="Arial"/>
          <w:sz w:val="17"/>
          <w:szCs w:val="17"/>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76"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SECTION 9.20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400" w:firstLine="987"/>
        <w:spacing w:after="0" w:line="277" w:lineRule="auto"/>
        <w:tabs>
          <w:tab w:leader="none" w:pos="137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right="420" w:firstLine="1428"/>
        <w:spacing w:after="0" w:line="311" w:lineRule="auto"/>
        <w:tabs>
          <w:tab w:leader="none" w:pos="183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284" w:name="page285"/>
    <w:bookmarkEnd w:id="284"/>
    <w:p>
      <w:pPr>
        <w:ind w:left="4" w:right="360" w:firstLine="1428"/>
        <w:spacing w:after="0" w:line="277" w:lineRule="auto"/>
        <w:tabs>
          <w:tab w:leader="none" w:pos="1886"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left="4" w:firstLine="987"/>
        <w:spacing w:after="0" w:line="287" w:lineRule="auto"/>
        <w:tabs>
          <w:tab w:leader="none" w:pos="137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364" w:hanging="373"/>
        <w:spacing w:after="0"/>
        <w:tabs>
          <w:tab w:leader="none" w:pos="13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As used in this Section 9.21,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w:t>
      </w:r>
    </w:p>
    <w:p>
      <w:pPr>
        <w:spacing w:after="0" w:line="35" w:lineRule="exact"/>
        <w:rPr>
          <w:sz w:val="20"/>
          <w:szCs w:val="20"/>
          <w:color w:val="auto"/>
        </w:rPr>
      </w:pPr>
    </w:p>
    <w:p>
      <w:pPr>
        <w:ind w:left="4" w:right="40" w:hanging="4"/>
        <w:spacing w:after="0" w:line="260" w:lineRule="auto"/>
        <w:tabs>
          <w:tab w:leader="none" w:pos="13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285" w:name="page286"/>
    <w:bookmarkEnd w:id="285"/>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Guarantee</w:t>
      </w:r>
      <w:r>
        <w:rPr>
          <w:rFonts w:ascii="Arial" w:cs="Arial" w:eastAsia="Arial" w:hAnsi="Arial"/>
          <w:sz w:val="16"/>
          <w:szCs w:val="16"/>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Notwithstanding any other provision of this Article X (Guarantee) the guarantee and other obligations of any Guarantor organized under the laws of the Netherlands expressed to be assumed in this Article X</w:t>
      </w:r>
    </w:p>
    <w:p>
      <w:pPr>
        <w:spacing w:after="0" w:line="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“Prohibition”)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78"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Each Guarantor hereby agrees that to the extent that a Guarantor shall have paid more than its proportionate share of any payment made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0"/>
          </w:cols>
          <w:pgMar w:left="440" w:top="274" w:right="519" w:bottom="1440" w:gutter="0" w:footer="0" w:header="0"/>
        </w:sectPr>
      </w:pPr>
    </w:p>
    <w:bookmarkStart w:id="286" w:name="page287"/>
    <w:bookmarkEnd w:id="286"/>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7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Amendments, etc., with Respect to the Obligations</w:t>
      </w:r>
      <w:r>
        <w:rPr>
          <w:rFonts w:ascii="Arial" w:cs="Arial" w:eastAsia="Arial" w:hAnsi="Arial"/>
          <w:sz w:val="16"/>
          <w:szCs w:val="16"/>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6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 To the fullest extent permitted by applicable law, each Guarantor waives any and all notice of the creation, renewal, extension or accrual of any of the Obligations and notice of or proof of reliance by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440" w:top="274" w:right="499" w:bottom="1440" w:gutter="0" w:footer="0" w:header="0"/>
        </w:sectPr>
      </w:pPr>
    </w:p>
    <w:bookmarkStart w:id="287" w:name="page288"/>
    <w:bookmarkEnd w:id="28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Reinstatement</w:t>
      </w:r>
      <w:r>
        <w:rPr>
          <w:rFonts w:ascii="Arial" w:cs="Arial" w:eastAsia="Arial" w:hAnsi="Arial"/>
          <w:sz w:val="17"/>
          <w:szCs w:val="17"/>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288" w:name="page289"/>
    <w:bookmarkEnd w:id="288"/>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Obligations Independent</w:t>
      </w:r>
      <w:r>
        <w:rPr>
          <w:rFonts w:ascii="Arial" w:cs="Arial" w:eastAsia="Arial" w:hAnsi="Arial"/>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by each Guarantor under this Guarantee Agreement shall be made in the manner, at the place and in the currency for payment required by this Agreement and the other Loan Documents.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Subordination</w:t>
      </w:r>
      <w:r>
        <w:rPr>
          <w:rFonts w:ascii="Arial" w:cs="Arial" w:eastAsia="Arial" w:hAnsi="Arial"/>
          <w:sz w:val="17"/>
          <w:szCs w:val="17"/>
          <w:color w:val="auto"/>
        </w:rPr>
        <w:t>.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provided, however, that the foregoing subordination shall not be given effect until such time as the Lender Parties shall have made a request to the Borrower pursuant to the second sentence of this Section 10.09.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Condition of Borrower</w:t>
      </w:r>
      <w:r>
        <w:rPr>
          <w:rFonts w:ascii="Arial" w:cs="Arial" w:eastAsia="Arial" w:hAnsi="Arial"/>
          <w:sz w:val="18"/>
          <w:szCs w:val="18"/>
          <w:color w:val="auto"/>
        </w:rPr>
        <w:t>. .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289" w:name="page290"/>
    <w:bookmarkEnd w:id="289"/>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10.12 </w:t>
      </w:r>
      <w:r>
        <w:rPr>
          <w:rFonts w:ascii="Arial" w:cs="Arial" w:eastAsia="Arial" w:hAnsi="Arial"/>
          <w:sz w:val="18"/>
          <w:szCs w:val="18"/>
          <w:u w:val="single" w:color="auto"/>
          <w:color w:val="auto"/>
        </w:rPr>
        <w:t>Releases</w:t>
      </w:r>
      <w:r>
        <w:rPr>
          <w:rFonts w:ascii="Arial" w:cs="Arial" w:eastAsia="Arial" w:hAnsi="Arial"/>
          <w:sz w:val="18"/>
          <w:szCs w:val="18"/>
          <w:color w:val="auto"/>
        </w:rPr>
        <w:t>. At such time as the Term Loan and the other Obligations (other than contingent indemnification and contingent expense reimbursement obligations) shall have been paid in full,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ERISA Matters</w:t>
      </w:r>
    </w:p>
    <w:p>
      <w:pPr>
        <w:spacing w:after="0" w:line="22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9" w:lineRule="auto"/>
        <w:tabs>
          <w:tab w:leader="none" w:pos="137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right="320" w:firstLine="1428"/>
        <w:spacing w:after="0" w:line="263" w:lineRule="auto"/>
        <w:tabs>
          <w:tab w:leader="none" w:pos="178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 the Commitment or this Agreement;</w:t>
      </w:r>
    </w:p>
    <w:p>
      <w:pPr>
        <w:spacing w:after="0" w:line="183" w:lineRule="exact"/>
        <w:rPr>
          <w:rFonts w:ascii="Arial" w:cs="Arial" w:eastAsia="Arial" w:hAnsi="Arial"/>
          <w:sz w:val="18"/>
          <w:szCs w:val="18"/>
          <w:color w:val="auto"/>
        </w:rPr>
      </w:pPr>
    </w:p>
    <w:p>
      <w:pPr>
        <w:ind w:right="100" w:firstLine="1428"/>
        <w:spacing w:after="0" w:line="255" w:lineRule="auto"/>
        <w:tabs>
          <w:tab w:leader="none" w:pos="18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Commitment and this Agreement,</w:t>
      </w:r>
    </w:p>
    <w:p>
      <w:pPr>
        <w:spacing w:after="0" w:line="192" w:lineRule="exact"/>
        <w:rPr>
          <w:rFonts w:ascii="Arial" w:cs="Arial" w:eastAsia="Arial" w:hAnsi="Arial"/>
          <w:sz w:val="18"/>
          <w:szCs w:val="18"/>
          <w:color w:val="auto"/>
        </w:rPr>
      </w:pPr>
    </w:p>
    <w:p>
      <w:pPr>
        <w:ind w:right="80" w:firstLine="1428"/>
        <w:spacing w:after="0" w:line="273" w:lineRule="auto"/>
        <w:tabs>
          <w:tab w:leader="none" w:pos="1882" w:val="left"/>
        </w:tabs>
        <w:numPr>
          <w:ilvl w:val="1"/>
          <w:numId w:val="34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Commitment and this Agreement, (C) the entrance into, participation in, administration of and performance of the Term Loan, the Commitment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 the Commitment and this Agreement,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290" w:name="page291"/>
    <w:bookmarkEnd w:id="290"/>
    <w:p>
      <w:pPr>
        <w:ind w:left="4" w:right="260" w:firstLine="1428"/>
        <w:spacing w:after="0" w:line="277" w:lineRule="auto"/>
        <w:tabs>
          <w:tab w:leader="none" w:pos="1876" w:val="left"/>
        </w:tabs>
        <w:numPr>
          <w:ilvl w:val="2"/>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987"/>
        <w:spacing w:after="0" w:line="291" w:lineRule="auto"/>
        <w:tabs>
          <w:tab w:leader="none" w:pos="1385"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70" w:lineRule="auto"/>
        <w:tabs>
          <w:tab w:leader="none" w:pos="25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Term Loan, the Commitment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291" w:name="page292"/>
    <w:bookmarkEnd w:id="291"/>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UPJOHN INC., </w:t>
      </w:r>
      <w:r>
        <w:rPr>
          <w:rFonts w:ascii="Arial" w:cs="Arial" w:eastAsia="Arial" w:hAnsi="Arial"/>
          <w:sz w:val="18"/>
          <w:szCs w:val="18"/>
          <w:color w:val="auto"/>
        </w:rPr>
        <w:t>as the Borrower</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Narula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Sanjeev Narula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9"/>
              </w:rPr>
              <w:t>Chief Financial Officer, Controller and Treasurer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2" w:name="page293"/>
    <w:bookmarkEnd w:id="29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Lawrence Blat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Lawrence Blat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9060"/>
          </w:cols>
          <w:pgMar w:left="1440" w:top="270" w:right="1399" w:bottom="1440" w:gutter="0" w:footer="0" w:header="0"/>
        </w:sectPr>
      </w:pPr>
    </w:p>
    <w:bookmarkStart w:id="293" w:name="page294"/>
    <w:bookmarkEnd w:id="29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94" w:name="page295"/>
    <w:bookmarkEnd w:id="29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FAA2FA"/>
    <w:multiLevelType w:val="hybridMultilevel"/>
    <w:lvl w:ilvl="0">
      <w:lvlJc w:val="left"/>
      <w:lvlText w:val="☒"/>
      <w:numFmt w:val="bullet"/>
      <w:start w:val="1"/>
    </w:lvl>
  </w:abstractNum>
  <w:abstractNum w:abstractNumId="1">
    <w:nsid w:val="5451CF49"/>
    <w:multiLevelType w:val="hybridMultilevel"/>
    <w:lvl w:ilvl="0">
      <w:lvlJc w:val="left"/>
      <w:lvlText w:val="☐"/>
      <w:numFmt w:val="bullet"/>
      <w:start w:val="1"/>
    </w:lvl>
  </w:abstractNum>
  <w:abstractNum w:abstractNumId="2">
    <w:nsid w:val="6181EF69"/>
    <w:multiLevelType w:val="hybridMultilevel"/>
    <w:lvl w:ilvl="0">
      <w:lvlJc w:val="left"/>
      <w:lvlText w:val="(%1)"/>
      <w:numFmt w:val="lowerLetter"/>
      <w:start w:val="4"/>
    </w:lvl>
  </w:abstractNum>
  <w:abstractNum w:abstractNumId="3">
    <w:nsid w:val="3E6400E6"/>
    <w:multiLevelType w:val="hybridMultilevel"/>
    <w:lvl w:ilvl="0">
      <w:lvlJc w:val="left"/>
      <w:lvlText w:val="*"/>
      <w:numFmt w:val="bullet"/>
      <w:start w:val="1"/>
    </w:lvl>
  </w:abstractNum>
  <w:abstractNum w:abstractNumId="4">
    <w:nsid w:val="14217E23"/>
    <w:multiLevelType w:val="hybridMultilevel"/>
    <w:lvl w:ilvl="0">
      <w:lvlJc w:val="left"/>
      <w:lvlText w:val="(%1)"/>
      <w:numFmt w:val="lowerLetter"/>
      <w:start w:val="1"/>
    </w:lvl>
  </w:abstractNum>
  <w:abstractNum w:abstractNumId="5">
    <w:nsid w:val="710757D0"/>
    <w:multiLevelType w:val="hybridMultilevel"/>
    <w:lvl w:ilvl="0">
      <w:lvlJc w:val="left"/>
      <w:lvlText w:val="(%1)"/>
      <w:numFmt w:val="lowerLetter"/>
      <w:start w:val="1"/>
    </w:lvl>
  </w:abstractNum>
  <w:abstractNum w:abstractNumId="6">
    <w:nsid w:val="5015CD1A"/>
    <w:multiLevelType w:val="hybridMultilevel"/>
    <w:lvl w:ilvl="0">
      <w:lvlJc w:val="left"/>
      <w:lvlText w:val="(%1)"/>
      <w:numFmt w:val="lowerLetter"/>
      <w:start w:val="4"/>
    </w:lvl>
  </w:abstractNum>
  <w:abstractNum w:abstractNumId="7">
    <w:nsid w:val="424479DA"/>
    <w:multiLevelType w:val="hybridMultilevel"/>
    <w:lvl w:ilvl="0">
      <w:lvlJc w:val="left"/>
      <w:lvlText w:val="(%1)"/>
      <w:numFmt w:val="decimal"/>
      <w:start w:val="1"/>
    </w:lvl>
  </w:abstractNum>
  <w:abstractNum w:abstractNumId="8">
    <w:nsid w:val="1A9A9E69"/>
    <w:multiLevelType w:val="hybridMultilevel"/>
    <w:lvl w:ilvl="0">
      <w:lvlJc w:val="left"/>
      <w:lvlText w:val="(%1)"/>
      <w:numFmt w:val="decimal"/>
      <w:start w:val="4"/>
    </w:lvl>
  </w:abstractNum>
  <w:abstractNum w:abstractNumId="9">
    <w:nsid w:val="475E256A"/>
    <w:multiLevelType w:val="hybridMultilevel"/>
    <w:lvl w:ilvl="0">
      <w:lvlJc w:val="left"/>
      <w:lvlText w:val="(%1)"/>
      <w:numFmt w:val="decimal"/>
      <w:start w:val="5"/>
    </w:lvl>
  </w:abstractNum>
  <w:abstractNum w:abstractNumId="10">
    <w:nsid w:val="368DB37E"/>
    <w:multiLevelType w:val="hybridMultilevel"/>
    <w:lvl w:ilvl="0">
      <w:lvlJc w:val="left"/>
      <w:lvlText w:val="(%1)"/>
      <w:numFmt w:val="lowerRoman"/>
      <w:start w:val="6"/>
    </w:lvl>
  </w:abstractNum>
  <w:abstractNum w:abstractNumId="11">
    <w:nsid w:val="6A3B714C"/>
    <w:multiLevelType w:val="hybridMultilevel"/>
    <w:lvl w:ilvl="0">
      <w:lvlJc w:val="left"/>
      <w:lvlText w:val="(%1)"/>
      <w:numFmt w:val="lowerRoman"/>
      <w:start w:val="9"/>
    </w:lvl>
  </w:abstractNum>
  <w:abstractNum w:abstractNumId="12">
    <w:nsid w:val="327B517E"/>
    <w:multiLevelType w:val="hybridMultilevel"/>
    <w:lvl w:ilvl="0">
      <w:lvlJc w:val="left"/>
      <w:lvlText w:val="(%1)"/>
      <w:numFmt w:val="lowerLetter"/>
      <w:start w:val="61"/>
    </w:lvl>
  </w:abstractNum>
  <w:abstractNum w:abstractNumId="13">
    <w:nsid w:val="1F461B51"/>
    <w:multiLevelType w:val="hybridMultilevel"/>
    <w:lvl w:ilvl="0">
      <w:lvlJc w:val="left"/>
      <w:lvlText w:val="(%1)"/>
      <w:numFmt w:val="lowerLetter"/>
      <w:start w:val="2"/>
    </w:lvl>
  </w:abstractNum>
  <w:abstractNum w:abstractNumId="14">
    <w:nsid w:val="29BACF25"/>
    <w:multiLevelType w:val="hybridMultilevel"/>
    <w:lvl w:ilvl="0">
      <w:lvlJc w:val="left"/>
      <w:lvlText w:val="(%1)"/>
      <w:numFmt w:val="lowerLetter"/>
      <w:start w:val="5"/>
    </w:lvl>
  </w:abstractNum>
  <w:abstractNum w:abstractNumId="15">
    <w:nsid w:val="5D5BABB3"/>
    <w:multiLevelType w:val="hybridMultilevel"/>
    <w:lvl w:ilvl="0">
      <w:lvlJc w:val="left"/>
      <w:lvlText w:val="(%1)"/>
      <w:numFmt w:val="lowerLetter"/>
      <w:start w:val="5"/>
    </w:lvl>
  </w:abstractNum>
  <w:abstractNum w:abstractNumId="16">
    <w:nsid w:val="51BF6B48"/>
    <w:multiLevelType w:val="hybridMultilevel"/>
    <w:lvl w:ilvl="0">
      <w:lvlJc w:val="left"/>
      <w:lvlText w:val="(%1)"/>
      <w:numFmt w:val="decimal"/>
      <w:start w:val="4"/>
    </w:lvl>
  </w:abstractNum>
  <w:abstractNum w:abstractNumId="17">
    <w:nsid w:val="7E0F6384"/>
    <w:multiLevelType w:val="hybridMultilevel"/>
    <w:lvl w:ilvl="0">
      <w:lvlJc w:val="left"/>
      <w:lvlText w:val="(%1)"/>
      <w:numFmt w:val="lowerLetter"/>
      <w:start w:val="1"/>
    </w:lvl>
  </w:abstractNum>
  <w:abstractNum w:abstractNumId="18">
    <w:nsid w:val="2B4B8B53"/>
    <w:multiLevelType w:val="hybridMultilevel"/>
    <w:lvl w:ilvl="0">
      <w:lvlJc w:val="left"/>
      <w:lvlText w:val="(%1)"/>
      <w:numFmt w:val="lowerLetter"/>
      <w:start w:val="1"/>
    </w:lvl>
  </w:abstractNum>
  <w:abstractNum w:abstractNumId="19">
    <w:nsid w:val="72E3413A"/>
    <w:multiLevelType w:val="hybridMultilevel"/>
    <w:lvl w:ilvl="0">
      <w:lvlJc w:val="left"/>
      <w:lvlText w:val="(%1)"/>
      <w:numFmt w:val="lowerRoman"/>
      <w:start w:val="10"/>
    </w:lvl>
  </w:abstractNum>
  <w:abstractNum w:abstractNumId="20">
    <w:nsid w:val="116AE494"/>
    <w:multiLevelType w:val="hybridMultilevel"/>
    <w:lvl w:ilvl="0">
      <w:lvlJc w:val="left"/>
      <w:lvlText w:val="(%1)"/>
      <w:numFmt w:val="lowerLetter"/>
      <w:start w:val="1"/>
    </w:lvl>
  </w:abstractNum>
  <w:abstractNum w:abstractNumId="21">
    <w:nsid w:val="3494B2FB"/>
    <w:multiLevelType w:val="hybridMultilevel"/>
    <w:lvl w:ilvl="0">
      <w:lvlJc w:val="left"/>
      <w:lvlText w:val="(%1)"/>
      <w:numFmt w:val="lowerLetter"/>
      <w:start w:val="5"/>
    </w:lvl>
  </w:abstractNum>
  <w:abstractNum w:abstractNumId="22">
    <w:nsid w:val="B13A31"/>
    <w:multiLevelType w:val="hybridMultilevel"/>
    <w:lvl w:ilvl="0">
      <w:lvlJc w:val="left"/>
      <w:lvlText w:val="(%1)"/>
      <w:numFmt w:val="lowerLetter"/>
      <w:start w:val="7"/>
    </w:lvl>
  </w:abstractNum>
  <w:abstractNum w:abstractNumId="23">
    <w:nsid w:val="64429599"/>
    <w:multiLevelType w:val="hybridMultilevel"/>
    <w:lvl w:ilvl="0">
      <w:lvlJc w:val="left"/>
      <w:lvlText w:val="%1"/>
      <w:numFmt w:val="lowerRoman"/>
      <w:start w:val="1"/>
    </w:lvl>
    <w:lvl w:ilvl="1">
      <w:lvlJc w:val="left"/>
      <w:lvlText w:val="(%2)"/>
      <w:numFmt w:val="lowerLetter"/>
      <w:start w:val="1"/>
    </w:lvl>
  </w:abstractNum>
  <w:abstractNum w:abstractNumId="24">
    <w:nsid w:val="631F1690"/>
    <w:multiLevelType w:val="hybridMultilevel"/>
    <w:lvl w:ilvl="0">
      <w:lvlJc w:val="left"/>
      <w:lvlText w:val="(%1)"/>
      <w:numFmt w:val="lowerRoman"/>
      <w:start w:val="1"/>
    </w:lvl>
    <w:lvl w:ilvl="1">
      <w:lvlJc w:val="left"/>
      <w:lvlText w:val="(%2)"/>
      <w:numFmt w:val="lowerLetter"/>
      <w:start w:val="2"/>
    </w:lvl>
  </w:abstractNum>
  <w:abstractNum w:abstractNumId="25">
    <w:nsid w:val="25973E32"/>
    <w:multiLevelType w:val="hybridMultilevel"/>
    <w:lvl w:ilvl="0">
      <w:lvlJc w:val="left"/>
      <w:lvlText w:val="(%1)"/>
      <w:numFmt w:val="lowerLetter"/>
      <w:start w:val="1"/>
    </w:lvl>
  </w:abstractNum>
  <w:abstractNum w:abstractNumId="26">
    <w:nsid w:val="EAD6F57"/>
    <w:multiLevelType w:val="hybridMultilevel"/>
    <w:lvl w:ilvl="0">
      <w:lvlJc w:val="left"/>
      <w:lvlText w:val="(%1)"/>
      <w:numFmt w:val="lowerLetter"/>
      <w:start w:val="4"/>
    </w:lvl>
  </w:abstractNum>
  <w:abstractNum w:abstractNumId="27">
    <w:nsid w:val="6EC9D844"/>
    <w:multiLevelType w:val="hybridMultilevel"/>
    <w:lvl w:ilvl="0">
      <w:lvlJc w:val="left"/>
      <w:lvlText w:val="%1"/>
      <w:numFmt w:val="decimal"/>
      <w:start w:val="1"/>
    </w:lvl>
    <w:lvl w:ilvl="1">
      <w:lvlJc w:val="left"/>
      <w:lvlText w:val="(%2)"/>
      <w:numFmt w:val="lowerLetter"/>
      <w:start w:val="1"/>
    </w:lvl>
  </w:abstractNum>
  <w:abstractNum w:abstractNumId="28">
    <w:nsid w:val="5C49EAEE"/>
    <w:multiLevelType w:val="hybridMultilevel"/>
    <w:lvl w:ilvl="0">
      <w:lvlJc w:val="left"/>
      <w:lvlText w:val="(%1)"/>
      <w:numFmt w:val="decimal"/>
      <w:start w:val="30"/>
    </w:lvl>
    <w:lvl w:ilvl="1">
      <w:lvlJc w:val="left"/>
      <w:lvlText w:val="%2"/>
      <w:numFmt w:val="lowerLetter"/>
      <w:start w:val="1"/>
    </w:lvl>
  </w:abstractNum>
  <w:abstractNum w:abstractNumId="29">
    <w:nsid w:val="64AF49B"/>
    <w:multiLevelType w:val="hybridMultilevel"/>
    <w:lvl w:ilvl="0">
      <w:lvlJc w:val="left"/>
      <w:lvlText w:val="(%1)"/>
      <w:numFmt w:val="lowerLetter"/>
      <w:start w:val="2"/>
    </w:lvl>
  </w:abstractNum>
  <w:abstractNum w:abstractNumId="30">
    <w:nsid w:val="397C46BC"/>
    <w:multiLevelType w:val="hybridMultilevel"/>
    <w:lvl w:ilvl="0">
      <w:lvlJc w:val="left"/>
      <w:lvlText w:val="(%1)"/>
      <w:numFmt w:val="lowerLetter"/>
      <w:start w:val="1"/>
    </w:lvl>
  </w:abstractNum>
  <w:abstractNum w:abstractNumId="31">
    <w:nsid w:val="7E448DE9"/>
    <w:multiLevelType w:val="hybridMultilevel"/>
    <w:lvl w:ilvl="0">
      <w:lvlJc w:val="left"/>
      <w:lvlText w:val="(%1)"/>
      <w:numFmt w:val="lowerLetter"/>
      <w:start w:val="10"/>
    </w:lvl>
  </w:abstractNum>
  <w:abstractNum w:abstractNumId="32">
    <w:nsid w:val="5A9CC3E5"/>
    <w:multiLevelType w:val="hybridMultilevel"/>
    <w:lvl w:ilvl="0">
      <w:lvlJc w:val="left"/>
      <w:lvlText w:val="(%1)"/>
      <w:numFmt w:val="lowerLetter"/>
      <w:start w:val="1"/>
    </w:lvl>
  </w:abstractNum>
  <w:abstractNum w:abstractNumId="33">
    <w:nsid w:val="1AFE3625"/>
    <w:multiLevelType w:val="hybridMultilevel"/>
    <w:lvl w:ilvl="0">
      <w:lvlJc w:val="left"/>
      <w:lvlText w:val="(%1)"/>
      <w:numFmt w:val="lowerLetter"/>
      <w:start w:val="1"/>
    </w:lvl>
  </w:abstractNum>
  <w:abstractNum w:abstractNumId="34">
    <w:nsid w:val="3CA88ECF"/>
    <w:multiLevelType w:val="hybridMultilevel"/>
    <w:lvl w:ilvl="0">
      <w:lvlJc w:val="left"/>
      <w:lvlText w:val="%1"/>
      <w:numFmt w:val="decimal"/>
      <w:start w:val="1"/>
    </w:lvl>
    <w:lvl w:ilvl="1">
      <w:lvlJc w:val="left"/>
      <w:lvlText w:val="(%2)"/>
      <w:numFmt w:val="lowerLetter"/>
      <w:start w:val="2"/>
    </w:lvl>
  </w:abstractNum>
  <w:abstractNum w:abstractNumId="35">
    <w:nsid w:val="6EBE4208"/>
    <w:multiLevelType w:val="hybridMultilevel"/>
    <w:lvl w:ilvl="0">
      <w:lvlJc w:val="left"/>
      <w:lvlText w:val="(%1)"/>
      <w:numFmt w:val="decimal"/>
      <w:start w:val="10"/>
    </w:lvl>
    <w:lvl w:ilvl="1">
      <w:lvlJc w:val="left"/>
      <w:lvlText w:val="(%2)"/>
      <w:numFmt w:val="lowerLetter"/>
      <w:start w:val="3"/>
    </w:lvl>
  </w:abstractNum>
  <w:abstractNum w:abstractNumId="36">
    <w:nsid w:val="C058DF5"/>
    <w:multiLevelType w:val="hybridMultilevel"/>
    <w:lvl w:ilvl="0">
      <w:lvlJc w:val="left"/>
      <w:lvlText w:val="(%1)"/>
      <w:numFmt w:val="lowerLetter"/>
      <w:start w:val="1"/>
    </w:lvl>
  </w:abstractNum>
  <w:abstractNum w:abstractNumId="37">
    <w:nsid w:val="CBE5BE9"/>
    <w:multiLevelType w:val="hybridMultilevel"/>
    <w:lvl w:ilvl="0">
      <w:lvlJc w:val="left"/>
      <w:lvlText w:val="(%1)"/>
      <w:numFmt w:val="lowerLetter"/>
      <w:start w:val="3"/>
    </w:lvl>
  </w:abstractNum>
  <w:abstractNum w:abstractNumId="38">
    <w:nsid w:val="3102BBE2"/>
    <w:multiLevelType w:val="hybridMultilevel"/>
    <w:lvl w:ilvl="0">
      <w:lvlJc w:val="left"/>
      <w:lvlText w:val="(%1)"/>
      <w:numFmt w:val="lowerLetter"/>
      <w:start w:val="1"/>
    </w:lvl>
  </w:abstractNum>
  <w:abstractNum w:abstractNumId="39">
    <w:nsid w:val="26A02C5E"/>
    <w:multiLevelType w:val="hybridMultilevel"/>
    <w:lvl w:ilvl="0">
      <w:lvlJc w:val="left"/>
      <w:lvlText w:val="(%1)"/>
      <w:numFmt w:val="lowerLetter"/>
      <w:start w:val="1"/>
    </w:lvl>
  </w:abstractNum>
  <w:abstractNum w:abstractNumId="40">
    <w:nsid w:val="541C8153"/>
    <w:multiLevelType w:val="hybridMultilevel"/>
    <w:lvl w:ilvl="0">
      <w:lvlJc w:val="left"/>
      <w:lvlText w:val="(%1)"/>
      <w:numFmt w:val="lowerLetter"/>
      <w:start w:val="4"/>
    </w:lvl>
  </w:abstractNum>
  <w:abstractNum w:abstractNumId="41">
    <w:nsid w:val="67906F60"/>
    <w:multiLevelType w:val="hybridMultilevel"/>
    <w:lvl w:ilvl="0">
      <w:lvlJc w:val="left"/>
      <w:lvlText w:val="(%1)"/>
      <w:numFmt w:val="lowerRoman"/>
      <w:start w:val="2"/>
    </w:lvl>
    <w:lvl w:ilvl="1">
      <w:lvlJc w:val="left"/>
      <w:lvlText w:val="(%2)"/>
      <w:numFmt w:val="lowerRoman"/>
      <w:start w:val="2"/>
    </w:lvl>
  </w:abstractNum>
  <w:abstractNum w:abstractNumId="42">
    <w:nsid w:val="10DB9DAA"/>
    <w:multiLevelType w:val="hybridMultilevel"/>
    <w:lvl w:ilvl="0">
      <w:lvlJc w:val="left"/>
      <w:lvlText w:val="(%1)"/>
      <w:numFmt w:val="lowerRoman"/>
      <w:start w:val="5"/>
    </w:lvl>
  </w:abstractNum>
  <w:abstractNum w:abstractNumId="43">
    <w:nsid w:val="697D2D2"/>
    <w:multiLevelType w:val="hybridMultilevel"/>
    <w:lvl w:ilvl="0">
      <w:lvlJc w:val="left"/>
      <w:lvlText w:val="(%1)"/>
      <w:numFmt w:val="lowerLetter"/>
      <w:start w:val="1"/>
    </w:lvl>
  </w:abstractNum>
  <w:abstractNum w:abstractNumId="44">
    <w:nsid w:val="6D68AB2"/>
    <w:multiLevelType w:val="hybridMultilevel"/>
    <w:lvl w:ilvl="0">
      <w:lvlJc w:val="left"/>
      <w:lvlText w:val="(%1)"/>
      <w:numFmt w:val="lowerLetter"/>
      <w:start w:val="2"/>
    </w:lvl>
  </w:abstractNum>
  <w:abstractNum w:abstractNumId="45">
    <w:nsid w:val="3A966CD0"/>
    <w:multiLevelType w:val="hybridMultilevel"/>
    <w:lvl w:ilvl="0">
      <w:lvlJc w:val="left"/>
      <w:lvlText w:val="(%1)"/>
      <w:numFmt w:val="lowerRoman"/>
      <w:start w:val="2"/>
    </w:lvl>
  </w:abstractNum>
  <w:abstractNum w:abstractNumId="46">
    <w:nsid w:val="63F37E85"/>
    <w:multiLevelType w:val="hybridMultilevel"/>
    <w:lvl w:ilvl="0">
      <w:lvlJc w:val="left"/>
      <w:lvlText w:val="%1"/>
      <w:numFmt w:val="lowerLetter"/>
      <w:start w:val="1"/>
    </w:lvl>
    <w:lvl w:ilvl="1">
      <w:lvlJc w:val="left"/>
      <w:lvlText w:val="(%2)"/>
      <w:numFmt w:val="lowerLetter"/>
      <w:start w:val="4"/>
    </w:lvl>
  </w:abstractNum>
  <w:abstractNum w:abstractNumId="47">
    <w:nsid w:val="5895F5FA"/>
    <w:multiLevelType w:val="hybridMultilevel"/>
    <w:lvl w:ilvl="0">
      <w:lvlJc w:val="left"/>
      <w:lvlText w:val="(%1)"/>
      <w:numFmt w:val="lowerLetter"/>
      <w:start w:val="35"/>
    </w:lvl>
    <w:lvl w:ilvl="1">
      <w:lvlJc w:val="left"/>
      <w:lvlText w:val="%2"/>
      <w:numFmt w:val="lowerLetter"/>
      <w:start w:val="1"/>
    </w:lvl>
  </w:abstractNum>
  <w:abstractNum w:abstractNumId="48">
    <w:nsid w:val="38A5D054"/>
    <w:multiLevelType w:val="hybridMultilevel"/>
    <w:lvl w:ilvl="0">
      <w:lvlJc w:val="left"/>
      <w:lvlText w:val="(%1)"/>
      <w:numFmt w:val="lowerLetter"/>
      <w:start w:val="5"/>
    </w:lvl>
  </w:abstractNum>
  <w:abstractNum w:abstractNumId="49">
    <w:nsid w:val="F3F09D8"/>
    <w:multiLevelType w:val="hybridMultilevel"/>
    <w:lvl w:ilvl="0">
      <w:lvlJc w:val="left"/>
      <w:lvlText w:val="(%1)"/>
      <w:numFmt w:val="lowerLetter"/>
      <w:start w:val="1"/>
    </w:lvl>
  </w:abstractNum>
  <w:abstractNum w:abstractNumId="50">
    <w:nsid w:val="4B793735"/>
    <w:multiLevelType w:val="hybridMultilevel"/>
    <w:lvl w:ilvl="0">
      <w:lvlJc w:val="left"/>
      <w:lvlText w:val="(%1)"/>
      <w:numFmt w:val="lowerRoman"/>
      <w:start w:val="1"/>
    </w:lvl>
  </w:abstractNum>
  <w:abstractNum w:abstractNumId="51">
    <w:nsid w:val="4A10B4E8"/>
    <w:multiLevelType w:val="hybridMultilevel"/>
    <w:lvl w:ilvl="0">
      <w:lvlJc w:val="left"/>
      <w:lvlText w:val="(%1)"/>
      <w:numFmt w:val="lowerRoman"/>
      <w:start w:val="3"/>
    </w:lvl>
  </w:abstractNum>
  <w:abstractNum w:abstractNumId="52">
    <w:nsid w:val="43D3BCD4"/>
    <w:multiLevelType w:val="hybridMultilevel"/>
    <w:lvl w:ilvl="0">
      <w:lvlJc w:val="left"/>
      <w:lvlText w:val="(%1)"/>
      <w:numFmt w:val="upperLetter"/>
      <w:start w:val="1"/>
    </w:lvl>
  </w:abstractNum>
  <w:abstractNum w:abstractNumId="53">
    <w:nsid w:val="4C2A7166"/>
    <w:multiLevelType w:val="hybridMultilevel"/>
    <w:lvl w:ilvl="0">
      <w:lvlJc w:val="left"/>
      <w:lvlText w:val="(%1)"/>
      <w:numFmt w:val="lowerRoman"/>
      <w:start w:val="4"/>
    </w:lvl>
  </w:abstractNum>
  <w:abstractNum w:abstractNumId="54">
    <w:nsid w:val="2E534A82"/>
    <w:multiLevelType w:val="hybridMultilevel"/>
    <w:lvl w:ilvl="0">
      <w:lvlJc w:val="left"/>
      <w:lvlText w:val="(%1)"/>
      <w:numFmt w:val="lowerRoman"/>
      <w:start w:val="5"/>
    </w:lvl>
  </w:abstractNum>
  <w:abstractNum w:abstractNumId="55">
    <w:nsid w:val="26F2D364"/>
    <w:multiLevelType w:val="hybridMultilevel"/>
    <w:lvl w:ilvl="0">
      <w:lvlJc w:val="left"/>
      <w:lvlText w:val="%1"/>
      <w:numFmt w:val="lowerRoman"/>
      <w:start w:val="1"/>
    </w:lvl>
    <w:lvl w:ilvl="1">
      <w:lvlJc w:val="left"/>
      <w:lvlText w:val="(%2)"/>
      <w:numFmt w:val="lowerLetter"/>
      <w:start w:val="2"/>
    </w:lvl>
  </w:abstractNum>
  <w:abstractNum w:abstractNumId="56">
    <w:nsid w:val="71C1AF98"/>
    <w:multiLevelType w:val="hybridMultilevel"/>
    <w:lvl w:ilvl="0">
      <w:lvlJc w:val="left"/>
      <w:lvlText w:val="(%1)"/>
      <w:numFmt w:val="lowerRoman"/>
      <w:start w:val="1"/>
    </w:lvl>
    <w:lvl w:ilvl="1">
      <w:lvlJc w:val="left"/>
      <w:lvlText w:val="%2"/>
      <w:numFmt w:val="lowerLetter"/>
      <w:start w:val="1"/>
    </w:lvl>
  </w:abstractNum>
  <w:abstractNum w:abstractNumId="57">
    <w:nsid w:val="3D00B9D9"/>
    <w:multiLevelType w:val="hybridMultilevel"/>
    <w:lvl w:ilvl="0">
      <w:lvlJc w:val="left"/>
      <w:lvlText w:val="(%1)"/>
      <w:numFmt w:val="lowerRoman"/>
      <w:start w:val="3"/>
    </w:lvl>
    <w:lvl w:ilvl="1">
      <w:lvlJc w:val="left"/>
      <w:lvlText w:val="(%2)"/>
      <w:numFmt w:val="lowerLetter"/>
      <w:start w:val="3"/>
    </w:lvl>
  </w:abstractNum>
  <w:abstractNum w:abstractNumId="58">
    <w:nsid w:val="15BCABA8"/>
    <w:multiLevelType w:val="hybridMultilevel"/>
    <w:lvl w:ilvl="0">
      <w:lvlJc w:val="left"/>
      <w:lvlText w:val="(%1)"/>
      <w:numFmt w:val="lowerRoman"/>
      <w:start w:val="1"/>
    </w:lvl>
  </w:abstractNum>
  <w:abstractNum w:abstractNumId="59">
    <w:nsid w:val="4E0B9A87"/>
    <w:multiLevelType w:val="hybridMultilevel"/>
    <w:lvl w:ilvl="0">
      <w:lvlJc w:val="left"/>
      <w:lvlText w:val="(%1)"/>
      <w:numFmt w:val="lowerRoman"/>
      <w:start w:val="2"/>
    </w:lvl>
  </w:abstractNum>
  <w:abstractNum w:abstractNumId="60">
    <w:nsid w:val="434BAE75"/>
    <w:multiLevelType w:val="hybridMultilevel"/>
    <w:lvl w:ilvl="0">
      <w:lvlJc w:val="left"/>
      <w:lvlText w:val="%1"/>
      <w:numFmt w:val="upperLetter"/>
      <w:start w:val="1"/>
    </w:lvl>
    <w:lvl w:ilvl="1">
      <w:lvlJc w:val="left"/>
      <w:lvlText w:val="(%2)"/>
      <w:numFmt w:val="lowerRoman"/>
      <w:start w:val="3"/>
    </w:lvl>
  </w:abstractNum>
  <w:abstractNum w:abstractNumId="61">
    <w:nsid w:val="4F38F265"/>
    <w:multiLevelType w:val="hybridMultilevel"/>
    <w:lvl w:ilvl="0">
      <w:lvlJc w:val="left"/>
      <w:lvlText w:val="(%1)"/>
      <w:numFmt w:val="upperLetter"/>
      <w:start w:val="3"/>
    </w:lvl>
    <w:lvl w:ilvl="1">
      <w:lvlJc w:val="left"/>
      <w:lvlText w:val="(%2)"/>
      <w:numFmt w:val="lowerRoman"/>
      <w:start w:val="6"/>
    </w:lvl>
  </w:abstractNum>
  <w:abstractNum w:abstractNumId="62">
    <w:nsid w:val="4C502870"/>
    <w:multiLevelType w:val="hybridMultilevel"/>
    <w:lvl w:ilvl="0">
      <w:lvlJc w:val="left"/>
      <w:lvlText w:val="%1"/>
      <w:numFmt w:val="lowerRoman"/>
      <w:start w:val="1"/>
    </w:lvl>
    <w:lvl w:ilvl="1">
      <w:lvlJc w:val="left"/>
      <w:lvlText w:val="(%2)"/>
      <w:numFmt w:val="lowerLetter"/>
      <w:start w:val="4"/>
    </w:lvl>
  </w:abstractNum>
  <w:abstractNum w:abstractNumId="63">
    <w:nsid w:val="1DE8725A"/>
    <w:multiLevelType w:val="hybridMultilevel"/>
    <w:lvl w:ilvl="0">
      <w:lvlJc w:val="left"/>
      <w:lvlText w:val="(%1)"/>
      <w:numFmt w:val="lowerRoman"/>
      <w:start w:val="1"/>
    </w:lvl>
    <w:lvl w:ilvl="1">
      <w:lvlJc w:val="left"/>
      <w:lvlText w:val="(%2)"/>
      <w:numFmt w:val="lowerLetter"/>
      <w:start w:val="5"/>
    </w:lvl>
  </w:abstractNum>
  <w:abstractNum w:abstractNumId="64">
    <w:nsid w:val="6A37288A"/>
    <w:multiLevelType w:val="hybridMultilevel"/>
    <w:lvl w:ilvl="0">
      <w:lvlJc w:val="left"/>
      <w:lvlText w:val="%1"/>
      <w:numFmt w:val="lowerLetter"/>
      <w:start w:val="1"/>
    </w:lvl>
    <w:lvl w:ilvl="1">
      <w:lvlJc w:val="left"/>
      <w:lvlText w:val="(%2)"/>
      <w:numFmt w:val="lowerLetter"/>
      <w:start w:val="6"/>
    </w:lvl>
  </w:abstractNum>
  <w:abstractNum w:abstractNumId="65">
    <w:nsid w:val="8F8B73F"/>
    <w:multiLevelType w:val="hybridMultilevel"/>
    <w:lvl w:ilvl="0">
      <w:lvlJc w:val="left"/>
      <w:lvlText w:val="(%1)"/>
      <w:numFmt w:val="lowerLetter"/>
      <w:start w:val="61"/>
    </w:lvl>
    <w:lvl w:ilvl="1">
      <w:lvlJc w:val="left"/>
      <w:lvlText w:val="%2"/>
      <w:numFmt w:val="lowerLetter"/>
      <w:start w:val="1"/>
    </w:lvl>
  </w:abstractNum>
  <w:abstractNum w:abstractNumId="66">
    <w:nsid w:val="CA6B462"/>
    <w:multiLevelType w:val="hybridMultilevel"/>
    <w:lvl w:ilvl="0">
      <w:lvlJc w:val="left"/>
      <w:lvlText w:val="(%1)"/>
      <w:numFmt w:val="lowerLetter"/>
      <w:start w:val="9"/>
    </w:lvl>
    <w:lvl w:ilvl="1">
      <w:lvlJc w:val="left"/>
      <w:lvlText w:val="%2"/>
      <w:numFmt w:val="lowerLetter"/>
      <w:start w:val="1"/>
    </w:lvl>
  </w:abstractNum>
  <w:abstractNum w:abstractNumId="67">
    <w:nsid w:val="763CB68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68">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8"/>
    </w:lvl>
  </w:abstractNum>
  <w:abstractNum w:abstractNumId="69">
    <w:nsid w:val="3DA97044"/>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9"/>
    </w:lvl>
  </w:abstractNum>
  <w:abstractNum w:abstractNumId="70">
    <w:nsid w:val="1CDCE2DE"/>
    <w:multiLevelType w:val="hybridMultilevel"/>
    <w:lvl w:ilvl="0">
      <w:lvlJc w:val="left"/>
      <w:lvlText w:val="(%1)"/>
      <w:numFmt w:val="lowerLetter"/>
      <w:start w:val="10"/>
    </w:lvl>
  </w:abstractNum>
  <w:abstractNum w:abstractNumId="71">
    <w:nsid w:val="69D3947C"/>
    <w:multiLevelType w:val="hybridMultilevel"/>
    <w:lvl w:ilvl="0">
      <w:lvlJc w:val="left"/>
      <w:lvlText w:val="(%1)"/>
      <w:numFmt w:val="lowerLetter"/>
      <w:start w:val="1"/>
    </w:lvl>
  </w:abstractNum>
  <w:abstractNum w:abstractNumId="72">
    <w:nsid w:val="2539DFA5"/>
    <w:multiLevelType w:val="hybridMultilevel"/>
    <w:lvl w:ilvl="0">
      <w:lvlJc w:val="left"/>
      <w:lvlText w:val="%1"/>
      <w:numFmt w:val="lowerRoman"/>
      <w:start w:val="1"/>
    </w:lvl>
    <w:lvl w:ilvl="1">
      <w:lvlJc w:val="left"/>
      <w:lvlText w:val="(%2)"/>
      <w:numFmt w:val="lowerLetter"/>
      <w:start w:val="2"/>
    </w:lvl>
  </w:abstractNum>
  <w:abstractNum w:abstractNumId="73">
    <w:nsid w:val="2DB88089"/>
    <w:multiLevelType w:val="hybridMultilevel"/>
    <w:lvl w:ilvl="0">
      <w:lvlJc w:val="left"/>
      <w:lvlText w:val="(%1)"/>
      <w:numFmt w:val="lowerRoman"/>
      <w:start w:val="1"/>
    </w:lvl>
    <w:lvl w:ilvl="1">
      <w:lvlJc w:val="left"/>
      <w:lvlText w:val="%2"/>
      <w:numFmt w:val="lowerLetter"/>
      <w:start w:val="1"/>
    </w:lvl>
  </w:abstractNum>
  <w:abstractNum w:abstractNumId="74">
    <w:nsid w:val="706B674E"/>
    <w:multiLevelType w:val="hybridMultilevel"/>
    <w:lvl w:ilvl="0">
      <w:lvlJc w:val="left"/>
      <w:lvlText w:val="(%1)"/>
      <w:numFmt w:val="upperLetter"/>
      <w:start w:val="1"/>
    </w:lvl>
  </w:abstractNum>
  <w:abstractNum w:abstractNumId="75">
    <w:nsid w:val="2C106A57"/>
    <w:multiLevelType w:val="hybridMultilevel"/>
    <w:lvl w:ilvl="0">
      <w:lvlJc w:val="left"/>
      <w:lvlText w:val="(%1)"/>
      <w:numFmt w:val="lowerRoman"/>
      <w:start w:val="10"/>
    </w:lvl>
  </w:abstractNum>
  <w:abstractNum w:abstractNumId="76">
    <w:nsid w:val="684EED59"/>
    <w:multiLevelType w:val="hybridMultilevel"/>
    <w:lvl w:ilvl="0">
      <w:lvlJc w:val="left"/>
      <w:lvlText w:val="(%1)"/>
      <w:numFmt w:val="lowerLetter"/>
      <w:start w:val="1"/>
    </w:lvl>
  </w:abstractNum>
  <w:abstractNum w:abstractNumId="77">
    <w:nsid w:val="545EE5D3"/>
    <w:multiLevelType w:val="hybridMultilevel"/>
    <w:lvl w:ilvl="0">
      <w:lvlJc w:val="left"/>
      <w:lvlText w:val="(%1)"/>
      <w:numFmt w:val="lowerLetter"/>
      <w:start w:val="3"/>
    </w:lvl>
  </w:abstractNum>
  <w:abstractNum w:abstractNumId="78">
    <w:nsid w:val="4A66051"/>
    <w:multiLevelType w:val="hybridMultilevel"/>
    <w:lvl w:ilvl="0">
      <w:lvlJc w:val="left"/>
      <w:lvlText w:val="(%1)"/>
      <w:numFmt w:val="lowerLetter"/>
      <w:start w:val="1"/>
    </w:lvl>
  </w:abstractNum>
  <w:abstractNum w:abstractNumId="79">
    <w:nsid w:val="20F4BDAD"/>
    <w:multiLevelType w:val="hybridMultilevel"/>
    <w:lvl w:ilvl="0">
      <w:lvlJc w:val="left"/>
      <w:lvlText w:val="(%1)"/>
      <w:numFmt w:val="lowerLetter"/>
      <w:start w:val="5"/>
    </w:lvl>
  </w:abstractNum>
  <w:abstractNum w:abstractNumId="80">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1">
    <w:nsid w:val="501F9786"/>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82">
    <w:nsid w:val="6B05729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83">
    <w:nsid w:val="2771AC80"/>
    <w:multiLevelType w:val="hybridMultilevel"/>
    <w:lvl w:ilvl="0">
      <w:lvlJc w:val="left"/>
      <w:lvlText w:val="(%1)"/>
      <w:numFmt w:val="lowerLetter"/>
      <w:start w:val="1"/>
    </w:lvl>
  </w:abstractNum>
  <w:abstractNum w:abstractNumId="84">
    <w:nsid w:val="1C4A08EC"/>
    <w:multiLevelType w:val="hybridMultilevel"/>
    <w:lvl w:ilvl="0">
      <w:lvlJc w:val="left"/>
      <w:lvlText w:val="(%1)"/>
      <w:numFmt w:val="lowerLetter"/>
      <w:start w:val="3"/>
    </w:lvl>
  </w:abstractNum>
  <w:abstractNum w:abstractNumId="85">
    <w:nsid w:val="1958BD17"/>
    <w:multiLevelType w:val="hybridMultilevel"/>
    <w:lvl w:ilvl="0">
      <w:lvlJc w:val="left"/>
      <w:lvlText w:val="(%1)"/>
      <w:numFmt w:val="lowerLetter"/>
      <w:start w:val="1"/>
    </w:lvl>
  </w:abstractNum>
  <w:abstractNum w:abstractNumId="86">
    <w:nsid w:val="4E647FE4"/>
    <w:multiLevelType w:val="hybridMultilevel"/>
    <w:lvl w:ilvl="0">
      <w:lvlJc w:val="left"/>
      <w:lvlText w:val="(%1)"/>
      <w:numFmt w:val="lowerLetter"/>
      <w:start w:val="4"/>
    </w:lvl>
  </w:abstractNum>
  <w:abstractNum w:abstractNumId="87">
    <w:nsid w:val="E0BB885"/>
    <w:multiLevelType w:val="hybridMultilevel"/>
    <w:lvl w:ilvl="0">
      <w:lvlJc w:val="left"/>
      <w:lvlText w:val="(%1)"/>
      <w:numFmt w:val="lowerLetter"/>
      <w:start w:val="1"/>
    </w:lvl>
  </w:abstractNum>
  <w:abstractNum w:abstractNumId="88">
    <w:nsid w:val="565976F1"/>
    <w:multiLevelType w:val="hybridMultilevel"/>
    <w:lvl w:ilvl="0">
      <w:lvlJc w:val="left"/>
      <w:lvlText w:val="(%1)"/>
      <w:numFmt w:val="lowerLetter"/>
      <w:start w:val="1"/>
    </w:lvl>
  </w:abstractNum>
  <w:abstractNum w:abstractNumId="89">
    <w:nsid w:val="64212B8C"/>
    <w:multiLevelType w:val="hybridMultilevel"/>
    <w:lvl w:ilvl="0">
      <w:lvlJc w:val="left"/>
      <w:lvlText w:val="(%1)"/>
      <w:numFmt w:val="lowerRoman"/>
      <w:start w:val="1"/>
    </w:lvl>
  </w:abstractNum>
  <w:abstractNum w:abstractNumId="90">
    <w:nsid w:val="5C17530C"/>
    <w:multiLevelType w:val="hybridMultilevel"/>
    <w:lvl w:ilvl="0">
      <w:lvlJc w:val="left"/>
      <w:lvlText w:val="(%1)"/>
      <w:numFmt w:val="lowerRoman"/>
      <w:start w:val="2"/>
    </w:lvl>
  </w:abstractNum>
  <w:abstractNum w:abstractNumId="91">
    <w:nsid w:val="19A52566"/>
    <w:multiLevelType w:val="hybridMultilevel"/>
    <w:lvl w:ilvl="0">
      <w:lvlJc w:val="left"/>
      <w:lvlText w:val="(%1)"/>
      <w:numFmt w:val="lowerLetter"/>
      <w:start w:val="2"/>
    </w:lvl>
  </w:abstractNum>
  <w:abstractNum w:abstractNumId="92">
    <w:nsid w:val="335A1DF1"/>
    <w:multiLevelType w:val="hybridMultilevel"/>
    <w:lvl w:ilvl="0">
      <w:lvlJc w:val="left"/>
      <w:lvlText w:val="(%1)"/>
      <w:numFmt w:val="lowerLetter"/>
      <w:start w:val="5"/>
    </w:lvl>
  </w:abstractNum>
  <w:abstractNum w:abstractNumId="93">
    <w:nsid w:val="28677B7C"/>
    <w:multiLevelType w:val="hybridMultilevel"/>
    <w:lvl w:ilvl="0">
      <w:lvlJc w:val="left"/>
      <w:lvlText w:val="(%1)"/>
      <w:numFmt w:val="lowerLetter"/>
      <w:start w:val="1"/>
    </w:lvl>
  </w:abstractNum>
  <w:abstractNum w:abstractNumId="94">
    <w:nsid w:val="378D97C0"/>
    <w:multiLevelType w:val="hybridMultilevel"/>
    <w:lvl w:ilvl="0">
      <w:lvlJc w:val="left"/>
      <w:lvlText w:val="%1"/>
      <w:numFmt w:val="lowerRoman"/>
      <w:start w:val="1"/>
    </w:lvl>
    <w:lvl w:ilvl="1">
      <w:lvlJc w:val="left"/>
      <w:lvlText w:val="(%2)"/>
      <w:numFmt w:val="lowerLetter"/>
      <w:start w:val="2"/>
    </w:lvl>
  </w:abstractNum>
  <w:abstractNum w:abstractNumId="95">
    <w:nsid w:val="1D91467C"/>
    <w:multiLevelType w:val="hybridMultilevel"/>
    <w:lvl w:ilvl="0">
      <w:lvlJc w:val="left"/>
      <w:lvlText w:val="(%1)"/>
      <w:numFmt w:val="lowerRoman"/>
      <w:start w:val="1"/>
    </w:lvl>
    <w:lvl w:ilvl="1">
      <w:lvlJc w:val="left"/>
      <w:lvlText w:val="%2"/>
      <w:numFmt w:val="lowerLetter"/>
      <w:start w:val="1"/>
    </w:lvl>
  </w:abstractNum>
  <w:abstractNum w:abstractNumId="96">
    <w:nsid w:val="316032BB"/>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97">
    <w:nsid w:val="44344C2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8">
    <w:nsid w:val="13CDFCFC"/>
    <w:multiLevelType w:val="hybridMultilevel"/>
    <w:lvl w:ilvl="0">
      <w:lvlJc w:val="left"/>
      <w:lvlText w:val="(%1)"/>
      <w:numFmt w:val="lowerRoman"/>
      <w:start w:val="1"/>
    </w:lvl>
  </w:abstractNum>
  <w:abstractNum w:abstractNumId="99">
    <w:nsid w:val="471745E4"/>
    <w:multiLevelType w:val="hybridMultilevel"/>
    <w:lvl w:ilvl="0">
      <w:lvlJc w:val="left"/>
      <w:lvlText w:val="(%1)"/>
      <w:numFmt w:val="lowerRoman"/>
      <w:start w:val="2"/>
    </w:lvl>
  </w:abstractNum>
  <w:abstractNum w:abstractNumId="100">
    <w:nsid w:val="1DDBC6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1">
    <w:nsid w:val="30AADFDA"/>
    <w:multiLevelType w:val="hybridMultilevel"/>
    <w:lvl w:ilvl="0">
      <w:lvlJc w:val="left"/>
      <w:lvlText w:val="(%1)"/>
      <w:numFmt w:val="lowerLetter"/>
      <w:start w:val="61"/>
    </w:lvl>
    <w:lvl w:ilvl="1">
      <w:lvlJc w:val="left"/>
      <w:lvlText w:val="(%2)"/>
      <w:numFmt w:val="lowerLetter"/>
      <w:start w:val="6"/>
    </w:lvl>
    <w:lvl w:ilvl="2">
      <w:lvlJc w:val="left"/>
      <w:lvlText w:val="%3"/>
      <w:numFmt w:val="upperLetter"/>
      <w:start w:val="1"/>
    </w:lvl>
  </w:abstractNum>
  <w:abstractNum w:abstractNumId="102">
    <w:nsid w:val="30EADA61"/>
    <w:multiLevelType w:val="hybridMultilevel"/>
    <w:lvl w:ilvl="0">
      <w:lvlJc w:val="left"/>
      <w:lvlText w:val="(%1)"/>
      <w:numFmt w:val="lowerLetter"/>
      <w:start w:val="7"/>
    </w:lvl>
  </w:abstractNum>
  <w:abstractNum w:abstractNumId="103">
    <w:nsid w:val="27179C0B"/>
    <w:multiLevelType w:val="hybridMultilevel"/>
    <w:lvl w:ilvl="0">
      <w:lvlJc w:val="left"/>
      <w:lvlText w:val="%1"/>
      <w:numFmt w:val="lowerLetter"/>
      <w:start w:val="1"/>
    </w:lvl>
    <w:lvl w:ilvl="1">
      <w:lvlJc w:val="left"/>
      <w:lvlText w:val="(%2)"/>
      <w:numFmt w:val="lowerLetter"/>
      <w:start w:val="1"/>
    </w:lvl>
  </w:abstractNum>
  <w:abstractNum w:abstractNumId="104">
    <w:nsid w:val="5E636063"/>
    <w:multiLevelType w:val="hybridMultilevel"/>
    <w:lvl w:ilvl="0">
      <w:lvlJc w:val="left"/>
      <w:lvlText w:val="(%1)"/>
      <w:numFmt w:val="lowerLetter"/>
      <w:start w:val="35"/>
    </w:lvl>
    <w:lvl w:ilvl="1">
      <w:lvlJc w:val="left"/>
      <w:lvlText w:val="%2"/>
      <w:numFmt w:val="lowerLetter"/>
      <w:start w:val="1"/>
    </w:lvl>
  </w:abstractNum>
  <w:abstractNum w:abstractNumId="105">
    <w:nsid w:val="215641AF"/>
    <w:multiLevelType w:val="hybridMultilevel"/>
    <w:lvl w:ilvl="0">
      <w:lvlJc w:val="left"/>
      <w:lvlText w:val="(%1)"/>
      <w:numFmt w:val="lowerLetter"/>
      <w:start w:val="2"/>
    </w:lvl>
  </w:abstractNum>
  <w:abstractNum w:abstractNumId="106">
    <w:nsid w:val="53280662"/>
    <w:multiLevelType w:val="hybridMultilevel"/>
    <w:lvl w:ilvl="0">
      <w:lvlJc w:val="left"/>
      <w:lvlText w:val="(%1)"/>
      <w:numFmt w:val="lowerLetter"/>
      <w:start w:val="4"/>
    </w:lvl>
  </w:abstractNum>
  <w:abstractNum w:abstractNumId="107">
    <w:nsid w:val="46B24DBC"/>
    <w:multiLevelType w:val="hybridMultilevel"/>
    <w:lvl w:ilvl="0">
      <w:lvlJc w:val="left"/>
      <w:lvlText w:val="(%1)"/>
      <w:numFmt w:val="lowerLetter"/>
      <w:start w:val="1"/>
    </w:lvl>
  </w:abstractNum>
  <w:abstractNum w:abstractNumId="108">
    <w:nsid w:val="75B52783"/>
    <w:multiLevelType w:val="hybridMultilevel"/>
    <w:lvl w:ilvl="0">
      <w:lvlJc w:val="left"/>
      <w:lvlText w:val="(%1)"/>
      <w:numFmt w:val="lowerRoman"/>
      <w:start w:val="1"/>
    </w:lvl>
  </w:abstractNum>
  <w:abstractNum w:abstractNumId="109">
    <w:nsid w:val="57CE66B4"/>
    <w:multiLevelType w:val="hybridMultilevel"/>
    <w:lvl w:ilvl="0">
      <w:lvlJc w:val="left"/>
      <w:lvlText w:val="(%1)"/>
      <w:numFmt w:val="lowerLetter"/>
      <w:start w:val="1"/>
    </w:lvl>
  </w:abstractNum>
  <w:abstractNum w:abstractNumId="110">
    <w:nsid w:val="67A70B69"/>
    <w:multiLevelType w:val="hybridMultilevel"/>
    <w:lvl w:ilvl="0">
      <w:lvlJc w:val="left"/>
      <w:lvlText w:val="(%1)"/>
      <w:numFmt w:val="lowerLetter"/>
      <w:start w:val="1"/>
    </w:lvl>
  </w:abstractNum>
  <w:abstractNum w:abstractNumId="111">
    <w:nsid w:val="5953172F"/>
    <w:multiLevelType w:val="hybridMultilevel"/>
    <w:lvl w:ilvl="0">
      <w:lvlJc w:val="left"/>
      <w:lvlText w:val="(%1)"/>
      <w:numFmt w:val="lowerLetter"/>
      <w:start w:val="2"/>
    </w:lvl>
  </w:abstractNum>
  <w:abstractNum w:abstractNumId="112">
    <w:nsid w:val="27EDFE3A"/>
    <w:multiLevelType w:val="hybridMultilevel"/>
    <w:lvl w:ilvl="0">
      <w:lvlJc w:val="left"/>
      <w:lvlText w:val="%1"/>
      <w:numFmt w:val="lowerLetter"/>
      <w:start w:val="1"/>
    </w:lvl>
    <w:lvl w:ilvl="1">
      <w:lvlJc w:val="left"/>
      <w:lvlText w:val="(%2)"/>
      <w:numFmt w:val="lowerLetter"/>
      <w:start w:val="4"/>
    </w:lvl>
  </w:abstractNum>
  <w:abstractNum w:abstractNumId="113">
    <w:nsid w:val="52AC7DFF"/>
    <w:multiLevelType w:val="hybridMultilevel"/>
    <w:lvl w:ilvl="0">
      <w:lvlJc w:val="left"/>
      <w:lvlText w:val="(%1)"/>
      <w:numFmt w:val="lowerLetter"/>
      <w:start w:val="35"/>
    </w:lvl>
    <w:lvl w:ilvl="1">
      <w:lvlJc w:val="left"/>
      <w:lvlText w:val="%2"/>
      <w:numFmt w:val="lowerLetter"/>
      <w:start w:val="1"/>
    </w:lvl>
  </w:abstractNum>
  <w:abstractNum w:abstractNumId="114">
    <w:nsid w:val="C4C3AF"/>
    <w:multiLevelType w:val="hybridMultilevel"/>
    <w:lvl w:ilvl="0">
      <w:lvlJc w:val="left"/>
      <w:lvlText w:val="(%1)"/>
      <w:numFmt w:val="lowerLetter"/>
      <w:start w:val="5"/>
    </w:lvl>
  </w:abstractNum>
  <w:abstractNum w:abstractNumId="115">
    <w:nsid w:val="44380727"/>
    <w:multiLevelType w:val="hybridMultilevel"/>
    <w:lvl w:ilvl="0">
      <w:lvlJc w:val="left"/>
      <w:lvlText w:val="(%1)"/>
      <w:numFmt w:val="lowerLetter"/>
      <w:start w:val="1"/>
    </w:lvl>
    <w:lvl w:ilvl="1">
      <w:lvlJc w:val="left"/>
      <w:lvlText w:val="(%2)"/>
      <w:numFmt w:val="lowerLetter"/>
      <w:start w:val="9"/>
    </w:lvl>
  </w:abstractNum>
  <w:abstractNum w:abstractNumId="116">
    <w:nsid w:val="6C053B16"/>
    <w:multiLevelType w:val="hybridMultilevel"/>
    <w:lvl w:ilvl="0">
      <w:lvlJc w:val="left"/>
      <w:lvlText w:val="%1"/>
      <w:numFmt w:val="lowerLetter"/>
      <w:start w:val="1"/>
    </w:lvl>
    <w:lvl w:ilvl="1">
      <w:lvlJc w:val="left"/>
      <w:lvlText w:val="(%2)"/>
      <w:numFmt w:val="lowerRoman"/>
      <w:start w:val="2"/>
    </w:lvl>
  </w:abstractNum>
  <w:abstractNum w:abstractNumId="117">
    <w:nsid w:val="4F294393"/>
    <w:multiLevelType w:val="hybridMultilevel"/>
    <w:lvl w:ilvl="0">
      <w:lvlJc w:val="left"/>
      <w:lvlText w:val="(%1)"/>
      <w:numFmt w:val="lowerLetter"/>
      <w:start w:val="2"/>
    </w:lvl>
    <w:lvl w:ilvl="1">
      <w:lvlJc w:val="left"/>
      <w:lvlText w:val="%2"/>
      <w:numFmt w:val="lowerRoman"/>
      <w:start w:val="1"/>
    </w:lvl>
  </w:abstractNum>
  <w:abstractNum w:abstractNumId="118">
    <w:nsid w:val="5243BFAC"/>
    <w:multiLevelType w:val="hybridMultilevel"/>
    <w:lvl w:ilvl="0">
      <w:lvlJc w:val="left"/>
      <w:lvlText w:val="(%1)"/>
      <w:numFmt w:val="lowerLetter"/>
      <w:start w:val="3"/>
    </w:lvl>
  </w:abstractNum>
  <w:abstractNum w:abstractNumId="119">
    <w:nsid w:val="425EB207"/>
    <w:multiLevelType w:val="hybridMultilevel"/>
    <w:lvl w:ilvl="0">
      <w:lvlJc w:val="left"/>
      <w:lvlText w:val="(%1)"/>
      <w:numFmt w:val="lowerLetter"/>
      <w:start w:val="1"/>
    </w:lvl>
  </w:abstractNum>
  <w:abstractNum w:abstractNumId="120">
    <w:nsid w:val="334A6F1F"/>
    <w:multiLevelType w:val="hybridMultilevel"/>
    <w:lvl w:ilvl="0">
      <w:lvlJc w:val="left"/>
      <w:lvlText w:val="(%1)"/>
      <w:numFmt w:val="lowerLetter"/>
      <w:start w:val="1"/>
    </w:lvl>
  </w:abstractNum>
  <w:abstractNum w:abstractNumId="121">
    <w:nsid w:val="2E5B12B8"/>
    <w:multiLevelType w:val="hybridMultilevel"/>
    <w:lvl w:ilvl="0">
      <w:lvlJc w:val="left"/>
      <w:lvlText w:val="%1"/>
      <w:numFmt w:val="lowerLetter"/>
      <w:start w:val="1"/>
    </w:lvl>
    <w:lvl w:ilvl="1">
      <w:lvlJc w:val="left"/>
      <w:lvlText w:val="(%2)"/>
      <w:numFmt w:val="lowerLetter"/>
      <w:start w:val="1"/>
    </w:lvl>
  </w:abstractNum>
  <w:abstractNum w:abstractNumId="122">
    <w:nsid w:val="5C03D76D"/>
    <w:multiLevelType w:val="hybridMultilevel"/>
    <w:lvl w:ilvl="0">
      <w:lvlJc w:val="left"/>
      <w:lvlText w:val="(%1)"/>
      <w:numFmt w:val="lowerLetter"/>
      <w:start w:val="35"/>
    </w:lvl>
    <w:lvl w:ilvl="1">
      <w:lvlJc w:val="left"/>
      <w:lvlText w:val="%2"/>
      <w:numFmt w:val="lowerLetter"/>
      <w:start w:val="1"/>
    </w:lvl>
  </w:abstractNum>
  <w:abstractNum w:abstractNumId="123">
    <w:nsid w:val="66A48D11"/>
    <w:multiLevelType w:val="hybridMultilevel"/>
    <w:lvl w:ilvl="0">
      <w:lvlJc w:val="left"/>
      <w:lvlText w:val="(%1)"/>
      <w:numFmt w:val="lowerLetter"/>
      <w:start w:val="1"/>
    </w:lvl>
  </w:abstractNum>
  <w:abstractNum w:abstractNumId="124">
    <w:nsid w:val="56C28E34"/>
    <w:multiLevelType w:val="hybridMultilevel"/>
    <w:lvl w:ilvl="0">
      <w:lvlJc w:val="left"/>
      <w:lvlText w:val="(%1)"/>
      <w:numFmt w:val="lowerLetter"/>
      <w:start w:val="1"/>
    </w:lvl>
  </w:abstractNum>
  <w:abstractNum w:abstractNumId="125">
    <w:nsid w:val="13916F2D"/>
    <w:multiLevelType w:val="hybridMultilevel"/>
    <w:lvl w:ilvl="0">
      <w:lvlJc w:val="left"/>
      <w:lvlText w:val="(%1)"/>
      <w:numFmt w:val="lowerLetter"/>
      <w:start w:val="1"/>
    </w:lvl>
  </w:abstractNum>
  <w:abstractNum w:abstractNumId="126">
    <w:nsid w:val="435D38D"/>
    <w:multiLevelType w:val="hybridMultilevel"/>
    <w:lvl w:ilvl="0">
      <w:lvlJc w:val="left"/>
      <w:lvlText w:val="(%1)"/>
      <w:numFmt w:val="lowerLetter"/>
      <w:start w:val="3"/>
    </w:lvl>
  </w:abstractNum>
  <w:abstractNum w:abstractNumId="127">
    <w:nsid w:val="822C0EF"/>
    <w:multiLevelType w:val="hybridMultilevel"/>
    <w:lvl w:ilvl="0">
      <w:lvlJc w:val="left"/>
      <w:lvlText w:val="(%1)"/>
      <w:numFmt w:val="lowerLetter"/>
      <w:start w:val="2"/>
    </w:lvl>
  </w:abstractNum>
  <w:abstractNum w:abstractNumId="128">
    <w:nsid w:val="57C5BB4F"/>
    <w:multiLevelType w:val="hybridMultilevel"/>
    <w:lvl w:ilvl="0">
      <w:lvlJc w:val="left"/>
      <w:lvlText w:val="(%1)"/>
      <w:numFmt w:val="lowerLetter"/>
      <w:start w:val="6"/>
    </w:lvl>
  </w:abstractNum>
  <w:abstractNum w:abstractNumId="129">
    <w:nsid w:val="1803D089"/>
    <w:multiLevelType w:val="hybridMultilevel"/>
    <w:lvl w:ilvl="0">
      <w:lvlJc w:val="left"/>
      <w:lvlText w:val="(%1)"/>
      <w:numFmt w:val="lowerLetter"/>
      <w:start w:val="1"/>
    </w:lvl>
  </w:abstractNum>
  <w:abstractNum w:abstractNumId="130">
    <w:nsid w:val="4F3A06D4"/>
    <w:multiLevelType w:val="hybridMultilevel"/>
    <w:lvl w:ilvl="0">
      <w:lvlJc w:val="left"/>
      <w:lvlText w:val="%1"/>
      <w:numFmt w:val="lowerLetter"/>
      <w:start w:val="1"/>
    </w:lvl>
    <w:lvl w:ilvl="1">
      <w:lvlJc w:val="left"/>
      <w:lvlText w:val="(%2)"/>
      <w:numFmt w:val="lowerLetter"/>
      <w:start w:val="4"/>
    </w:lvl>
  </w:abstractNum>
  <w:abstractNum w:abstractNumId="131">
    <w:nsid w:val="59A377B6"/>
    <w:multiLevelType w:val="hybridMultilevel"/>
    <w:lvl w:ilvl="0">
      <w:lvlJc w:val="left"/>
      <w:lvlText w:val="(%1)"/>
      <w:numFmt w:val="lowerLetter"/>
      <w:start w:val="35"/>
    </w:lvl>
    <w:lvl w:ilvl="1">
      <w:lvlJc w:val="left"/>
      <w:lvlText w:val="(%2)"/>
      <w:numFmt w:val="lowerLetter"/>
      <w:start w:val="6"/>
    </w:lvl>
  </w:abstractNum>
  <w:abstractNum w:abstractNumId="132">
    <w:nsid w:val="48AEB063"/>
    <w:multiLevelType w:val="hybridMultilevel"/>
    <w:lvl w:ilvl="0">
      <w:lvlJc w:val="left"/>
      <w:lvlText w:val="(%1)"/>
      <w:numFmt w:val="lowerLetter"/>
      <w:start w:val="1"/>
    </w:lvl>
  </w:abstractNum>
  <w:abstractNum w:abstractNumId="133">
    <w:nsid w:val="24E135"/>
    <w:multiLevelType w:val="hybridMultilevel"/>
    <w:lvl w:ilvl="0">
      <w:lvlJc w:val="left"/>
      <w:lvlText w:val="(%1)"/>
      <w:numFmt w:val="lowerLetter"/>
      <w:start w:val="1"/>
    </w:lvl>
  </w:abstractNum>
  <w:abstractNum w:abstractNumId="134">
    <w:nsid w:val="BB13C1"/>
    <w:multiLevelType w:val="hybridMultilevel"/>
    <w:lvl w:ilvl="0">
      <w:lvlJc w:val="left"/>
      <w:lvlText w:val="(%1)"/>
      <w:numFmt w:val="lowerLetter"/>
      <w:start w:val="1"/>
    </w:lvl>
  </w:abstractNum>
  <w:abstractNum w:abstractNumId="135">
    <w:nsid w:val="271210C7"/>
    <w:multiLevelType w:val="hybridMultilevel"/>
    <w:lvl w:ilvl="0">
      <w:lvlJc w:val="left"/>
      <w:lvlText w:val="(%1)"/>
      <w:numFmt w:val="lowerLetter"/>
      <w:start w:val="2"/>
    </w:lvl>
  </w:abstractNum>
  <w:abstractNum w:abstractNumId="136">
    <w:nsid w:val="217B22E4"/>
    <w:multiLevelType w:val="hybridMultilevel"/>
    <w:lvl w:ilvl="0">
      <w:lvlJc w:val="left"/>
      <w:lvlText w:val="(%1)"/>
      <w:numFmt w:val="lowerLetter"/>
      <w:start w:val="4"/>
    </w:lvl>
  </w:abstractNum>
  <w:abstractNum w:abstractNumId="137">
    <w:nsid w:val="53E31A24"/>
    <w:multiLevelType w:val="hybridMultilevel"/>
    <w:lvl w:ilvl="0">
      <w:lvlJc w:val="left"/>
      <w:lvlText w:val="(%1)"/>
      <w:numFmt w:val="lowerLetter"/>
      <w:start w:val="1"/>
    </w:lvl>
  </w:abstractNum>
  <w:abstractNum w:abstractNumId="138">
    <w:nsid w:val="6DC45E83"/>
    <w:multiLevelType w:val="hybridMultilevel"/>
    <w:lvl w:ilvl="0">
      <w:lvlJc w:val="left"/>
      <w:lvlText w:val="(%1)"/>
      <w:numFmt w:val="lowerLetter"/>
      <w:start w:val="2"/>
    </w:lvl>
  </w:abstractNum>
  <w:abstractNum w:abstractNumId="139">
    <w:nsid w:val="17304A67"/>
    <w:multiLevelType w:val="hybridMultilevel"/>
    <w:lvl w:ilvl="0">
      <w:lvlJc w:val="left"/>
      <w:lvlText w:val="(%1)"/>
      <w:numFmt w:val="lowerLetter"/>
      <w:start w:val="1"/>
    </w:lvl>
  </w:abstractNum>
  <w:abstractNum w:abstractNumId="140">
    <w:nsid w:val="2BB180D8"/>
    <w:multiLevelType w:val="hybridMultilevel"/>
    <w:lvl w:ilvl="0">
      <w:lvlJc w:val="left"/>
      <w:lvlText w:val="(%1)"/>
      <w:numFmt w:val="decimal"/>
      <w:start w:val="270"/>
    </w:lvl>
    <w:lvl w:ilvl="1">
      <w:lvlJc w:val="left"/>
      <w:lvlText w:val="(%2)"/>
      <w:numFmt w:val="lowerLetter"/>
      <w:start w:val="5"/>
    </w:lvl>
  </w:abstractNum>
  <w:abstractNum w:abstractNumId="141">
    <w:nsid w:val="556B69ED"/>
    <w:multiLevelType w:val="hybridMultilevel"/>
    <w:lvl w:ilvl="0">
      <w:lvlJc w:val="left"/>
      <w:lvlText w:val="%1"/>
      <w:numFmt w:val="lowerLetter"/>
      <w:start w:val="1"/>
    </w:lvl>
    <w:lvl w:ilvl="1">
      <w:lvlJc w:val="left"/>
      <w:lvlText w:val="(%2)"/>
      <w:numFmt w:val="lowerLetter"/>
      <w:start w:val="13"/>
    </w:lvl>
  </w:abstractNum>
  <w:abstractNum w:abstractNumId="142">
    <w:nsid w:val="70836196"/>
    <w:multiLevelType w:val="hybridMultilevel"/>
    <w:lvl w:ilvl="0">
      <w:lvlJc w:val="left"/>
      <w:lvlText w:val="(%1)"/>
      <w:numFmt w:val="lowerLetter"/>
      <w:start w:val="25"/>
    </w:lvl>
    <w:lvl w:ilvl="1">
      <w:lvlJc w:val="left"/>
      <w:lvlText w:val="(%2)"/>
      <w:numFmt w:val="lowerLetter"/>
      <w:start w:val="14"/>
    </w:lvl>
  </w:abstractNum>
  <w:abstractNum w:abstractNumId="143">
    <w:nsid w:val="539F7F12"/>
    <w:multiLevelType w:val="hybridMultilevel"/>
    <w:lvl w:ilvl="0">
      <w:lvlJc w:val="left"/>
      <w:lvlText w:val="(%1)"/>
      <w:numFmt w:val="lowerLetter"/>
      <w:start w:val="35"/>
    </w:lvl>
    <w:lvl w:ilvl="1">
      <w:lvlJc w:val="left"/>
      <w:lvlText w:val="(%2)"/>
      <w:numFmt w:val="lowerLetter"/>
      <w:start w:val="17"/>
    </w:lvl>
  </w:abstractNum>
  <w:abstractNum w:abstractNumId="144">
    <w:nsid w:val="2817E7EC"/>
    <w:multiLevelType w:val="hybridMultilevel"/>
    <w:lvl w:ilvl="0">
      <w:lvlJc w:val="left"/>
      <w:lvlText w:val="(%1)"/>
      <w:numFmt w:val="lowerLetter"/>
      <w:start w:val="1"/>
    </w:lvl>
  </w:abstractNum>
  <w:abstractNum w:abstractNumId="145">
    <w:nsid w:val="71482545"/>
    <w:multiLevelType w:val="hybridMultilevel"/>
    <w:lvl w:ilvl="0">
      <w:lvlJc w:val="left"/>
      <w:lvlText w:val="%1"/>
      <w:numFmt w:val="lowerLetter"/>
      <w:start w:val="1"/>
    </w:lvl>
    <w:lvl w:ilvl="1">
      <w:lvlJc w:val="left"/>
      <w:lvlText w:val="(%2)"/>
      <w:numFmt w:val="lowerLetter"/>
      <w:start w:val="3"/>
    </w:lvl>
  </w:abstractNum>
  <w:abstractNum w:abstractNumId="146">
    <w:nsid w:val="17D78639"/>
    <w:multiLevelType w:val="hybridMultilevel"/>
    <w:lvl w:ilvl="0">
      <w:lvlJc w:val="left"/>
      <w:lvlText w:val="(%1)"/>
      <w:numFmt w:val="lowerLetter"/>
      <w:start w:val="35"/>
    </w:lvl>
    <w:lvl w:ilvl="1">
      <w:lvlJc w:val="left"/>
      <w:lvlText w:val="%2"/>
      <w:numFmt w:val="lowerLetter"/>
      <w:start w:val="1"/>
    </w:lvl>
  </w:abstractNum>
  <w:abstractNum w:abstractNumId="147">
    <w:nsid w:val="141D2302"/>
    <w:multiLevelType w:val="hybridMultilevel"/>
    <w:lvl w:ilvl="0">
      <w:lvlJc w:val="left"/>
      <w:lvlText w:val="%1"/>
      <w:numFmt w:val="lowerLetter"/>
      <w:start w:val="1"/>
    </w:lvl>
    <w:lvl w:ilvl="1">
      <w:lvlJc w:val="left"/>
      <w:lvlText w:val="(%2)"/>
      <w:numFmt w:val="lowerLetter"/>
      <w:start w:val="8"/>
    </w:lvl>
  </w:abstractNum>
  <w:abstractNum w:abstractNumId="148">
    <w:nsid w:val="407168D8"/>
    <w:multiLevelType w:val="hybridMultilevel"/>
    <w:lvl w:ilvl="0">
      <w:lvlJc w:val="left"/>
      <w:lvlText w:val="(%1)"/>
      <w:numFmt w:val="lowerLetter"/>
      <w:start w:val="35"/>
    </w:lvl>
    <w:lvl w:ilvl="1">
      <w:lvlJc w:val="left"/>
      <w:lvlText w:val="(%2)"/>
      <w:numFmt w:val="lowerLetter"/>
      <w:start w:val="12"/>
    </w:lvl>
  </w:abstractNum>
  <w:abstractNum w:abstractNumId="149">
    <w:nsid w:val="6A1B45E5"/>
    <w:multiLevelType w:val="hybridMultilevel"/>
    <w:lvl w:ilvl="0">
      <w:lvlJc w:val="left"/>
      <w:lvlText w:val="(%1)"/>
      <w:numFmt w:val="lowerLetter"/>
      <w:start w:val="18"/>
    </w:lvl>
  </w:abstractNum>
  <w:abstractNum w:abstractNumId="150">
    <w:nsid w:val="567BD50A"/>
    <w:multiLevelType w:val="hybridMultilevel"/>
    <w:lvl w:ilvl="0">
      <w:lvlJc w:val="left"/>
      <w:lvlText w:val="(%1)"/>
      <w:numFmt w:val="lowerLetter"/>
      <w:start w:val="19"/>
    </w:lvl>
  </w:abstractNum>
  <w:abstractNum w:abstractNumId="151">
    <w:nsid w:val="73BBD7F8"/>
    <w:multiLevelType w:val="hybridMultilevel"/>
    <w:lvl w:ilvl="0">
      <w:lvlJc w:val="left"/>
      <w:lvlText w:val="(%1)"/>
      <w:numFmt w:val="lowerLetter"/>
      <w:start w:val="7"/>
    </w:lvl>
  </w:abstractNum>
  <w:abstractNum w:abstractNumId="152">
    <w:nsid w:val="1876589D"/>
    <w:multiLevelType w:val="hybridMultilevel"/>
    <w:lvl w:ilvl="0">
      <w:lvlJc w:val="left"/>
      <w:lvlText w:val="(%1)"/>
      <w:numFmt w:val="lowerLetter"/>
      <w:start w:val="1"/>
    </w:lvl>
  </w:abstractNum>
  <w:abstractNum w:abstractNumId="153">
    <w:nsid w:val="327FAC77"/>
    <w:multiLevelType w:val="hybridMultilevel"/>
    <w:lvl w:ilvl="0">
      <w:lvlJc w:val="left"/>
      <w:lvlText w:val="(%1)"/>
      <w:numFmt w:val="lowerLetter"/>
      <w:start w:val="5"/>
    </w:lvl>
  </w:abstractNum>
  <w:abstractNum w:abstractNumId="154">
    <w:nsid w:val="5A606509"/>
    <w:multiLevelType w:val="hybridMultilevel"/>
    <w:lvl w:ilvl="0">
      <w:lvlJc w:val="left"/>
      <w:lvlText w:val="(%1)"/>
      <w:numFmt w:val="lowerLetter"/>
      <w:start w:val="18"/>
    </w:lvl>
  </w:abstractNum>
  <w:abstractNum w:abstractNumId="155">
    <w:nsid w:val="6F38E6D1"/>
    <w:multiLevelType w:val="hybridMultilevel"/>
    <w:lvl w:ilvl="0">
      <w:lvlJc w:val="left"/>
      <w:lvlText w:val="(%1)"/>
      <w:numFmt w:val="lowerLetter"/>
      <w:start w:val="15"/>
    </w:lvl>
  </w:abstractNum>
  <w:abstractNum w:abstractNumId="156">
    <w:nsid w:val="46111BA5"/>
    <w:multiLevelType w:val="hybridMultilevel"/>
    <w:lvl w:ilvl="0">
      <w:lvlJc w:val="left"/>
      <w:lvlText w:val="(%1)"/>
      <w:numFmt w:val="lowerRoman"/>
      <w:start w:val="10"/>
    </w:lvl>
  </w:abstractNum>
  <w:abstractNum w:abstractNumId="157">
    <w:nsid w:val="5E963896"/>
    <w:multiLevelType w:val="hybridMultilevel"/>
    <w:lvl w:ilvl="0">
      <w:lvlJc w:val="left"/>
      <w:lvlText w:val="%1"/>
      <w:numFmt w:val="lowerLetter"/>
      <w:start w:val="1"/>
    </w:lvl>
    <w:lvl w:ilvl="1">
      <w:lvlJc w:val="left"/>
      <w:lvlText w:val="(%2)"/>
      <w:numFmt w:val="lowerLetter"/>
      <w:start w:val="1"/>
    </w:lvl>
  </w:abstractNum>
  <w:abstractNum w:abstractNumId="158">
    <w:nsid w:val="775BA7C1"/>
    <w:multiLevelType w:val="hybridMultilevel"/>
    <w:lvl w:ilvl="0">
      <w:lvlJc w:val="left"/>
      <w:lvlText w:val="(%1)"/>
      <w:numFmt w:val="lowerLetter"/>
      <w:start w:val="1"/>
    </w:lvl>
    <w:lvl w:ilvl="1">
      <w:lvlJc w:val="left"/>
      <w:lvlText w:val="(%2)"/>
      <w:numFmt w:val="lowerLetter"/>
      <w:start w:val="3"/>
    </w:lvl>
  </w:abstractNum>
  <w:abstractNum w:abstractNumId="159">
    <w:nsid w:val="1DD6D6F4"/>
    <w:multiLevelType w:val="hybridMultilevel"/>
    <w:lvl w:ilvl="0">
      <w:lvlJc w:val="left"/>
      <w:lvlText w:val="%1"/>
      <w:numFmt w:val="lowerLetter"/>
      <w:start w:val="1"/>
    </w:lvl>
    <w:lvl w:ilvl="1">
      <w:lvlJc w:val="left"/>
      <w:lvlText w:val="(%2)"/>
      <w:numFmt w:val="lowerLetter"/>
      <w:start w:val="6"/>
    </w:lvl>
  </w:abstractNum>
  <w:abstractNum w:abstractNumId="160">
    <w:nsid w:val="769A091F"/>
    <w:multiLevelType w:val="hybridMultilevel"/>
    <w:lvl w:ilvl="0">
      <w:lvlJc w:val="left"/>
      <w:lvlText w:val="(%1)"/>
      <w:numFmt w:val="lowerLetter"/>
      <w:start w:val="35"/>
    </w:lvl>
    <w:lvl w:ilvl="1">
      <w:lvlJc w:val="left"/>
      <w:lvlText w:val="(%2)"/>
      <w:numFmt w:val="lowerLetter"/>
      <w:start w:val="8"/>
    </w:lvl>
  </w:abstractNum>
  <w:abstractNum w:abstractNumId="161">
    <w:nsid w:val="4695AE95"/>
    <w:multiLevelType w:val="hybridMultilevel"/>
    <w:lvl w:ilvl="0">
      <w:lvlJc w:val="left"/>
      <w:lvlText w:val="(%1)"/>
      <w:numFmt w:val="lowerLetter"/>
      <w:start w:val="10"/>
    </w:lvl>
  </w:abstractNum>
  <w:abstractNum w:abstractNumId="162">
    <w:nsid w:val="777A4EAA"/>
    <w:multiLevelType w:val="hybridMultilevel"/>
    <w:lvl w:ilvl="0">
      <w:lvlJc w:val="left"/>
      <w:lvlText w:val="(%1)"/>
      <w:numFmt w:val="lowerLetter"/>
      <w:start w:val="1"/>
    </w:lvl>
  </w:abstractNum>
  <w:abstractNum w:abstractNumId="163">
    <w:nsid w:val="3F48B982"/>
    <w:multiLevelType w:val="hybridMultilevel"/>
    <w:lvl w:ilvl="0">
      <w:lvlJc w:val="left"/>
      <w:lvlText w:val="(%1)"/>
      <w:numFmt w:val="lowerLetter"/>
      <w:start w:val="5"/>
    </w:lvl>
    <w:lvl w:ilvl="1">
      <w:lvlJc w:val="left"/>
      <w:lvlText w:val="(%2)"/>
      <w:numFmt w:val="lowerLetter"/>
      <w:start w:val="4"/>
    </w:lvl>
  </w:abstractNum>
  <w:abstractNum w:abstractNumId="164">
    <w:nsid w:val="46BA8FCA"/>
    <w:multiLevelType w:val="hybridMultilevel"/>
    <w:lvl w:ilvl="0">
      <w:lvlJc w:val="left"/>
      <w:lvlText w:val="%1"/>
      <w:numFmt w:val="lowerRoman"/>
      <w:start w:val="1"/>
    </w:lvl>
    <w:lvl w:ilvl="1">
      <w:lvlJc w:val="left"/>
      <w:lvlText w:val="(%2)"/>
      <w:numFmt w:val="lowerLetter"/>
      <w:start w:val="6"/>
    </w:lvl>
  </w:abstractNum>
  <w:abstractNum w:abstractNumId="165">
    <w:nsid w:val="7835626C"/>
    <w:multiLevelType w:val="hybridMultilevel"/>
    <w:lvl w:ilvl="0">
      <w:lvlJc w:val="left"/>
      <w:lvlText w:val="(%1)"/>
      <w:numFmt w:val="lowerRoman"/>
      <w:start w:val="2"/>
    </w:lvl>
    <w:lvl w:ilvl="1">
      <w:lvlJc w:val="left"/>
      <w:lvlText w:val="%2"/>
      <w:numFmt w:val="lowerLetter"/>
      <w:start w:val="1"/>
    </w:lvl>
  </w:abstractNum>
  <w:abstractNum w:abstractNumId="166">
    <w:nsid w:val="665ACA49"/>
    <w:multiLevelType w:val="hybridMultilevel"/>
    <w:lvl w:ilvl="0">
      <w:lvlJc w:val="left"/>
      <w:lvlText w:val="(%1)"/>
      <w:numFmt w:val="lowerRoman"/>
      <w:start w:val="4"/>
    </w:lvl>
  </w:abstractNum>
  <w:abstractNum w:abstractNumId="167">
    <w:nsid w:val="6835B2AE"/>
    <w:multiLevelType w:val="hybridMultilevel"/>
    <w:lvl w:ilvl="0">
      <w:lvlJc w:val="left"/>
      <w:lvlText w:val="(%1)"/>
      <w:numFmt w:val="lowerLetter"/>
      <w:start w:val="7"/>
    </w:lvl>
  </w:abstractNum>
  <w:abstractNum w:abstractNumId="168">
    <w:nsid w:val="4C187C90"/>
    <w:multiLevelType w:val="hybridMultilevel"/>
    <w:lvl w:ilvl="0">
      <w:lvlJc w:val="left"/>
      <w:lvlText w:val="(%1)"/>
      <w:numFmt w:val="lowerLetter"/>
      <w:start w:val="10"/>
    </w:lvl>
  </w:abstractNum>
  <w:abstractNum w:abstractNumId="169">
    <w:nsid w:val="541F28CD"/>
    <w:multiLevelType w:val="hybridMultilevel"/>
    <w:lvl w:ilvl="0">
      <w:lvlJc w:val="left"/>
      <w:lvlText w:val="%1"/>
      <w:numFmt w:val="lowerRoman"/>
      <w:start w:val="1"/>
    </w:lvl>
    <w:lvl w:ilvl="1">
      <w:lvlJc w:val="left"/>
      <w:lvlText w:val="(%2)"/>
      <w:numFmt w:val="lowerLetter"/>
      <w:start w:val="1"/>
    </w:lvl>
  </w:abstractNum>
  <w:abstractNum w:abstractNumId="170">
    <w:nsid w:val="7F65FD16"/>
    <w:multiLevelType w:val="hybridMultilevel"/>
    <w:lvl w:ilvl="0">
      <w:lvlJc w:val="left"/>
      <w:lvlText w:val="(%1)"/>
      <w:numFmt w:val="lowerRoman"/>
      <w:start w:val="1"/>
    </w:lvl>
    <w:lvl w:ilvl="1">
      <w:lvlJc w:val="left"/>
      <w:lvlText w:val="%2"/>
      <w:numFmt w:val="lowerLetter"/>
      <w:start w:val="1"/>
    </w:lvl>
  </w:abstractNum>
  <w:abstractNum w:abstractNumId="171">
    <w:nsid w:val="77C9FD68"/>
    <w:multiLevelType w:val="hybridMultilevel"/>
    <w:lvl w:ilvl="0">
      <w:lvlJc w:val="left"/>
      <w:lvlText w:val="(%1)"/>
      <w:numFmt w:val="lowerLetter"/>
      <w:start w:val="2"/>
    </w:lvl>
  </w:abstractNum>
  <w:abstractNum w:abstractNumId="172">
    <w:nsid w:val="298A92BA"/>
    <w:multiLevelType w:val="hybridMultilevel"/>
    <w:lvl w:ilvl="0">
      <w:lvlJc w:val="left"/>
      <w:lvlText w:val="(%1)"/>
      <w:numFmt w:val="lowerLetter"/>
      <w:start w:val="35"/>
    </w:lvl>
    <w:lvl w:ilvl="1">
      <w:lvlJc w:val="left"/>
      <w:lvlText w:val="(%2)"/>
      <w:numFmt w:val="lowerLetter"/>
      <w:start w:val="3"/>
    </w:lvl>
  </w:abstractNum>
  <w:abstractNum w:abstractNumId="173">
    <w:nsid w:val="6FE95EAC"/>
    <w:multiLevelType w:val="hybridMultilevel"/>
    <w:lvl w:ilvl="0">
      <w:lvlJc w:val="left"/>
      <w:lvlText w:val="(%1)"/>
      <w:numFmt w:val="lowerLetter"/>
      <w:start w:val="4"/>
    </w:lvl>
  </w:abstractNum>
  <w:abstractNum w:abstractNumId="174">
    <w:nsid w:val="4B697C7A"/>
    <w:multiLevelType w:val="hybridMultilevel"/>
    <w:lvl w:ilvl="0">
      <w:lvlJc w:val="left"/>
      <w:lvlText w:val="(%1)"/>
      <w:numFmt w:val="lowerLetter"/>
      <w:start w:val="1"/>
    </w:lvl>
  </w:abstractNum>
  <w:abstractNum w:abstractNumId="175">
    <w:nsid w:val="51A27AA6"/>
    <w:multiLevelType w:val="hybridMultilevel"/>
    <w:lvl w:ilvl="0">
      <w:lvlJc w:val="left"/>
      <w:lvlText w:val="(%1)"/>
      <w:numFmt w:val="lowerLetter"/>
      <w:start w:val="2"/>
    </w:lvl>
  </w:abstractNum>
  <w:abstractNum w:abstractNumId="176">
    <w:nsid w:val="613183F2"/>
    <w:multiLevelType w:val="hybridMultilevel"/>
    <w:lvl w:ilvl="0">
      <w:lvlJc w:val="left"/>
      <w:lvlText w:val="%1"/>
      <w:numFmt w:val="lowerLetter"/>
      <w:start w:val="1"/>
    </w:lvl>
    <w:lvl w:ilvl="1">
      <w:lvlJc w:val="left"/>
      <w:lvlText w:val="(%2)"/>
      <w:numFmt w:val="lowerLetter"/>
      <w:start w:val="1"/>
    </w:lvl>
  </w:abstractNum>
  <w:abstractNum w:abstractNumId="177">
    <w:nsid w:val="634102B4"/>
    <w:multiLevelType w:val="hybridMultilevel"/>
    <w:lvl w:ilvl="0">
      <w:lvlJc w:val="left"/>
      <w:lvlText w:val="(%1)"/>
      <w:numFmt w:val="lowerLetter"/>
      <w:start w:val="9"/>
    </w:lvl>
    <w:lvl w:ilvl="1">
      <w:lvlJc w:val="left"/>
      <w:lvlText w:val="%2"/>
      <w:numFmt w:val="lowerLetter"/>
      <w:start w:val="1"/>
    </w:lvl>
  </w:abstractNum>
  <w:abstractNum w:abstractNumId="178">
    <w:nsid w:val="65BF9DA8"/>
    <w:multiLevelType w:val="hybridMultilevel"/>
    <w:lvl w:ilvl="0">
      <w:lvlJc w:val="left"/>
      <w:lvlText w:val="(%1)"/>
      <w:numFmt w:val="lowerLetter"/>
      <w:start w:val="3"/>
    </w:lvl>
  </w:abstractNum>
  <w:abstractNum w:abstractNumId="179">
    <w:nsid w:val="21A2ECCA"/>
    <w:multiLevelType w:val="hybridMultilevel"/>
    <w:lvl w:ilvl="0">
      <w:lvlJc w:val="left"/>
      <w:lvlText w:val="%1"/>
      <w:numFmt w:val="lowerLetter"/>
      <w:start w:val="1"/>
    </w:lvl>
    <w:lvl w:ilvl="1">
      <w:lvlJc w:val="left"/>
      <w:lvlText w:val="(%2)"/>
      <w:numFmt w:val="lowerLetter"/>
      <w:start w:val="1"/>
    </w:lvl>
  </w:abstractNum>
  <w:abstractNum w:abstractNumId="180">
    <w:nsid w:val="4D5C4899"/>
    <w:multiLevelType w:val="hybridMultilevel"/>
    <w:lvl w:ilvl="0">
      <w:lvlJc w:val="left"/>
      <w:lvlText w:val="(%1)"/>
      <w:numFmt w:val="lowerLetter"/>
      <w:start w:val="9"/>
    </w:lvl>
    <w:lvl w:ilvl="1">
      <w:lvlJc w:val="left"/>
      <w:lvlText w:val="%2"/>
      <w:numFmt w:val="lowerLetter"/>
      <w:start w:val="1"/>
    </w:lvl>
  </w:abstractNum>
  <w:abstractNum w:abstractNumId="181">
    <w:nsid w:val="3C3B72B2"/>
    <w:multiLevelType w:val="hybridMultilevel"/>
    <w:lvl w:ilvl="0">
      <w:lvlJc w:val="left"/>
      <w:lvlText w:val="(%1)"/>
      <w:numFmt w:val="upperLetter"/>
      <w:start w:val="1"/>
    </w:lvl>
  </w:abstractNum>
  <w:abstractNum w:abstractNumId="182">
    <w:nsid w:val="155EC4C2"/>
    <w:multiLevelType w:val="hybridMultilevel"/>
    <w:lvl w:ilvl="0">
      <w:lvlJc w:val="left"/>
      <w:lvlText w:val="%1"/>
      <w:numFmt w:val="lowerRoman"/>
      <w:start w:val="1"/>
    </w:lvl>
    <w:lvl w:ilvl="1">
      <w:lvlJc w:val="left"/>
      <w:lvlText w:val="(%2)"/>
      <w:numFmt w:val="lowerRoman"/>
      <w:start w:val="2"/>
    </w:lvl>
  </w:abstractNum>
  <w:abstractNum w:abstractNumId="183">
    <w:nsid w:val="65D2A137"/>
    <w:multiLevelType w:val="hybridMultilevel"/>
    <w:lvl w:ilvl="0">
      <w:lvlJc w:val="left"/>
      <w:lvlText w:val="(%1)"/>
      <w:numFmt w:val="lowerRoman"/>
      <w:start w:val="2"/>
    </w:lvl>
    <w:lvl w:ilvl="1">
      <w:lvlJc w:val="left"/>
      <w:lvlText w:val="(%2)"/>
      <w:numFmt w:val="lowerRoman"/>
      <w:start w:val="3"/>
    </w:lvl>
  </w:abstractNum>
  <w:abstractNum w:abstractNumId="184">
    <w:nsid w:val="6EBB1F2A"/>
    <w:multiLevelType w:val="hybridMultilevel"/>
    <w:lvl w:ilvl="0">
      <w:lvlJc w:val="left"/>
      <w:lvlText w:val="(%1)"/>
      <w:numFmt w:val="upperLetter"/>
      <w:start w:val="1"/>
    </w:lvl>
  </w:abstractNum>
  <w:abstractNum w:abstractNumId="185">
    <w:nsid w:val="6FBF29CB"/>
    <w:multiLevelType w:val="hybridMultilevel"/>
    <w:lvl w:ilvl="0">
      <w:lvlJc w:val="left"/>
      <w:lvlText w:val="(%1)"/>
      <w:numFmt w:val="lowerRoman"/>
      <w:start w:val="4"/>
    </w:lvl>
  </w:abstractNum>
  <w:abstractNum w:abstractNumId="186">
    <w:nsid w:val="550B8808"/>
    <w:multiLevelType w:val="hybridMultilevel"/>
    <w:lvl w:ilvl="0">
      <w:lvlJc w:val="left"/>
      <w:lvlText w:val="(%1)"/>
      <w:numFmt w:val="lowerRoman"/>
      <w:start w:val="7"/>
    </w:lvl>
    <w:lvl w:ilvl="1">
      <w:lvlJc w:val="left"/>
      <w:lvlText w:val="(%2)"/>
      <w:numFmt w:val="lowerLetter"/>
      <w:start w:val="3"/>
    </w:lvl>
  </w:abstractNum>
  <w:abstractNum w:abstractNumId="187">
    <w:nsid w:val="34CC3ACF"/>
    <w:multiLevelType w:val="hybridMultilevel"/>
    <w:lvl w:ilvl="0">
      <w:lvlJc w:val="left"/>
      <w:lvlText w:val="(%1)"/>
      <w:numFmt w:val="lowerLetter"/>
      <w:start w:val="4"/>
    </w:lvl>
  </w:abstractNum>
  <w:abstractNum w:abstractNumId="188">
    <w:nsid w:val="4E55626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89">
    <w:nsid w:val="4C672F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90">
    <w:nsid w:val="52A311C3"/>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91">
    <w:nsid w:val="44EF6B8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92">
    <w:nsid w:val="12FCDE5E"/>
    <w:multiLevelType w:val="hybridMultilevel"/>
    <w:lvl w:ilvl="0">
      <w:lvlJc w:val="left"/>
      <w:lvlText w:val="%1"/>
      <w:numFmt w:val="lowerLetter"/>
      <w:start w:val="1"/>
    </w:lvl>
    <w:lvl w:ilvl="1">
      <w:lvlJc w:val="left"/>
      <w:lvlText w:val="(%2)"/>
      <w:numFmt w:val="lowerLetter"/>
      <w:start w:val="8"/>
    </w:lvl>
  </w:abstractNum>
  <w:abstractNum w:abstractNumId="193">
    <w:nsid w:val="4A1D606E"/>
    <w:multiLevelType w:val="hybridMultilevel"/>
    <w:lvl w:ilvl="0">
      <w:lvlJc w:val="left"/>
      <w:lvlText w:val="(%1)"/>
      <w:numFmt w:val="lowerLetter"/>
      <w:start w:val="9"/>
    </w:lvl>
    <w:lvl w:ilvl="1">
      <w:lvlJc w:val="left"/>
      <w:lvlText w:val="%2"/>
      <w:numFmt w:val="lowerLetter"/>
      <w:start w:val="1"/>
    </w:lvl>
  </w:abstractNum>
  <w:abstractNum w:abstractNumId="194">
    <w:nsid w:val="4382503"/>
    <w:multiLevelType w:val="hybridMultilevel"/>
    <w:lvl w:ilvl="0">
      <w:lvlJc w:val="left"/>
      <w:lvlText w:val="(%1)"/>
      <w:numFmt w:val="lowerLetter"/>
      <w:start w:val="1"/>
    </w:lvl>
  </w:abstractNum>
  <w:abstractNum w:abstractNumId="195">
    <w:nsid w:val="59B76E28"/>
    <w:multiLevelType w:val="hybridMultilevel"/>
    <w:lvl w:ilvl="0">
      <w:lvlJc w:val="left"/>
      <w:lvlText w:val="(%1)"/>
      <w:numFmt w:val="lowerLetter"/>
      <w:start w:val="1"/>
    </w:lvl>
  </w:abstractNum>
  <w:abstractNum w:abstractNumId="196">
    <w:nsid w:val="4252C2DA"/>
    <w:multiLevelType w:val="hybridMultilevel"/>
    <w:lvl w:ilvl="0">
      <w:lvlJc w:val="left"/>
      <w:lvlText w:val="(%1)"/>
      <w:numFmt w:val="lowerLetter"/>
      <w:start w:val="3"/>
    </w:lvl>
  </w:abstractNum>
  <w:abstractNum w:abstractNumId="197">
    <w:nsid w:val="6A92EF4C"/>
    <w:multiLevelType w:val="hybridMultilevel"/>
    <w:lvl w:ilvl="0">
      <w:lvlJc w:val="left"/>
      <w:lvlText w:val="(%1)"/>
      <w:numFmt w:val="upperLetter"/>
      <w:start w:val="1"/>
    </w:lvl>
  </w:abstractNum>
  <w:abstractNum w:abstractNumId="198">
    <w:nsid w:val="41ED20D7"/>
    <w:multiLevelType w:val="hybridMultilevel"/>
    <w:lvl w:ilvl="0">
      <w:lvlJc w:val="left"/>
      <w:lvlText w:val="(%1)"/>
      <w:numFmt w:val="lowerRoman"/>
      <w:start w:val="1"/>
    </w:lvl>
  </w:abstractNum>
  <w:abstractNum w:abstractNumId="199">
    <w:nsid w:val="E6B3F6A"/>
    <w:multiLevelType w:val="hybridMultilevel"/>
    <w:lvl w:ilvl="0">
      <w:lvlJc w:val="left"/>
      <w:lvlText w:val="(%1)"/>
      <w:numFmt w:val="lowerLetter"/>
      <w:start w:val="1"/>
    </w:lvl>
  </w:abstractNum>
  <w:abstractNum w:abstractNumId="200">
    <w:nsid w:val="3EB21819"/>
    <w:multiLevelType w:val="hybridMultilevel"/>
    <w:lvl w:ilvl="0">
      <w:lvlJc w:val="left"/>
      <w:lvlText w:val="%1"/>
      <w:numFmt w:val="lowerRoman"/>
      <w:start w:val="1"/>
    </w:lvl>
    <w:lvl w:ilvl="1">
      <w:lvlJc w:val="left"/>
      <w:lvlText w:val="(%2)"/>
      <w:numFmt w:val="lowerLetter"/>
      <w:start w:val="1"/>
    </w:lvl>
  </w:abstractNum>
  <w:abstractNum w:abstractNumId="201">
    <w:nsid w:val="41531DED"/>
    <w:multiLevelType w:val="hybridMultilevel"/>
    <w:lvl w:ilvl="0">
      <w:lvlJc w:val="left"/>
      <w:lvlText w:val="(%1)"/>
      <w:numFmt w:val="lowerRoman"/>
      <w:start w:val="1"/>
    </w:lvl>
    <w:lvl w:ilvl="1">
      <w:lvlJc w:val="left"/>
      <w:lvlText w:val="%2"/>
      <w:numFmt w:val="lowerLetter"/>
      <w:start w:val="1"/>
    </w:lvl>
  </w:abstractNum>
  <w:abstractNum w:abstractNumId="202">
    <w:nsid w:val="6353CD2"/>
    <w:multiLevelType w:val="hybridMultilevel"/>
    <w:lvl w:ilvl="0">
      <w:lvlJc w:val="left"/>
      <w:lvlText w:val="(%1)"/>
      <w:numFmt w:val="lowerLetter"/>
      <w:start w:val="1"/>
    </w:lvl>
  </w:abstractNum>
  <w:abstractNum w:abstractNumId="203">
    <w:nsid w:val="683CAAD3"/>
    <w:multiLevelType w:val="hybridMultilevel"/>
    <w:lvl w:ilvl="0">
      <w:lvlJc w:val="left"/>
      <w:lvlText w:val="(%1)"/>
      <w:numFmt w:val="lowerLetter"/>
      <w:start w:val="1"/>
    </w:lvl>
    <w:lvl w:ilvl="1">
      <w:lvlJc w:val="left"/>
      <w:lvlText w:val="(%2)"/>
      <w:numFmt w:val="lowerRoman"/>
      <w:start w:val="1"/>
    </w:lvl>
  </w:abstractNum>
  <w:abstractNum w:abstractNumId="204">
    <w:nsid w:val="313C7C99"/>
    <w:multiLevelType w:val="hybridMultilevel"/>
    <w:lvl w:ilvl="0">
      <w:lvlJc w:val="left"/>
      <w:lvlText w:val="(%1)"/>
      <w:numFmt w:val="lowerLetter"/>
      <w:start w:val="1"/>
    </w:lvl>
  </w:abstractNum>
  <w:abstractNum w:abstractNumId="205">
    <w:nsid w:val="519EB94C"/>
    <w:multiLevelType w:val="hybridMultilevel"/>
    <w:lvl w:ilvl="0">
      <w:lvlJc w:val="left"/>
      <w:lvlText w:val="(%1)"/>
      <w:numFmt w:val="decimal"/>
      <w:start w:val="1"/>
    </w:lvl>
  </w:abstractNum>
  <w:abstractNum w:abstractNumId="206">
    <w:nsid w:val="39DF2579"/>
    <w:multiLevelType w:val="hybridMultilevel"/>
    <w:lvl w:ilvl="0">
      <w:lvlJc w:val="left"/>
      <w:lvlText w:val="(%1)"/>
      <w:numFmt w:val="decimal"/>
      <w:start w:val="7"/>
    </w:lvl>
  </w:abstractNum>
  <w:abstractNum w:abstractNumId="207">
    <w:nsid w:val="126E008B"/>
    <w:multiLevelType w:val="hybridMultilevel"/>
    <w:lvl w:ilvl="0">
      <w:lvlJc w:val="left"/>
      <w:lvlText w:val="(%1)"/>
      <w:numFmt w:val="lowerRoman"/>
      <w:start w:val="2"/>
    </w:lvl>
  </w:abstractNum>
  <w:abstractNum w:abstractNumId="208">
    <w:nsid w:val="34DFBC00"/>
    <w:multiLevelType w:val="hybridMultilevel"/>
    <w:lvl w:ilvl="0">
      <w:lvlJc w:val="left"/>
      <w:lvlText w:val="(%1)"/>
      <w:numFmt w:val="lowerRoman"/>
      <w:start w:val="17"/>
    </w:lvl>
  </w:abstractNum>
  <w:abstractNum w:abstractNumId="209">
    <w:nsid w:val="1F9EC322"/>
    <w:multiLevelType w:val="hybridMultilevel"/>
    <w:lvl w:ilvl="0">
      <w:lvlJc w:val="left"/>
      <w:lvlText w:val="(%1)"/>
      <w:numFmt w:val="lowerLetter"/>
      <w:start w:val="61"/>
    </w:lvl>
  </w:abstractNum>
  <w:abstractNum w:abstractNumId="210">
    <w:nsid w:val="3410ED56"/>
    <w:multiLevelType w:val="hybridMultilevel"/>
    <w:lvl w:ilvl="0">
      <w:lvlJc w:val="left"/>
      <w:lvlText w:val="(%1)"/>
      <w:numFmt w:val="lowerLetter"/>
      <w:start w:val="2"/>
    </w:lvl>
  </w:abstractNum>
  <w:abstractNum w:abstractNumId="211">
    <w:nsid w:val="23C049A"/>
    <w:multiLevelType w:val="hybridMultilevel"/>
    <w:lvl w:ilvl="0">
      <w:lvlJc w:val="left"/>
      <w:lvlText w:val="(%1)"/>
      <w:numFmt w:val="lowerLetter"/>
      <w:start w:val="5"/>
    </w:lvl>
  </w:abstractNum>
  <w:abstractNum w:abstractNumId="212">
    <w:nsid w:val="5BDA35D4"/>
    <w:multiLevelType w:val="hybridMultilevel"/>
    <w:lvl w:ilvl="0">
      <w:lvlJc w:val="left"/>
      <w:lvlText w:val="(%1)"/>
      <w:numFmt w:val="lowerLetter"/>
      <w:start w:val="5"/>
    </w:lvl>
  </w:abstractNum>
  <w:abstractNum w:abstractNumId="213">
    <w:nsid w:val="496FB218"/>
    <w:multiLevelType w:val="hybridMultilevel"/>
    <w:lvl w:ilvl="0">
      <w:lvlJc w:val="left"/>
      <w:lvlText w:val="(%1)"/>
      <w:numFmt w:val="lowerRoman"/>
      <w:start w:val="10"/>
    </w:lvl>
  </w:abstractNum>
  <w:abstractNum w:abstractNumId="214">
    <w:nsid w:val="680EA5D1"/>
    <w:multiLevelType w:val="hybridMultilevel"/>
    <w:lvl w:ilvl="0">
      <w:lvlJc w:val="left"/>
      <w:lvlText w:val="(%1)"/>
      <w:numFmt w:val="lowerLetter"/>
      <w:start w:val="1"/>
    </w:lvl>
  </w:abstractNum>
  <w:abstractNum w:abstractNumId="215">
    <w:nsid w:val="4A9554FE"/>
    <w:multiLevelType w:val="hybridMultilevel"/>
    <w:lvl w:ilvl="0">
      <w:lvlJc w:val="left"/>
      <w:lvlText w:val="(%1)"/>
      <w:numFmt w:val="lowerLetter"/>
      <w:start w:val="5"/>
    </w:lvl>
  </w:abstractNum>
  <w:abstractNum w:abstractNumId="216">
    <w:nsid w:val="392EDBE4"/>
    <w:multiLevelType w:val="hybridMultilevel"/>
    <w:lvl w:ilvl="0">
      <w:lvlJc w:val="left"/>
      <w:lvlText w:val="(%1)"/>
      <w:numFmt w:val="lowerLetter"/>
      <w:start w:val="7"/>
    </w:lvl>
  </w:abstractNum>
  <w:abstractNum w:abstractNumId="217">
    <w:nsid w:val="3D1A2DD9"/>
    <w:multiLevelType w:val="hybridMultilevel"/>
    <w:lvl w:ilvl="0">
      <w:lvlJc w:val="left"/>
      <w:lvlText w:val="(%1)"/>
      <w:numFmt w:val="lowerLetter"/>
      <w:start w:val="1"/>
    </w:lvl>
  </w:abstractNum>
  <w:abstractNum w:abstractNumId="218">
    <w:nsid w:val="7F618FCD"/>
    <w:multiLevelType w:val="hybridMultilevel"/>
    <w:lvl w:ilvl="0">
      <w:lvlJc w:val="left"/>
      <w:lvlText w:val="(%1)"/>
      <w:numFmt w:val="lowerLetter"/>
      <w:start w:val="1"/>
    </w:lvl>
  </w:abstractNum>
  <w:abstractNum w:abstractNumId="219">
    <w:nsid w:val="7843E45"/>
    <w:multiLevelType w:val="hybridMultilevel"/>
    <w:lvl w:ilvl="0">
      <w:lvlJc w:val="left"/>
      <w:lvlText w:val="(%1)"/>
      <w:numFmt w:val="lowerLetter"/>
      <w:start w:val="1"/>
    </w:lvl>
  </w:abstractNum>
  <w:abstractNum w:abstractNumId="220">
    <w:nsid w:val="9815DA3"/>
    <w:multiLevelType w:val="hybridMultilevel"/>
    <w:lvl w:ilvl="0">
      <w:lvlJc w:val="left"/>
      <w:lvlText w:val="(%1)"/>
      <w:numFmt w:val="lowerLetter"/>
      <w:start w:val="6"/>
    </w:lvl>
  </w:abstractNum>
  <w:abstractNum w:abstractNumId="221">
    <w:nsid w:val="5204A191"/>
    <w:multiLevelType w:val="hybridMultilevel"/>
    <w:lvl w:ilvl="0">
      <w:lvlJc w:val="left"/>
      <w:lvlText w:val="%1"/>
      <w:numFmt w:val="decimal"/>
      <w:start w:val="1"/>
    </w:lvl>
    <w:lvl w:ilvl="1">
      <w:lvlJc w:val="left"/>
      <w:lvlText w:val="(%2)"/>
      <w:numFmt w:val="lowerLetter"/>
      <w:start w:val="1"/>
    </w:lvl>
  </w:abstractNum>
  <w:abstractNum w:abstractNumId="222">
    <w:nsid w:val="4C73A9C6"/>
    <w:multiLevelType w:val="hybridMultilevel"/>
    <w:lvl w:ilvl="0">
      <w:lvlJc w:val="left"/>
      <w:lvlText w:val="(%1)"/>
      <w:numFmt w:val="decimal"/>
      <w:start w:val="30"/>
    </w:lvl>
    <w:lvl w:ilvl="1">
      <w:lvlJc w:val="left"/>
      <w:lvlText w:val="(%2)"/>
      <w:numFmt w:val="lowerLetter"/>
      <w:start w:val="2"/>
    </w:lvl>
  </w:abstractNum>
  <w:abstractNum w:abstractNumId="223">
    <w:nsid w:val="1C7E3C01"/>
    <w:multiLevelType w:val="hybridMultilevel"/>
    <w:lvl w:ilvl="0">
      <w:lvlJc w:val="left"/>
      <w:lvlText w:val="(%1)"/>
      <w:numFmt w:val="decimal"/>
      <w:start w:val="30"/>
    </w:lvl>
  </w:abstractNum>
  <w:abstractNum w:abstractNumId="224">
    <w:nsid w:val="1C2201FF"/>
    <w:multiLevelType w:val="hybridMultilevel"/>
    <w:lvl w:ilvl="0">
      <w:lvlJc w:val="left"/>
      <w:lvlText w:val="(%1)"/>
      <w:numFmt w:val="lowerLetter"/>
      <w:start w:val="1"/>
    </w:lvl>
  </w:abstractNum>
  <w:abstractNum w:abstractNumId="225">
    <w:nsid w:val="50ABCEC9"/>
    <w:multiLevelType w:val="hybridMultilevel"/>
    <w:lvl w:ilvl="0">
      <w:lvlJc w:val="left"/>
      <w:lvlText w:val="(%1)"/>
      <w:numFmt w:val="lowerLetter"/>
      <w:start w:val="5"/>
    </w:lvl>
  </w:abstractNum>
  <w:abstractNum w:abstractNumId="226">
    <w:nsid w:val="7635AA2A"/>
    <w:multiLevelType w:val="hybridMultilevel"/>
    <w:lvl w:ilvl="0">
      <w:lvlJc w:val="left"/>
      <w:lvlText w:val="(%1)"/>
      <w:numFmt w:val="lowerLetter"/>
      <w:start w:val="1"/>
    </w:lvl>
  </w:abstractNum>
  <w:abstractNum w:abstractNumId="227">
    <w:nsid w:val="5E74C4D9"/>
    <w:multiLevelType w:val="hybridMultilevel"/>
    <w:lvl w:ilvl="0">
      <w:lvlJc w:val="left"/>
      <w:lvlText w:val="(%1)"/>
      <w:numFmt w:val="lowerLetter"/>
      <w:start w:val="1"/>
    </w:lvl>
  </w:abstractNum>
  <w:abstractNum w:abstractNumId="228">
    <w:nsid w:val="3B3EBE15"/>
    <w:multiLevelType w:val="hybridMultilevel"/>
    <w:lvl w:ilvl="0">
      <w:lvlJc w:val="left"/>
      <w:lvlText w:val="(%1)"/>
      <w:numFmt w:val="lowerLetter"/>
      <w:start w:val="2"/>
    </w:lvl>
  </w:abstractNum>
  <w:abstractNum w:abstractNumId="229">
    <w:nsid w:val="3822CB01"/>
    <w:multiLevelType w:val="hybridMultilevel"/>
    <w:lvl w:ilvl="0">
      <w:lvlJc w:val="left"/>
      <w:lvlText w:val="(%1)"/>
      <w:numFmt w:val="lowerRoman"/>
      <w:start w:val="1"/>
    </w:lvl>
  </w:abstractNum>
  <w:abstractNum w:abstractNumId="230">
    <w:nsid w:val="6CE00443"/>
    <w:multiLevelType w:val="hybridMultilevel"/>
    <w:lvl w:ilvl="0">
      <w:lvlJc w:val="left"/>
      <w:lvlText w:val="(%1)"/>
      <w:numFmt w:val="lowerRoman"/>
      <w:start w:val="2"/>
    </w:lvl>
  </w:abstractNum>
  <w:abstractNum w:abstractNumId="231">
    <w:nsid w:val="79F0D62F"/>
    <w:multiLevelType w:val="hybridMultilevel"/>
    <w:lvl w:ilvl="0">
      <w:lvlJc w:val="left"/>
      <w:lvlText w:val="(%1)"/>
      <w:numFmt w:val="lowerLetter"/>
      <w:start w:val="1"/>
    </w:lvl>
  </w:abstractNum>
  <w:abstractNum w:abstractNumId="232">
    <w:nsid w:val="7975E8EE"/>
    <w:multiLevelType w:val="hybridMultilevel"/>
    <w:lvl w:ilvl="0">
      <w:lvlJc w:val="left"/>
      <w:lvlText w:val="%1"/>
      <w:numFmt w:val="lowerLetter"/>
      <w:start w:val="1"/>
    </w:lvl>
    <w:lvl w:ilvl="1">
      <w:lvlJc w:val="left"/>
      <w:lvlText w:val="(%2)"/>
      <w:numFmt w:val="lowerLetter"/>
      <w:start w:val="2"/>
    </w:lvl>
  </w:abstractNum>
  <w:abstractNum w:abstractNumId="233">
    <w:nsid w:val="73154115"/>
    <w:multiLevelType w:val="hybridMultilevel"/>
    <w:lvl w:ilvl="0">
      <w:lvlJc w:val="left"/>
      <w:lvlText w:val="(%1)"/>
      <w:numFmt w:val="lowerLetter"/>
      <w:start w:val="1"/>
    </w:lvl>
    <w:lvl w:ilvl="1">
      <w:lvlJc w:val="left"/>
      <w:lvlText w:val="%2"/>
      <w:numFmt w:val="lowerLetter"/>
      <w:start w:val="1"/>
    </w:lvl>
  </w:abstractNum>
  <w:abstractNum w:abstractNumId="234">
    <w:nsid w:val="622D8102"/>
    <w:multiLevelType w:val="hybridMultilevel"/>
    <w:lvl w:ilvl="0">
      <w:lvlJc w:val="left"/>
      <w:lvlText w:val="(%1)"/>
      <w:numFmt w:val="lowerLetter"/>
      <w:start w:val="1"/>
    </w:lvl>
  </w:abstractNum>
  <w:abstractNum w:abstractNumId="235">
    <w:nsid w:val="2AB26587"/>
    <w:multiLevelType w:val="hybridMultilevel"/>
    <w:lvl w:ilvl="0">
      <w:lvlJc w:val="left"/>
      <w:lvlText w:val="(%1)"/>
      <w:numFmt w:val="lowerLetter"/>
      <w:start w:val="1"/>
    </w:lvl>
  </w:abstractNum>
  <w:abstractNum w:abstractNumId="236">
    <w:nsid w:val="44B3FA61"/>
    <w:multiLevelType w:val="hybridMultilevel"/>
    <w:lvl w:ilvl="0">
      <w:lvlJc w:val="left"/>
      <w:lvlText w:val="%1"/>
      <w:numFmt w:val="decimal"/>
      <w:start w:val="1"/>
    </w:lvl>
    <w:lvl w:ilvl="1">
      <w:lvlJc w:val="left"/>
      <w:lvlText w:val="(%2)"/>
      <w:numFmt w:val="lowerLetter"/>
      <w:start w:val="3"/>
    </w:lvl>
  </w:abstractNum>
  <w:abstractNum w:abstractNumId="237">
    <w:nsid w:val="1C0CA67C"/>
    <w:multiLevelType w:val="hybridMultilevel"/>
    <w:lvl w:ilvl="0">
      <w:lvlJc w:val="left"/>
      <w:lvlText w:val="(%1)"/>
      <w:numFmt w:val="decimal"/>
      <w:start w:val="3"/>
    </w:lvl>
    <w:lvl w:ilvl="1">
      <w:lvlJc w:val="left"/>
      <w:lvlText w:val="%2"/>
      <w:numFmt w:val="lowerLetter"/>
      <w:start w:val="1"/>
    </w:lvl>
  </w:abstractNum>
  <w:abstractNum w:abstractNumId="238">
    <w:nsid w:val="3D206613"/>
    <w:multiLevelType w:val="hybridMultilevel"/>
    <w:lvl w:ilvl="0">
      <w:lvlJc w:val="left"/>
      <w:lvlText w:val="(%1)"/>
      <w:numFmt w:val="lowerLetter"/>
      <w:start w:val="1"/>
    </w:lvl>
  </w:abstractNum>
  <w:abstractNum w:abstractNumId="239">
    <w:nsid w:val="7993B662"/>
    <w:multiLevelType w:val="hybridMultilevel"/>
    <w:lvl w:ilvl="0">
      <w:lvlJc w:val="left"/>
      <w:lvlText w:val="(%1)"/>
      <w:numFmt w:val="lowerLetter"/>
      <w:start w:val="1"/>
    </w:lvl>
  </w:abstractNum>
  <w:abstractNum w:abstractNumId="240">
    <w:nsid w:val="3BAB699E"/>
    <w:multiLevelType w:val="hybridMultilevel"/>
    <w:lvl w:ilvl="0">
      <w:lvlJc w:val="left"/>
      <w:lvlText w:val="(%1)"/>
      <w:numFmt w:val="lowerLetter"/>
      <w:start w:val="1"/>
    </w:lvl>
  </w:abstractNum>
  <w:abstractNum w:abstractNumId="241">
    <w:nsid w:val="71315369"/>
    <w:multiLevelType w:val="hybridMultilevel"/>
    <w:lvl w:ilvl="0">
      <w:lvlJc w:val="left"/>
      <w:lvlText w:val="(%1)"/>
      <w:numFmt w:val="lowerLetter"/>
      <w:start w:val="2"/>
    </w:lvl>
  </w:abstractNum>
  <w:abstractNum w:abstractNumId="242">
    <w:nsid w:val="7BCFBAFC"/>
    <w:multiLevelType w:val="hybridMultilevel"/>
    <w:lvl w:ilvl="0">
      <w:lvlJc w:val="left"/>
      <w:lvlText w:val="(%1)"/>
      <w:numFmt w:val="lowerLetter"/>
      <w:start w:val="2"/>
    </w:lvl>
  </w:abstractNum>
  <w:abstractNum w:abstractNumId="243">
    <w:nsid w:val="17859F72"/>
    <w:multiLevelType w:val="hybridMultilevel"/>
    <w:lvl w:ilvl="0">
      <w:lvlJc w:val="left"/>
      <w:lvlText w:val="(%1)"/>
      <w:numFmt w:val="lowerLetter"/>
      <w:start w:val="1"/>
    </w:lvl>
  </w:abstractNum>
  <w:abstractNum w:abstractNumId="244">
    <w:nsid w:val="3AA10581"/>
    <w:multiLevelType w:val="hybridMultilevel"/>
    <w:lvl w:ilvl="0">
      <w:lvlJc w:val="left"/>
      <w:lvlText w:val="(%1)"/>
      <w:numFmt w:val="lowerLetter"/>
      <w:start w:val="2"/>
    </w:lvl>
  </w:abstractNum>
  <w:abstractNum w:abstractNumId="245">
    <w:nsid w:val="63DE60CD"/>
    <w:multiLevelType w:val="hybridMultilevel"/>
    <w:lvl w:ilvl="0">
      <w:lvlJc w:val="left"/>
      <w:lvlText w:val="(%1)"/>
      <w:numFmt w:val="lowerLetter"/>
      <w:start w:val="1"/>
    </w:lvl>
    <w:lvl w:ilvl="1">
      <w:lvlJc w:val="left"/>
      <w:lvlText w:val="(%2)"/>
      <w:numFmt w:val="lowerLetter"/>
      <w:start w:val="9"/>
    </w:lvl>
  </w:abstractNum>
  <w:abstractNum w:abstractNumId="246">
    <w:nsid w:val="621AF471"/>
    <w:multiLevelType w:val="hybridMultilevel"/>
    <w:lvl w:ilvl="0">
      <w:lvlJc w:val="left"/>
      <w:lvlText w:val="(%1)"/>
      <w:numFmt w:val="lowerRoman"/>
      <w:start w:val="2"/>
    </w:lvl>
  </w:abstractNum>
  <w:abstractNum w:abstractNumId="247">
    <w:nsid w:val="73CFE165"/>
    <w:multiLevelType w:val="hybridMultilevel"/>
    <w:lvl w:ilvl="0">
      <w:lvlJc w:val="left"/>
      <w:lvlText w:val="(%1)"/>
      <w:numFmt w:val="lowerLetter"/>
      <w:start w:val="2"/>
    </w:lvl>
  </w:abstractNum>
  <w:abstractNum w:abstractNumId="248">
    <w:nsid w:val="20F88EA6"/>
    <w:multiLevelType w:val="hybridMultilevel"/>
    <w:lvl w:ilvl="0">
      <w:lvlJc w:val="left"/>
      <w:lvlText w:val="(%1)"/>
      <w:numFmt w:val="lowerLetter"/>
      <w:start w:val="1"/>
    </w:lvl>
  </w:abstractNum>
  <w:abstractNum w:abstractNumId="249">
    <w:nsid w:val="617C843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50">
    <w:nsid w:val="7B541FAB"/>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251">
    <w:nsid w:val="2A79EC4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252">
    <w:nsid w:val="338125CF"/>
    <w:multiLevelType w:val="hybridMultilevel"/>
    <w:lvl w:ilvl="0">
      <w:lvlJc w:val="left"/>
      <w:lvlText w:val="%1"/>
      <w:numFmt w:val="upperLetter"/>
      <w:start w:val="1"/>
    </w:lvl>
    <w:lvl w:ilvl="1">
      <w:lvlJc w:val="left"/>
      <w:lvlText w:val="(%2)"/>
      <w:numFmt w:val="lowerRoman"/>
      <w:start w:val="2"/>
    </w:lvl>
  </w:abstractNum>
  <w:abstractNum w:abstractNumId="253">
    <w:nsid w:val="47C7C971"/>
    <w:multiLevelType w:val="hybridMultilevel"/>
    <w:lvl w:ilvl="0">
      <w:lvlJc w:val="left"/>
      <w:lvlText w:val="(%1)"/>
      <w:numFmt w:val="upperLetter"/>
      <w:start w:val="3"/>
    </w:lvl>
    <w:lvl w:ilvl="1">
      <w:lvlJc w:val="left"/>
      <w:lvlText w:val="%2"/>
      <w:numFmt w:val="lowerRoman"/>
      <w:start w:val="1"/>
    </w:lvl>
  </w:abstractNum>
  <w:abstractNum w:abstractNumId="254">
    <w:nsid w:val="46F8284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55">
    <w:nsid w:val="4FA327C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56">
    <w:nsid w:val="1873983A"/>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57">
    <w:nsid w:val="3D2DD275"/>
    <w:multiLevelType w:val="hybridMultilevel"/>
    <w:lvl w:ilvl="0">
      <w:lvlJc w:val="left"/>
      <w:lvlText w:val="(%1)"/>
      <w:numFmt w:val="lowerLetter"/>
      <w:start w:val="7"/>
    </w:lvl>
  </w:abstractNum>
  <w:abstractNum w:abstractNumId="258">
    <w:nsid w:val="2E17ECA7"/>
    <w:multiLevelType w:val="hybridMultilevel"/>
    <w:lvl w:ilvl="0">
      <w:lvlJc w:val="left"/>
      <w:lvlText w:val="(%1)"/>
      <w:numFmt w:val="lowerLetter"/>
      <w:start w:val="1"/>
    </w:lvl>
  </w:abstractNum>
  <w:abstractNum w:abstractNumId="259">
    <w:nsid w:val="53B2564F"/>
    <w:multiLevelType w:val="hybridMultilevel"/>
    <w:lvl w:ilvl="0">
      <w:lvlJc w:val="left"/>
      <w:lvlText w:val="(%1)"/>
      <w:numFmt w:val="lowerLetter"/>
      <w:start w:val="4"/>
    </w:lvl>
  </w:abstractNum>
  <w:abstractNum w:abstractNumId="260">
    <w:nsid w:val="75509D76"/>
    <w:multiLevelType w:val="hybridMultilevel"/>
    <w:lvl w:ilvl="0">
      <w:lvlJc w:val="left"/>
      <w:lvlText w:val="(%1)"/>
      <w:numFmt w:val="lowerLetter"/>
      <w:start w:val="1"/>
    </w:lvl>
  </w:abstractNum>
  <w:abstractNum w:abstractNumId="261">
    <w:nsid w:val="1AF7F0EA"/>
    <w:multiLevelType w:val="hybridMultilevel"/>
    <w:lvl w:ilvl="0">
      <w:lvlJc w:val="left"/>
      <w:lvlText w:val="(%1)"/>
      <w:numFmt w:val="lowerRoman"/>
      <w:start w:val="1"/>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lowerLetter"/>
      <w:start w:val="2"/>
    </w:lvl>
  </w:abstractNum>
  <w:abstractNum w:abstractNumId="264">
    <w:nsid w:val="E0D31FF"/>
    <w:multiLevelType w:val="hybridMultilevel"/>
    <w:lvl w:ilvl="0">
      <w:lvlJc w:val="left"/>
      <w:lvlText w:val="(%1)"/>
      <w:numFmt w:val="lowerLetter"/>
      <w:start w:val="1"/>
    </w:lvl>
  </w:abstractNum>
  <w:abstractNum w:abstractNumId="265">
    <w:nsid w:val="2FD0AD81"/>
    <w:multiLevelType w:val="hybridMultilevel"/>
    <w:lvl w:ilvl="0">
      <w:lvlJc w:val="left"/>
      <w:lvlText w:val="(%1)"/>
      <w:numFmt w:val="lowerLetter"/>
      <w:start w:val="1"/>
    </w:lvl>
  </w:abstractNum>
  <w:abstractNum w:abstractNumId="266">
    <w:nsid w:val="1978EBEB"/>
    <w:multiLevelType w:val="hybridMultilevel"/>
    <w:lvl w:ilvl="0">
      <w:lvlJc w:val="left"/>
      <w:lvlText w:val="%1"/>
      <w:numFmt w:val="lowerLetter"/>
      <w:start w:val="1"/>
    </w:lvl>
    <w:lvl w:ilvl="1">
      <w:lvlJc w:val="left"/>
      <w:lvlText w:val="(%2)"/>
      <w:numFmt w:val="lowerLetter"/>
      <w:start w:val="1"/>
    </w:lvl>
  </w:abstractNum>
  <w:abstractNum w:abstractNumId="267">
    <w:nsid w:val="52C12C61"/>
    <w:multiLevelType w:val="hybridMultilevel"/>
    <w:lvl w:ilvl="0">
      <w:lvlJc w:val="left"/>
      <w:lvlText w:val="(%1)"/>
      <w:numFmt w:val="lowerLetter"/>
      <w:start w:val="35"/>
    </w:lvl>
    <w:lvl w:ilvl="1">
      <w:lvlJc w:val="left"/>
      <w:lvlText w:val="%2"/>
      <w:numFmt w:val="lowerLetter"/>
      <w:start w:val="1"/>
    </w:lvl>
  </w:abstractNum>
  <w:abstractNum w:abstractNumId="268">
    <w:nsid w:val="4BDD53FD"/>
    <w:multiLevelType w:val="hybridMultilevel"/>
    <w:lvl w:ilvl="0">
      <w:lvlJc w:val="left"/>
      <w:lvlText w:val="(%1)"/>
      <w:numFmt w:val="lowerLetter"/>
      <w:start w:val="1"/>
    </w:lvl>
  </w:abstractNum>
  <w:abstractNum w:abstractNumId="269">
    <w:nsid w:val="569951FE"/>
    <w:multiLevelType w:val="hybridMultilevel"/>
    <w:lvl w:ilvl="0">
      <w:lvlJc w:val="left"/>
      <w:lvlText w:val="(%1)"/>
      <w:numFmt w:val="lowerLetter"/>
      <w:start w:val="1"/>
    </w:lvl>
  </w:abstractNum>
  <w:abstractNum w:abstractNumId="270">
    <w:nsid w:val="4C54E2C3"/>
    <w:multiLevelType w:val="hybridMultilevel"/>
    <w:lvl w:ilvl="0">
      <w:lvlJc w:val="left"/>
      <w:lvlText w:val="(%1)"/>
      <w:numFmt w:val="lowerLetter"/>
      <w:start w:val="1"/>
    </w:lvl>
  </w:abstractNum>
  <w:abstractNum w:abstractNumId="271">
    <w:nsid w:val="788BD9B"/>
    <w:multiLevelType w:val="hybridMultilevel"/>
    <w:lvl w:ilvl="0">
      <w:lvlJc w:val="left"/>
      <w:lvlText w:val="(%1)"/>
      <w:numFmt w:val="lowerLetter"/>
      <w:start w:val="9"/>
    </w:lvl>
    <w:lvl w:ilvl="1">
      <w:lvlJc w:val="left"/>
      <w:lvlText w:val="(%2)"/>
      <w:numFmt w:val="lowerLetter"/>
      <w:start w:val="3"/>
    </w:lvl>
  </w:abstractNum>
  <w:abstractNum w:abstractNumId="272">
    <w:nsid w:val="47CAA567"/>
    <w:multiLevelType w:val="hybridMultilevel"/>
    <w:lvl w:ilvl="0">
      <w:lvlJc w:val="left"/>
      <w:lvlText w:val="(%1)"/>
      <w:numFmt w:val="lowerLetter"/>
      <w:start w:val="2"/>
    </w:lvl>
  </w:abstractNum>
  <w:abstractNum w:abstractNumId="273">
    <w:nsid w:val="48249DBF"/>
    <w:multiLevelType w:val="hybridMultilevel"/>
    <w:lvl w:ilvl="0">
      <w:lvlJc w:val="left"/>
      <w:lvlText w:val="(%1)"/>
      <w:numFmt w:val="lowerLetter"/>
      <w:start w:val="6"/>
    </w:lvl>
  </w:abstractNum>
  <w:abstractNum w:abstractNumId="274">
    <w:nsid w:val="1F0E5D0D"/>
    <w:multiLevelType w:val="hybridMultilevel"/>
    <w:lvl w:ilvl="0">
      <w:lvlJc w:val="left"/>
      <w:lvlText w:val="(%1)"/>
      <w:numFmt w:val="lowerLetter"/>
      <w:start w:val="1"/>
    </w:lvl>
  </w:abstractNum>
  <w:abstractNum w:abstractNumId="275">
    <w:nsid w:val="26BAAE9"/>
    <w:multiLevelType w:val="hybridMultilevel"/>
    <w:lvl w:ilvl="0">
      <w:lvlJc w:val="left"/>
      <w:lvlText w:val="%1"/>
      <w:numFmt w:val="lowerLetter"/>
      <w:start w:val="1"/>
    </w:lvl>
    <w:lvl w:ilvl="1">
      <w:lvlJc w:val="left"/>
      <w:lvlText w:val="(%2)"/>
      <w:numFmt w:val="lowerLetter"/>
      <w:start w:val="5"/>
    </w:lvl>
  </w:abstractNum>
  <w:abstractNum w:abstractNumId="276">
    <w:nsid w:val="2C02FE8C"/>
    <w:multiLevelType w:val="hybridMultilevel"/>
    <w:lvl w:ilvl="0">
      <w:lvlJc w:val="left"/>
      <w:lvlText w:val="(%1)"/>
      <w:numFmt w:val="lowerLetter"/>
      <w:start w:val="35"/>
    </w:lvl>
    <w:lvl w:ilvl="1">
      <w:lvlJc w:val="left"/>
      <w:lvlText w:val="(%2)"/>
      <w:numFmt w:val="lowerLetter"/>
      <w:start w:val="6"/>
    </w:lvl>
  </w:abstractNum>
  <w:abstractNum w:abstractNumId="277">
    <w:nsid w:val="129517E"/>
    <w:multiLevelType w:val="hybridMultilevel"/>
    <w:lvl w:ilvl="0">
      <w:lvlJc w:val="left"/>
      <w:lvlText w:val="(%1)"/>
      <w:numFmt w:val="lowerLetter"/>
      <w:start w:val="24"/>
    </w:lvl>
    <w:lvl w:ilvl="1">
      <w:lvlJc w:val="left"/>
      <w:lvlText w:val="(%2)"/>
      <w:numFmt w:val="lowerLetter"/>
      <w:start w:val="7"/>
    </w:lvl>
  </w:abstractNum>
  <w:abstractNum w:abstractNumId="278">
    <w:nsid w:val="763B8C4E"/>
    <w:multiLevelType w:val="hybridMultilevel"/>
    <w:lvl w:ilvl="0">
      <w:lvlJc w:val="left"/>
      <w:lvlText w:val="(%1)"/>
      <w:numFmt w:val="lowerRoman"/>
      <w:start w:val="1"/>
    </w:lvl>
  </w:abstractNum>
  <w:abstractNum w:abstractNumId="279">
    <w:nsid w:val="4CFB8D32"/>
    <w:multiLevelType w:val="hybridMultilevel"/>
    <w:lvl w:ilvl="0">
      <w:lvlJc w:val="left"/>
      <w:lvlText w:val="(%1)"/>
      <w:numFmt w:val="lowerLetter"/>
      <w:start w:val="1"/>
    </w:lvl>
  </w:abstractNum>
  <w:abstractNum w:abstractNumId="280">
    <w:nsid w:val="62A5D5BD"/>
    <w:multiLevelType w:val="hybridMultilevel"/>
    <w:lvl w:ilvl="0">
      <w:lvlJc w:val="left"/>
      <w:lvlText w:val="(%1)"/>
      <w:numFmt w:val="lowerLetter"/>
      <w:start w:val="3"/>
    </w:lvl>
  </w:abstractNum>
  <w:abstractNum w:abstractNumId="281">
    <w:nsid w:val="718FABF9"/>
    <w:multiLevelType w:val="hybridMultilevel"/>
    <w:lvl w:ilvl="0">
      <w:lvlJc w:val="left"/>
      <w:lvlText w:val="(%1)"/>
      <w:numFmt w:val="lowerLetter"/>
      <w:start w:val="2"/>
    </w:lvl>
  </w:abstractNum>
  <w:abstractNum w:abstractNumId="282">
    <w:nsid w:val="7775797C"/>
    <w:multiLevelType w:val="hybridMultilevel"/>
    <w:lvl w:ilvl="0">
      <w:lvlJc w:val="left"/>
      <w:lvlText w:val="(%1)"/>
      <w:numFmt w:val="lowerLetter"/>
      <w:start w:val="2"/>
    </w:lvl>
  </w:abstractNum>
  <w:abstractNum w:abstractNumId="283">
    <w:nsid w:val="1626FB8C"/>
    <w:multiLevelType w:val="hybridMultilevel"/>
    <w:lvl w:ilvl="0">
      <w:lvlJc w:val="left"/>
      <w:lvlText w:val="(%1)"/>
      <w:numFmt w:val="lowerLetter"/>
      <w:start w:val="2"/>
    </w:lvl>
  </w:abstractNum>
  <w:abstractNum w:abstractNumId="284">
    <w:nsid w:val="3957756A"/>
    <w:multiLevelType w:val="hybridMultilevel"/>
    <w:lvl w:ilvl="0">
      <w:lvlJc w:val="left"/>
      <w:lvlText w:val="(%1)"/>
      <w:numFmt w:val="lowerLetter"/>
      <w:start w:val="1"/>
    </w:lvl>
  </w:abstractNum>
  <w:abstractNum w:abstractNumId="285">
    <w:nsid w:val="3E6DA1C7"/>
    <w:multiLevelType w:val="hybridMultilevel"/>
    <w:lvl w:ilvl="0">
      <w:lvlJc w:val="left"/>
      <w:lvlText w:val="%1"/>
      <w:numFmt w:val="lowerLetter"/>
      <w:start w:val="1"/>
    </w:lvl>
    <w:lvl w:ilvl="1">
      <w:lvlJc w:val="left"/>
      <w:lvlText w:val="(%2)"/>
      <w:numFmt w:val="lowerLetter"/>
      <w:start w:val="6"/>
    </w:lvl>
  </w:abstractNum>
  <w:abstractNum w:abstractNumId="286">
    <w:nsid w:val="65CA235B"/>
    <w:multiLevelType w:val="hybridMultilevel"/>
    <w:lvl w:ilvl="0">
      <w:lvlJc w:val="left"/>
      <w:lvlText w:val="(%1)"/>
      <w:numFmt w:val="lowerLetter"/>
      <w:start w:val="25"/>
    </w:lvl>
    <w:lvl w:ilvl="1">
      <w:lvlJc w:val="left"/>
      <w:lvlText w:val="(%2)"/>
      <w:numFmt w:val="lowerLetter"/>
      <w:start w:val="14"/>
    </w:lvl>
  </w:abstractNum>
  <w:abstractNum w:abstractNumId="287">
    <w:nsid w:val="51CB0DA4"/>
    <w:multiLevelType w:val="hybridMultilevel"/>
    <w:lvl w:ilvl="0">
      <w:lvlJc w:val="left"/>
      <w:lvlText w:val="%1"/>
      <w:numFmt w:val="lowerLetter"/>
      <w:start w:val="1"/>
    </w:lvl>
    <w:lvl w:ilvl="1">
      <w:lvlJc w:val="left"/>
      <w:lvlText w:val="(%2)"/>
      <w:numFmt w:val="lowerLetter"/>
      <w:start w:val="16"/>
    </w:lvl>
  </w:abstractNum>
  <w:abstractNum w:abstractNumId="288">
    <w:nsid w:val="7B9B743C"/>
    <w:multiLevelType w:val="hybridMultilevel"/>
    <w:lvl w:ilvl="0">
      <w:lvlJc w:val="left"/>
      <w:lvlText w:val="(%1)"/>
      <w:numFmt w:val="lowerLetter"/>
      <w:start w:val="35"/>
    </w:lvl>
    <w:lvl w:ilvl="1">
      <w:lvlJc w:val="left"/>
      <w:lvlText w:val="(%2)"/>
      <w:numFmt w:val="lowerLetter"/>
      <w:start w:val="17"/>
    </w:lvl>
  </w:abstractNum>
  <w:abstractNum w:abstractNumId="289">
    <w:nsid w:val="13E21002"/>
    <w:multiLevelType w:val="hybridMultilevel"/>
    <w:lvl w:ilvl="0">
      <w:lvlJc w:val="left"/>
      <w:lvlText w:val="(%1)"/>
      <w:numFmt w:val="lowerLetter"/>
      <w:start w:val="1"/>
    </w:lvl>
  </w:abstractNum>
  <w:abstractNum w:abstractNumId="290">
    <w:nsid w:val="257D63F4"/>
    <w:multiLevelType w:val="hybridMultilevel"/>
    <w:lvl w:ilvl="0">
      <w:lvlJc w:val="left"/>
      <w:lvlText w:val="%1"/>
      <w:numFmt w:val="lowerLetter"/>
      <w:start w:val="1"/>
    </w:lvl>
    <w:lvl w:ilvl="1">
      <w:lvlJc w:val="left"/>
      <w:lvlText w:val="(%2)"/>
      <w:numFmt w:val="lowerLetter"/>
      <w:start w:val="4"/>
    </w:lvl>
  </w:abstractNum>
  <w:abstractNum w:abstractNumId="291">
    <w:nsid w:val="70EC11B2"/>
    <w:multiLevelType w:val="hybridMultilevel"/>
    <w:lvl w:ilvl="0">
      <w:lvlJc w:val="left"/>
      <w:lvlText w:val="(%1)"/>
      <w:numFmt w:val="lowerLetter"/>
      <w:start w:val="35"/>
    </w:lvl>
    <w:lvl w:ilvl="1">
      <w:lvlJc w:val="left"/>
      <w:lvlText w:val="(%2)"/>
      <w:numFmt w:val="lowerLetter"/>
      <w:start w:val="8"/>
    </w:lvl>
  </w:abstractNum>
  <w:abstractNum w:abstractNumId="292">
    <w:nsid w:val="2EDA00ED"/>
    <w:multiLevelType w:val="hybridMultilevel"/>
    <w:lvl w:ilvl="0">
      <w:lvlJc w:val="left"/>
      <w:lvlText w:val="%1"/>
      <w:numFmt w:val="lowerLetter"/>
      <w:start w:val="1"/>
    </w:lvl>
    <w:lvl w:ilvl="1">
      <w:lvlJc w:val="left"/>
      <w:lvlText w:val="(%2)"/>
      <w:numFmt w:val="lowerLetter"/>
      <w:start w:val="11"/>
    </w:lvl>
  </w:abstractNum>
  <w:abstractNum w:abstractNumId="293">
    <w:nsid w:val="73209072"/>
    <w:multiLevelType w:val="hybridMultilevel"/>
    <w:lvl w:ilvl="0">
      <w:lvlJc w:val="left"/>
      <w:lvlText w:val="(%1)"/>
      <w:numFmt w:val="lowerLetter"/>
      <w:start w:val="35"/>
    </w:lvl>
    <w:lvl w:ilvl="1">
      <w:lvlJc w:val="left"/>
      <w:lvlText w:val="(%2)"/>
      <w:numFmt w:val="lowerLetter"/>
      <w:start w:val="12"/>
    </w:lvl>
  </w:abstractNum>
  <w:abstractNum w:abstractNumId="294">
    <w:nsid w:val="5FB29816"/>
    <w:multiLevelType w:val="hybridMultilevel"/>
    <w:lvl w:ilvl="0">
      <w:lvlJc w:val="left"/>
      <w:lvlText w:val="(%1)"/>
      <w:numFmt w:val="lowerLetter"/>
      <w:start w:val="18"/>
    </w:lvl>
    <w:lvl w:ilvl="1">
      <w:lvlJc w:val="left"/>
      <w:lvlText w:val="(%2)"/>
      <w:numFmt w:val="lowerLetter"/>
      <w:start w:val="19"/>
    </w:lvl>
  </w:abstractNum>
  <w:abstractNum w:abstractNumId="295">
    <w:nsid w:val="3CE732EC"/>
    <w:multiLevelType w:val="hybridMultilevel"/>
    <w:lvl w:ilvl="0">
      <w:lvlJc w:val="left"/>
      <w:lvlText w:val="(%1)"/>
      <w:numFmt w:val="lowerLetter"/>
      <w:start w:val="22"/>
    </w:lvl>
  </w:abstractNum>
  <w:abstractNum w:abstractNumId="296">
    <w:nsid w:val="22F13DF3"/>
    <w:multiLevelType w:val="hybridMultilevel"/>
    <w:lvl w:ilvl="0">
      <w:lvlJc w:val="left"/>
      <w:lvlText w:val="(%1)"/>
      <w:numFmt w:val="lowerLetter"/>
      <w:start w:val="2"/>
    </w:lvl>
  </w:abstractNum>
  <w:abstractNum w:abstractNumId="297">
    <w:nsid w:val="792B8401"/>
    <w:multiLevelType w:val="hybridMultilevel"/>
    <w:lvl w:ilvl="0">
      <w:lvlJc w:val="left"/>
      <w:lvlText w:val="(%1)"/>
      <w:numFmt w:val="lowerLetter"/>
      <w:start w:val="7"/>
    </w:lvl>
  </w:abstractNum>
  <w:abstractNum w:abstractNumId="298">
    <w:nsid w:val="FA85F4D"/>
    <w:multiLevelType w:val="hybridMultilevel"/>
    <w:lvl w:ilvl="0">
      <w:lvlJc w:val="left"/>
      <w:lvlText w:val="(%1)"/>
      <w:numFmt w:val="lowerLetter"/>
      <w:start w:val="1"/>
    </w:lvl>
  </w:abstractNum>
  <w:abstractNum w:abstractNumId="299">
    <w:nsid w:val="6ECE91F0"/>
    <w:multiLevelType w:val="hybridMultilevel"/>
    <w:lvl w:ilvl="0">
      <w:lvlJc w:val="left"/>
      <w:lvlText w:val="(%1)"/>
      <w:numFmt w:val="lowerLetter"/>
      <w:start w:val="7"/>
    </w:lvl>
  </w:abstractNum>
  <w:abstractNum w:abstractNumId="300">
    <w:nsid w:val="4FC4D600"/>
    <w:multiLevelType w:val="hybridMultilevel"/>
    <w:lvl w:ilvl="0">
      <w:lvlJc w:val="left"/>
      <w:lvlText w:val="(%1)"/>
      <w:numFmt w:val="lowerLetter"/>
      <w:start w:val="7"/>
    </w:lvl>
  </w:abstractNum>
  <w:abstractNum w:abstractNumId="301">
    <w:nsid w:val="5BFD4210"/>
    <w:multiLevelType w:val="hybridMultilevel"/>
    <w:lvl w:ilvl="0">
      <w:lvlJc w:val="left"/>
      <w:lvlText w:val="(%1)"/>
      <w:numFmt w:val="lowerRoman"/>
      <w:start w:val="10"/>
    </w:lvl>
  </w:abstractNum>
  <w:abstractNum w:abstractNumId="302">
    <w:nsid w:val="76574F8B"/>
    <w:multiLevelType w:val="hybridMultilevel"/>
    <w:lvl w:ilvl="0">
      <w:lvlJc w:val="left"/>
      <w:lvlText w:val="(%1)"/>
      <w:numFmt w:val="lowerLetter"/>
      <w:start w:val="1"/>
    </w:lvl>
  </w:abstractNum>
  <w:abstractNum w:abstractNumId="303">
    <w:nsid w:val="178F7B67"/>
    <w:multiLevelType w:val="hybridMultilevel"/>
    <w:lvl w:ilvl="0">
      <w:lvlJc w:val="left"/>
      <w:lvlText w:val="%1"/>
      <w:numFmt w:val="lowerLetter"/>
      <w:start w:val="1"/>
    </w:lvl>
    <w:lvl w:ilvl="1">
      <w:lvlJc w:val="left"/>
      <w:lvlText w:val="(%2)"/>
      <w:numFmt w:val="lowerLetter"/>
      <w:start w:val="7"/>
    </w:lvl>
  </w:abstractNum>
  <w:abstractNum w:abstractNumId="304">
    <w:nsid w:val="2421DFCF"/>
    <w:multiLevelType w:val="hybridMultilevel"/>
    <w:lvl w:ilvl="0">
      <w:lvlJc w:val="left"/>
      <w:lvlText w:val="(%1)"/>
      <w:numFmt w:val="lowerLetter"/>
      <w:start w:val="35"/>
    </w:lvl>
    <w:lvl w:ilvl="1">
      <w:lvlJc w:val="left"/>
      <w:lvlText w:val="(%2)"/>
      <w:numFmt w:val="lowerLetter"/>
      <w:start w:val="8"/>
    </w:lvl>
  </w:abstractNum>
  <w:abstractNum w:abstractNumId="305">
    <w:nsid w:val="1565AC99"/>
    <w:multiLevelType w:val="hybridMultilevel"/>
    <w:lvl w:ilvl="0">
      <w:lvlJc w:val="left"/>
      <w:lvlText w:val="(%1)"/>
      <w:numFmt w:val="lowerLetter"/>
      <w:start w:val="12"/>
    </w:lvl>
  </w:abstractNum>
  <w:abstractNum w:abstractNumId="306">
    <w:nsid w:val="19FB2650"/>
    <w:multiLevelType w:val="hybridMultilevel"/>
    <w:lvl w:ilvl="0">
      <w:lvlJc w:val="left"/>
      <w:lvlText w:val="(%1)"/>
      <w:numFmt w:val="lowerLetter"/>
      <w:start w:val="1"/>
    </w:lvl>
  </w:abstractNum>
  <w:abstractNum w:abstractNumId="307">
    <w:nsid w:val="5024DE5B"/>
    <w:multiLevelType w:val="hybridMultilevel"/>
    <w:lvl w:ilvl="0">
      <w:lvlJc w:val="left"/>
      <w:lvlText w:val="(%1)"/>
      <w:numFmt w:val="lowerLetter"/>
      <w:start w:val="2"/>
    </w:lvl>
  </w:abstractNum>
  <w:abstractNum w:abstractNumId="308">
    <w:nsid w:val="168EFE17"/>
    <w:multiLevelType w:val="hybridMultilevel"/>
    <w:lvl w:ilvl="0">
      <w:lvlJc w:val="left"/>
      <w:lvlText w:val="(%1)"/>
      <w:numFmt w:val="lowerLetter"/>
      <w:start w:val="4"/>
    </w:lvl>
  </w:abstractNum>
  <w:abstractNum w:abstractNumId="309">
    <w:nsid w:val="1036B29F"/>
    <w:multiLevelType w:val="hybridMultilevel"/>
    <w:lvl w:ilvl="0">
      <w:lvlJc w:val="left"/>
      <w:lvlText w:val="(%1)"/>
      <w:numFmt w:val="lowerRoman"/>
      <w:start w:val="1"/>
    </w:lvl>
  </w:abstractNum>
  <w:abstractNum w:abstractNumId="310">
    <w:nsid w:val="1D206B8E"/>
    <w:multiLevelType w:val="hybridMultilevel"/>
    <w:lvl w:ilvl="0">
      <w:lvlJc w:val="left"/>
      <w:lvlText w:val="(%1)"/>
      <w:numFmt w:val="lowerRoman"/>
      <w:start w:val="2"/>
    </w:lvl>
  </w:abstractNum>
  <w:abstractNum w:abstractNumId="311">
    <w:nsid w:val="7934D3D4"/>
    <w:multiLevelType w:val="hybridMultilevel"/>
    <w:lvl w:ilvl="0">
      <w:lvlJc w:val="left"/>
      <w:lvlText w:val="(%1)"/>
      <w:numFmt w:val="lowerLetter"/>
      <w:start w:val="7"/>
    </w:lvl>
  </w:abstractNum>
  <w:abstractNum w:abstractNumId="312">
    <w:nsid w:val="1C65E98"/>
    <w:multiLevelType w:val="hybridMultilevel"/>
    <w:lvl w:ilvl="0">
      <w:lvlJc w:val="left"/>
      <w:lvlText w:val="(%1)"/>
      <w:numFmt w:val="lowerLetter"/>
      <w:start w:val="10"/>
    </w:lvl>
  </w:abstractNum>
  <w:abstractNum w:abstractNumId="313">
    <w:nsid w:val="1495E50A"/>
    <w:multiLevelType w:val="hybridMultilevel"/>
    <w:lvl w:ilvl="0">
      <w:lvlJc w:val="left"/>
      <w:lvlText w:val="(%1)"/>
      <w:numFmt w:val="lowerLetter"/>
      <w:start w:val="1"/>
    </w:lvl>
    <w:lvl w:ilvl="1">
      <w:lvlJc w:val="left"/>
      <w:lvlText w:val="(%2)"/>
      <w:numFmt w:val="lowerLetter"/>
      <w:start w:val="9"/>
    </w:lvl>
  </w:abstractNum>
  <w:abstractNum w:abstractNumId="314">
    <w:nsid w:val="F5BCF61"/>
    <w:multiLevelType w:val="hybridMultilevel"/>
    <w:lvl w:ilvl="0">
      <w:lvlJc w:val="left"/>
      <w:lvlText w:val="(%1)"/>
      <w:numFmt w:val="lowerRoman"/>
      <w:start w:val="2"/>
    </w:lvl>
  </w:abstractNum>
  <w:abstractNum w:abstractNumId="315">
    <w:nsid w:val="3B1DD403"/>
    <w:multiLevelType w:val="hybridMultilevel"/>
    <w:lvl w:ilvl="0">
      <w:lvlJc w:val="left"/>
      <w:lvlText w:val="(%1)"/>
      <w:numFmt w:val="lowerLetter"/>
      <w:start w:val="2"/>
    </w:lvl>
  </w:abstractNum>
  <w:abstractNum w:abstractNumId="316">
    <w:nsid w:val="530386D1"/>
    <w:multiLevelType w:val="hybridMultilevel"/>
    <w:lvl w:ilvl="0">
      <w:lvlJc w:val="left"/>
      <w:lvlText w:val="(%1)"/>
      <w:numFmt w:val="lowerLetter"/>
      <w:start w:val="35"/>
    </w:lvl>
    <w:lvl w:ilvl="1">
      <w:lvlJc w:val="left"/>
      <w:lvlText w:val="(%2)"/>
      <w:numFmt w:val="lowerLetter"/>
      <w:start w:val="3"/>
    </w:lvl>
  </w:abstractNum>
  <w:abstractNum w:abstractNumId="317">
    <w:nsid w:val="7525F2BC"/>
    <w:multiLevelType w:val="hybridMultilevel"/>
    <w:lvl w:ilvl="0">
      <w:lvlJc w:val="left"/>
      <w:lvlText w:val="(%1)"/>
      <w:numFmt w:val="lowerLetter"/>
      <w:start w:val="4"/>
    </w:lvl>
  </w:abstractNum>
  <w:abstractNum w:abstractNumId="318">
    <w:nsid w:val="CE8E1A7"/>
    <w:multiLevelType w:val="hybridMultilevel"/>
    <w:lvl w:ilvl="0">
      <w:lvlJc w:val="left"/>
      <w:lvlText w:val="(%1)"/>
      <w:numFmt w:val="lowerLetter"/>
      <w:start w:val="1"/>
    </w:lvl>
  </w:abstractNum>
  <w:abstractNum w:abstractNumId="319">
    <w:nsid w:val="4E9EFB0D"/>
    <w:multiLevelType w:val="hybridMultilevel"/>
    <w:lvl w:ilvl="0">
      <w:lvlJc w:val="left"/>
      <w:lvlText w:val="(%1)"/>
      <w:numFmt w:val="lowerLetter"/>
      <w:start w:val="2"/>
    </w:lvl>
  </w:abstractNum>
  <w:abstractNum w:abstractNumId="320">
    <w:nsid w:val="90802BE"/>
    <w:multiLevelType w:val="hybridMultilevel"/>
    <w:lvl w:ilvl="0">
      <w:lvlJc w:val="left"/>
      <w:lvlText w:val="(%1)"/>
      <w:numFmt w:val="lowerLetter"/>
      <w:start w:val="1"/>
    </w:lvl>
  </w:abstractNum>
  <w:abstractNum w:abstractNumId="321">
    <w:nsid w:val="3266459B"/>
    <w:multiLevelType w:val="hybridMultilevel"/>
    <w:lvl w:ilvl="0">
      <w:lvlJc w:val="left"/>
      <w:lvlText w:val="%1"/>
      <w:numFmt w:val="lowerLetter"/>
      <w:start w:val="1"/>
    </w:lvl>
    <w:lvl w:ilvl="1">
      <w:lvlJc w:val="left"/>
      <w:lvlText w:val="(%2)"/>
      <w:numFmt w:val="lowerLetter"/>
      <w:start w:val="2"/>
    </w:lvl>
  </w:abstractNum>
  <w:abstractNum w:abstractNumId="322">
    <w:nsid w:val="3F8B0CBF"/>
    <w:multiLevelType w:val="hybridMultilevel"/>
    <w:lvl w:ilvl="0">
      <w:lvlJc w:val="left"/>
      <w:lvlText w:val="(%1)"/>
      <w:numFmt w:val="lowerLetter"/>
      <w:start w:val="9"/>
    </w:lvl>
    <w:lvl w:ilvl="1">
      <w:lvlJc w:val="left"/>
      <w:lvlText w:val="(%2)"/>
      <w:numFmt w:val="lowerLetter"/>
      <w:start w:val="3"/>
    </w:lvl>
  </w:abstractNum>
  <w:abstractNum w:abstractNumId="323">
    <w:nsid w:val="37E203AB"/>
    <w:multiLevelType w:val="hybridMultilevel"/>
    <w:lvl w:ilvl="0">
      <w:lvlJc w:val="left"/>
      <w:lvlText w:val="(%1)"/>
      <w:numFmt w:val="lowerLetter"/>
      <w:start w:val="2"/>
    </w:lvl>
    <w:lvl w:ilvl="1">
      <w:lvlJc w:val="left"/>
      <w:lvlText w:val="%2"/>
      <w:numFmt w:val="lowerLetter"/>
      <w:start w:val="1"/>
    </w:lvl>
  </w:abstractNum>
  <w:abstractNum w:abstractNumId="324">
    <w:nsid w:val="2586D60E"/>
    <w:multiLevelType w:val="hybridMultilevel"/>
    <w:lvl w:ilvl="0">
      <w:lvlJc w:val="left"/>
      <w:lvlText w:val="(%1)"/>
      <w:numFmt w:val="lowerLetter"/>
      <w:start w:val="4"/>
    </w:lvl>
  </w:abstractNum>
  <w:abstractNum w:abstractNumId="325">
    <w:nsid w:val="1F3DA4D5"/>
    <w:multiLevelType w:val="hybridMultilevel"/>
    <w:lvl w:ilvl="0">
      <w:lvlJc w:val="left"/>
      <w:lvlText w:val="(%1)"/>
      <w:numFmt w:val="lowerLetter"/>
      <w:start w:val="1"/>
    </w:lvl>
  </w:abstractNum>
  <w:abstractNum w:abstractNumId="326">
    <w:nsid w:val="74C93698"/>
    <w:multiLevelType w:val="hybridMultilevel"/>
    <w:lvl w:ilvl="0">
      <w:lvlJc w:val="left"/>
      <w:lvlText w:val="(%1)"/>
      <w:numFmt w:val="lowerRoman"/>
      <w:start w:val="1"/>
    </w:lvl>
    <w:lvl w:ilvl="1">
      <w:lvlJc w:val="left"/>
      <w:lvlText w:val="(%2)"/>
      <w:numFmt w:val="upperLetter"/>
      <w:start w:val="1"/>
    </w:lvl>
  </w:abstractNum>
  <w:abstractNum w:abstractNumId="327">
    <w:nsid w:val="48781401"/>
    <w:multiLevelType w:val="hybridMultilevel"/>
    <w:lvl w:ilvl="0">
      <w:lvlJc w:val="left"/>
      <w:lvlText w:val="%1"/>
      <w:numFmt w:val="lowerRoman"/>
      <w:start w:val="1"/>
    </w:lvl>
    <w:lvl w:ilvl="1">
      <w:lvlJc w:val="left"/>
      <w:lvlText w:val="(%2)"/>
      <w:numFmt w:val="upperLetter"/>
      <w:start w:val="2"/>
    </w:lvl>
  </w:abstractNum>
  <w:abstractNum w:abstractNumId="328">
    <w:nsid w:val="186928D6"/>
    <w:multiLevelType w:val="hybridMultilevel"/>
    <w:lvl w:ilvl="0">
      <w:lvlJc w:val="left"/>
      <w:lvlText w:val="(%1)"/>
      <w:numFmt w:val="lowerRoman"/>
      <w:start w:val="4"/>
    </w:lvl>
    <w:lvl w:ilvl="1">
      <w:lvlJc w:val="left"/>
      <w:lvlText w:val="%2"/>
      <w:numFmt w:val="upperLetter"/>
      <w:start w:val="1"/>
    </w:lvl>
  </w:abstractNum>
  <w:abstractNum w:abstractNumId="329">
    <w:nsid w:val="47195E5"/>
    <w:multiLevelType w:val="hybridMultilevel"/>
    <w:lvl w:ilvl="0">
      <w:lvlJc w:val="left"/>
      <w:lvlText w:val="%1"/>
      <w:numFmt w:val="lowerLetter"/>
      <w:start w:val="1"/>
    </w:lvl>
    <w:lvl w:ilvl="1">
      <w:lvlJc w:val="left"/>
      <w:lvlText w:val="(%2)"/>
      <w:numFmt w:val="lowerLetter"/>
      <w:start w:val="3"/>
    </w:lvl>
  </w:abstractNum>
  <w:abstractNum w:abstractNumId="330">
    <w:nsid w:val="3746A5F2"/>
    <w:multiLevelType w:val="hybridMultilevel"/>
    <w:lvl w:ilvl="0">
      <w:lvlJc w:val="left"/>
      <w:lvlText w:val="(%1)"/>
      <w:numFmt w:val="lowerLetter"/>
      <w:start w:val="35"/>
    </w:lvl>
    <w:lvl w:ilvl="1">
      <w:lvlJc w:val="left"/>
      <w:lvlText w:val="%2"/>
      <w:numFmt w:val="lowerLetter"/>
      <w:start w:val="1"/>
    </w:lvl>
  </w:abstractNum>
  <w:abstractNum w:abstractNumId="331">
    <w:nsid w:val="682DFED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32">
    <w:nsid w:val="606ED7F6"/>
    <w:multiLevelType w:val="hybridMultilevel"/>
    <w:lvl w:ilvl="0">
      <w:lvlJc w:val="left"/>
      <w:lvlText w:val="%1"/>
      <w:numFmt w:val="lowerLetter"/>
      <w:start w:val="1"/>
    </w:lvl>
    <w:lvl w:ilvl="1">
      <w:lvlJc w:val="left"/>
      <w:lvlText w:val="(%2)"/>
      <w:numFmt w:val="lowerLetter"/>
      <w:start w:val="35"/>
    </w:lvl>
  </w:abstractNum>
  <w:abstractNum w:abstractNumId="333">
    <w:nsid w:val="2D9DF57D"/>
    <w:multiLevelType w:val="hybridMultilevel"/>
    <w:lvl w:ilvl="0">
      <w:lvlJc w:val="left"/>
      <w:lvlText w:val="(%1)"/>
      <w:numFmt w:val="lowerLetter"/>
      <w:start w:val="6"/>
    </w:lvl>
    <w:lvl w:ilvl="1">
      <w:lvlJc w:val="left"/>
      <w:lvlText w:val="%2"/>
      <w:numFmt w:val="lowerLetter"/>
      <w:start w:val="1"/>
    </w:lvl>
  </w:abstractNum>
  <w:abstractNum w:abstractNumId="334">
    <w:nsid w:val="7FBD7A3E"/>
    <w:multiLevelType w:val="hybridMultilevel"/>
    <w:lvl w:ilvl="0">
      <w:lvlJc w:val="left"/>
      <w:lvlText w:val="%1"/>
      <w:numFmt w:val="lowerLetter"/>
      <w:start w:val="1"/>
    </w:lvl>
    <w:lvl w:ilvl="1">
      <w:lvlJc w:val="left"/>
      <w:lvlText w:val="(%2)"/>
      <w:numFmt w:val="lowerLetter"/>
      <w:start w:val="7"/>
    </w:lvl>
  </w:abstractNum>
  <w:abstractNum w:abstractNumId="335">
    <w:nsid w:val="490B7C5"/>
    <w:multiLevelType w:val="hybridMultilevel"/>
    <w:lvl w:ilvl="0">
      <w:lvlJc w:val="left"/>
      <w:lvlText w:val="(%1)"/>
      <w:numFmt w:val="lowerLetter"/>
      <w:start w:val="9"/>
    </w:lvl>
    <w:lvl w:ilvl="1">
      <w:lvlJc w:val="left"/>
      <w:lvlText w:val="%2"/>
      <w:numFmt w:val="lowerLetter"/>
      <w:start w:val="1"/>
    </w:lvl>
  </w:abstractNum>
  <w:abstractNum w:abstractNumId="336">
    <w:nsid w:val="4303A216"/>
    <w:multiLevelType w:val="hybridMultilevel"/>
    <w:lvl w:ilvl="0">
      <w:lvlJc w:val="left"/>
      <w:lvlText w:val="(%1)"/>
      <w:numFmt w:val="lowerLetter"/>
      <w:start w:val="1"/>
    </w:lvl>
  </w:abstractNum>
  <w:abstractNum w:abstractNumId="337">
    <w:nsid w:val="19B8A08E"/>
    <w:multiLevelType w:val="hybridMultilevel"/>
    <w:lvl w:ilvl="0">
      <w:lvlJc w:val="left"/>
      <w:lvlText w:val="(%1)"/>
      <w:numFmt w:val="lowerLetter"/>
      <w:start w:val="1"/>
    </w:lvl>
  </w:abstractNum>
  <w:abstractNum w:abstractNumId="338">
    <w:nsid w:val="54B59621"/>
    <w:multiLevelType w:val="hybridMultilevel"/>
    <w:lvl w:ilvl="0">
      <w:lvlJc w:val="left"/>
      <w:lvlText w:val="(%1)"/>
      <w:numFmt w:val="lowerLetter"/>
      <w:start w:val="4"/>
    </w:lvl>
  </w:abstractNum>
  <w:abstractNum w:abstractNumId="339">
    <w:nsid w:val="5992A02E"/>
    <w:multiLevelType w:val="hybridMultilevel"/>
    <w:lvl w:ilvl="0">
      <w:lvlJc w:val="left"/>
      <w:lvlText w:val="(%1)"/>
      <w:numFmt w:val="upperLetter"/>
      <w:start w:val="1"/>
    </w:lvl>
  </w:abstractNum>
  <w:abstractNum w:abstractNumId="340">
    <w:nsid w:val="29EF532D"/>
    <w:multiLevelType w:val="hybridMultilevel"/>
    <w:lvl w:ilvl="0">
      <w:lvlJc w:val="left"/>
      <w:lvlText w:val="(%1)"/>
      <w:numFmt w:val="lowerLetter"/>
      <w:start w:val="3"/>
    </w:lvl>
  </w:abstractNum>
  <w:abstractNum w:abstractNumId="341">
    <w:nsid w:val="71D601AF"/>
    <w:multiLevelType w:val="hybridMultilevel"/>
    <w:lvl w:ilvl="0">
      <w:lvlJc w:val="left"/>
      <w:lvlText w:val="(%1)"/>
      <w:numFmt w:val="lowerLetter"/>
      <w:start w:val="1"/>
    </w:lvl>
  </w:abstractNum>
  <w:abstractNum w:abstractNumId="342">
    <w:nsid w:val="52C77402"/>
    <w:multiLevelType w:val="hybridMultilevel"/>
    <w:lvl w:ilvl="0">
      <w:lvlJc w:val="left"/>
      <w:lvlText w:val="(%1)"/>
      <w:numFmt w:val="lowerLetter"/>
      <w:start w:val="2"/>
    </w:lvl>
  </w:abstractNum>
  <w:abstractNum w:abstractNumId="343">
    <w:nsid w:val="2BB5B1C6"/>
    <w:multiLevelType w:val="hybridMultilevel"/>
    <w:lvl w:ilvl="0">
      <w:lvlJc w:val="left"/>
      <w:lvlText w:val="(%1)"/>
      <w:numFmt w:val="lowerLetter"/>
      <w:start w:val="1"/>
    </w:lvl>
    <w:lvl w:ilvl="1">
      <w:lvlJc w:val="left"/>
      <w:lvlText w:val="(%2)"/>
      <w:numFmt w:val="lowerRoman"/>
      <w:start w:val="1"/>
    </w:lvl>
  </w:abstractNum>
  <w:abstractNum w:abstractNumId="344">
    <w:nsid w:val="66BE6B9"/>
    <w:multiLevelType w:val="hybridMultilevel"/>
    <w:lvl w:ilvl="0">
      <w:lvlJc w:val="left"/>
      <w:lvlText w:val="(%1)"/>
      <w:numFmt w:val="lowerRoman"/>
      <w:start w:val="3"/>
    </w:lvl>
  </w:abstractNum>
  <w:abstractNum w:abstractNumId="345">
    <w:nsid w:val="62234363"/>
    <w:multiLevelType w:val="hybridMultilevel"/>
    <w:lvl w:ilvl="0">
      <w:lvlJc w:val="left"/>
      <w:lvlText w:val="(%1)"/>
      <w:numFmt w:val="lowerLetter"/>
      <w:start w:val="1"/>
    </w:lvl>
  </w:abstractNum>
  <w:abstractNum w:abstractNumId="346">
    <w:nsid w:val="66D385C9"/>
    <w:multiLevelType w:val="hybridMultilevel"/>
    <w:lvl w:ilvl="0">
      <w:lvlJc w:val="left"/>
      <w:lvlText w:val="§"/>
      <w:numFmt w:val="bullet"/>
      <w:start w:val="1"/>
    </w:lvl>
  </w:abstractNum>
  <w:abstractNum w:abstractNumId="347">
    <w:nsid w:val="596F6D8A"/>
    <w:multiLevelType w:val="hybridMultilevel"/>
    <w:lvl w:ilvl="0">
      <w:lvlJc w:val="left"/>
      <w:lvlText w:val="(%1)"/>
      <w:numFmt w:val="lowerLetter"/>
      <w:start w:val="1"/>
    </w:lvl>
    <w:lvl w:ilvl="1">
      <w:lvlJc w:val="left"/>
      <w:lvlText w:val="(%2)"/>
      <w:numFmt w:val="lowerRoman"/>
      <w:start w:val="1"/>
    </w:lvl>
  </w:abstractNum>
  <w:abstractNum w:abstractNumId="348">
    <w:nsid w:val="574936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49">
    <w:nsid w:val="73BC677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0">
    <w:nsid w:val="280E6897"/>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2020-06-17T05:07:54Z</dcterms:created>
  <dcterms:modified xsi:type="dcterms:W3CDTF">2020-06-17T05:07:54Z</dcterms:modified>
</cp:coreProperties>
</file>