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201930</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216535</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217170</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201930</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60" w:type="dxa"/>
        <w:tblCellMar>
          <w:top w:w="0" w:type="dxa"/>
          <w:left w:w="0" w:type="dxa"/>
          <w:bottom w:w="0" w:type="dxa"/>
          <w:right w:w="0" w:type="dxa"/>
        </w:tblCellMar>
      </w:tblPr>
      <w:tr>
        <w:trPr>
          <w:trHeight w:val="214"/>
        </w:trPr>
        <w:tc>
          <w:tcPr>
            <w:tcW w:w="19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6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001-39695</w:t>
            </w:r>
          </w:p>
        </w:tc>
        <w:tc>
          <w:tcPr>
            <w:tcW w:w="1460" w:type="dxa"/>
            <w:vAlign w:val="bottom"/>
          </w:tcPr>
          <w:p>
            <w:pPr>
              <w:jc w:val="center"/>
              <w:ind w:left="262"/>
              <w:spacing w:after="0"/>
              <w:rPr>
                <w:sz w:val="20"/>
                <w:szCs w:val="20"/>
                <w:color w:val="auto"/>
              </w:rPr>
            </w:pPr>
            <w:r>
              <w:rPr>
                <w:rFonts w:ascii="Times New Roman" w:cs="Times New Roman" w:eastAsia="Times New Roman" w:hAnsi="Times New Roman"/>
                <w:sz w:val="18"/>
                <w:szCs w:val="18"/>
                <w:b w:val="1"/>
                <w:bCs w:val="1"/>
                <w:color w:val="auto"/>
              </w:rPr>
              <w:t>83-4364296</w:t>
            </w:r>
          </w:p>
        </w:tc>
      </w:tr>
      <w:tr>
        <w:trPr>
          <w:trHeight w:val="149"/>
        </w:trPr>
        <w:tc>
          <w:tcPr>
            <w:tcW w:w="19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6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60" w:type="dxa"/>
            <w:vAlign w:val="bottom"/>
          </w:tcPr>
          <w:p>
            <w:pPr>
              <w:jc w:val="center"/>
              <w:ind w:left="2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90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6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0"/>
        </w:trPr>
        <w:tc>
          <w:tcPr>
            <w:tcW w:w="1900" w:type="dxa"/>
            <w:vAlign w:val="bottom"/>
          </w:tcPr>
          <w:p>
            <w:pPr>
              <w:spacing w:after="0"/>
              <w:rPr>
                <w:sz w:val="24"/>
                <w:szCs w:val="24"/>
                <w:color w:val="auto"/>
              </w:rPr>
            </w:pPr>
          </w:p>
        </w:tc>
        <w:tc>
          <w:tcPr>
            <w:tcW w:w="568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1000 Mylan Boulevard, Canonsburg, Pennsylvania, 15317</w:t>
            </w:r>
          </w:p>
        </w:tc>
        <w:tc>
          <w:tcPr>
            <w:tcW w:w="1460" w:type="dxa"/>
            <w:vAlign w:val="bottom"/>
          </w:tcPr>
          <w:p>
            <w:pPr>
              <w:spacing w:after="0"/>
              <w:rPr>
                <w:sz w:val="24"/>
                <w:szCs w:val="24"/>
                <w:color w:val="auto"/>
              </w:rPr>
            </w:pPr>
          </w:p>
        </w:tc>
      </w:tr>
      <w:tr>
        <w:trPr>
          <w:trHeight w:val="190"/>
        </w:trPr>
        <w:tc>
          <w:tcPr>
            <w:tcW w:w="1900" w:type="dxa"/>
            <w:vAlign w:val="bottom"/>
          </w:tcPr>
          <w:p>
            <w:pPr>
              <w:spacing w:after="0"/>
              <w:rPr>
                <w:sz w:val="16"/>
                <w:szCs w:val="16"/>
                <w:color w:val="auto"/>
              </w:rPr>
            </w:pPr>
          </w:p>
        </w:tc>
        <w:tc>
          <w:tcPr>
            <w:tcW w:w="56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60" w:type="dxa"/>
            <w:vAlign w:val="bottom"/>
          </w:tcPr>
          <w:p>
            <w:pPr>
              <w:spacing w:after="0"/>
              <w:rPr>
                <w:sz w:val="16"/>
                <w:szCs w:val="16"/>
                <w:color w:val="auto"/>
              </w:rPr>
            </w:pPr>
          </w:p>
        </w:tc>
      </w:tr>
      <w:tr>
        <w:trPr>
          <w:trHeight w:val="415"/>
        </w:trPr>
        <w:tc>
          <w:tcPr>
            <w:tcW w:w="1900" w:type="dxa"/>
            <w:vAlign w:val="bottom"/>
          </w:tcPr>
          <w:p>
            <w:pPr>
              <w:spacing w:after="0"/>
              <w:rPr>
                <w:sz w:val="24"/>
                <w:szCs w:val="24"/>
                <w:color w:val="auto"/>
              </w:rPr>
            </w:pPr>
          </w:p>
        </w:tc>
        <w:tc>
          <w:tcPr>
            <w:tcW w:w="568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(724) 514-1800</w:t>
            </w:r>
          </w:p>
        </w:tc>
        <w:tc>
          <w:tcPr>
            <w:tcW w:w="14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188595</wp:posOffset>
            </wp:positionV>
            <wp:extent cx="10629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89" w:lineRule="exact"/>
        <w:rPr>
          <w:sz w:val="24"/>
          <w:szCs w:val="24"/>
          <w:color w:val="auto"/>
        </w:rPr>
      </w:pPr>
    </w:p>
    <w:p>
      <w:pPr>
        <w:ind w:left="600" w:hanging="390"/>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00" w:hanging="390"/>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600" w:hanging="390"/>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600" w:hanging="390"/>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10"/>
        </w:trPr>
        <w:tc>
          <w:tcPr>
            <w:tcW w:w="4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4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4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2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7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759460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On November 29, 2022, Viatris Inc., a Delaware corporation (“</w:t>
      </w:r>
      <w:r>
        <w:rPr>
          <w:rFonts w:ascii="Times New Roman" w:cs="Times New Roman" w:eastAsia="Times New Roman" w:hAnsi="Times New Roman"/>
          <w:sz w:val="18"/>
          <w:szCs w:val="18"/>
          <w:u w:val="single" w:color="auto"/>
          <w:color w:val="auto"/>
        </w:rPr>
        <w:t>Viatris</w:t>
      </w:r>
      <w:r>
        <w:rPr>
          <w:rFonts w:ascii="Times New Roman" w:cs="Times New Roman" w:eastAsia="Times New Roman" w:hAnsi="Times New Roman"/>
          <w:sz w:val="18"/>
          <w:szCs w:val="18"/>
          <w:color w:val="auto"/>
        </w:rPr>
        <w:t>”), announced that it closed the previously announced transaction with Biocon Biologics Limited, a public limited company incorporated under the India Companies Act, 2013 (“</w:t>
      </w:r>
      <w:r>
        <w:rPr>
          <w:rFonts w:ascii="Times New Roman" w:cs="Times New Roman" w:eastAsia="Times New Roman" w:hAnsi="Times New Roman"/>
          <w:sz w:val="18"/>
          <w:szCs w:val="18"/>
          <w:u w:val="single" w:color="auto"/>
          <w:color w:val="auto"/>
        </w:rPr>
        <w:t>Biocon Biologics</w:t>
      </w:r>
      <w:r>
        <w:rPr>
          <w:rFonts w:ascii="Times New Roman" w:cs="Times New Roman" w:eastAsia="Times New Roman" w:hAnsi="Times New Roman"/>
          <w:sz w:val="18"/>
          <w:szCs w:val="18"/>
          <w:color w:val="auto"/>
        </w:rPr>
        <w:t>”), involving the transfer by Viatris of substantially all of its biosimilars portfolio (the “</w:t>
      </w:r>
      <w:r>
        <w:rPr>
          <w:rFonts w:ascii="Times New Roman" w:cs="Times New Roman" w:eastAsia="Times New Roman" w:hAnsi="Times New Roman"/>
          <w:sz w:val="18"/>
          <w:szCs w:val="18"/>
          <w:u w:val="single" w:color="auto"/>
          <w:color w:val="auto"/>
        </w:rPr>
        <w:t>Biosimilars Business</w:t>
      </w:r>
      <w:r>
        <w:rPr>
          <w:rFonts w:ascii="Times New Roman" w:cs="Times New Roman" w:eastAsia="Times New Roman" w:hAnsi="Times New Roman"/>
          <w:sz w:val="18"/>
          <w:szCs w:val="18"/>
          <w:color w:val="auto"/>
        </w:rPr>
        <w:t>”) to Biocon Biologics and its subsidiaries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in exchange for consideration from Biocon Biologics and its subsidiaries of $3.335 billion on a cash-free, debt-free basis, consisting of (a) $2.0 billion in cash consideration at closing, subject to certain adjustments as set forth in the Transaction Agreement (as defined below), (b) a convertible preferred equity stake in Biocon Biologics initially representing 12.9% of the equity in Biocon Biologics (on a fully diluted basis), which the parties’ valued at $1 billion in the Transaction,</w:t>
      </w:r>
    </w:p>
    <w:p>
      <w:pPr>
        <w:spacing w:after="0" w:line="5" w:lineRule="exact"/>
        <w:rPr>
          <w:sz w:val="20"/>
          <w:szCs w:val="20"/>
          <w:color w:val="auto"/>
        </w:rPr>
      </w:pPr>
    </w:p>
    <w:p>
      <w:pPr>
        <w:ind w:right="20" w:firstLine="8"/>
        <w:spacing w:after="0" w:line="252"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 million in future cash consideration, payable on the second anniversary of closing and (d) $175.0 million in future cash consideration, payable on April 8, 2024 (as a result of Biocon Biologics not exercising its right to exclude certain assets and liabilities related to Viatris’ aflibercept product candidate from the Transaction). Approximately $150 million of the closing cash consideration was financed by equity commitments from Serum Institute Life Sciences Private Limited and approximately $650 million of the closing cash consideration was financed by equity commitments from Biocon Limited and its affiliate, Biocon Pharma Limited. The consideration is subject to certain post-closing adjustments and indemnities as set forth in the Transaction Agreement.</w:t>
      </w:r>
    </w:p>
    <w:p>
      <w:pPr>
        <w:spacing w:after="0" w:line="190"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On November 28, 2022, prior to the closing of the Transaction, Viatris and Biocon Biologics entered into Amendment No. 1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to the Transaction Agreement, dated as of February 27, 2022, between Viatris and Biocon Biologics (the “</w:t>
      </w:r>
      <w:r>
        <w:rPr>
          <w:rFonts w:ascii="Times New Roman" w:cs="Times New Roman" w:eastAsia="Times New Roman" w:hAnsi="Times New Roman"/>
          <w:sz w:val="18"/>
          <w:szCs w:val="18"/>
          <w:u w:val="single" w:color="auto"/>
          <w:color w:val="auto"/>
        </w:rPr>
        <w:t>Original Transaction Agreement</w:t>
      </w:r>
      <w:r>
        <w:rPr>
          <w:rFonts w:ascii="Times New Roman" w:cs="Times New Roman" w:eastAsia="Times New Roman" w:hAnsi="Times New Roman"/>
          <w:sz w:val="18"/>
          <w:szCs w:val="18"/>
          <w:color w:val="auto"/>
        </w:rPr>
        <w:t>” and, as amended by Amendment No. 1,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Amendment No. 1, among other things, (a) modified certain aspects of the structuring of the Transaction, (b) modified the timing and procedures for determining the purchase price adjustments, including relating to working capital, and (c) increased the amount of the working capital target from $150 million to $225 million. In addition, pursuant to the Transaction Agreement, at the closing of the Transaction, Viatris retained cash and certain current assets otherwise included in the working capital of the Biosimilars Business in an aggregate amount equal to the working capital target. All or a portion of such amounts may become payable to Biocon Biologics in connection with certain events in the future, depending on the valuations attributable to such events.</w:t>
      </w:r>
    </w:p>
    <w:p>
      <w:pPr>
        <w:spacing w:after="0" w:line="192"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Transaction Agreement, and the transactions contemplated thereby, does not purport to be complete and is subject to, and qualified in its entirety by reference to, the full text of (i) the Original Transaction Agreement, which is attached as Exhibit 2.1 to Viatris’ Form 8-K filed with the SEC on February 28, 2022 and incorporated herein by reference, and (ii) Amendment No. 1, which is attached as Exhibit 2.1 hereto and incorporated herein by reference.</w:t>
      </w:r>
    </w:p>
    <w:p>
      <w:pPr>
        <w:spacing w:after="0" w:line="180" w:lineRule="exact"/>
        <w:rPr>
          <w:sz w:val="20"/>
          <w:szCs w:val="20"/>
          <w:color w:val="auto"/>
        </w:rPr>
      </w:pPr>
    </w:p>
    <w:p>
      <w:pPr>
        <w:ind w:right="60" w:firstLine="441"/>
        <w:spacing w:after="0" w:line="269" w:lineRule="auto"/>
        <w:rPr>
          <w:sz w:val="20"/>
          <w:szCs w:val="20"/>
          <w:color w:val="auto"/>
        </w:rPr>
      </w:pPr>
      <w:r>
        <w:rPr>
          <w:rFonts w:ascii="Times New Roman" w:cs="Times New Roman" w:eastAsia="Times New Roman" w:hAnsi="Times New Roman"/>
          <w:sz w:val="17"/>
          <w:szCs w:val="17"/>
          <w:color w:val="auto"/>
        </w:rPr>
        <w:t>The above description of the Transaction Agreement has been included to provide investors and security holders with information regarding the terms of such agreements. It is not intended to provide any other factual information about Viatris and Biocon Biologics and their respective subsidiaries and affiliates, or any of their respective businesses. The Transaction Agreement contains representations and warranties that are solely for the benefit of parties thereto. The assertions embodied in those representations and warranties are qualified by information in confidential disclosure letters that the parties have exchanged in connection with signing the Transaction Agreement as of a specific date. The disclosure letters contain information that modifies, qualifies and creates exceptions to the representations and warranties set forth in the Transaction Agreement. Therefore, investors and security holders should not treat the representations and warranties as categorical statements of fact. Moreover, these representations and warranties may apply standards of materiality in a way that is different from what may be material to investors. They were made only as of the date of the Original Transaction Agreement or such other date or dates as may be specified in the Transaction Agreement and they are subject to more recent developments. Accordingly, investors and security holders should read the representations and warranties in the Transaction Agreement not in isolation but only in conjunction with the other information about Viatris and its respective subsidiaries that the respective companies include in reports and statements Viatris files with the SEC.</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On November 29, 2022, Viatris issued a press release announcing the closing of the Transaction. A copy of the press release is attached hereto as Exhibit 99.1 and is incorporated herein by reference.</w:t>
      </w:r>
    </w:p>
    <w:p>
      <w:pPr>
        <w:spacing w:after="0" w:line="162"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These statements are made pursuant to the safe harbor provisions of the Private Securities Litigation Reform Act of 1995. Such forward-looking statements may include, without limitation, statements about the Transaction, including statements about the future cash consideration payable in the Transaction, the post-closing purchase price adjustments and indemnities related to the Transaction, the amounts that may become payable to Biocon Biologics in connection with future events and the sale or conversion of Viatris’ equity stake in Biocon Biologics.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Transaction may not achieve its intended benefits; the parties’ ability to meet expectations regarding the accounting and tax treatments of the Transaction; changes in relevant tax and other laws; the possibility that Viatris may be unable to achieve expected benefits, synergies and operating efficiencies in connection with the transaction pursuant to which Mylan N.V. (“Mylan”) combined with the Pfizer Inc.’s Upjohn business (the “Upjohn Business”) in a Reverse Morris Trust transaction (the “Combination”) and Upjohn Inc. became the parent entity of the combined Upjohn Business and Mylan business and was renamed “Viatris Inc.” or Viatris’ global restructuring program within the expected timeframe or at all; the Transaction and other strategic initiatives, including potential divestitures, may not achieve their intended benefits; operational or financial difficulties or losses associated with Viatris’ reliance on agreements with Pfizer in connection with the Combination, including with respect to transition services; the potential impact of public health outbreaks, epidemics and pandemics, including the ongoing challenges and uncertainties posed by the COVID-19 pandemic; Viatris’ failure to achieve expected or targeted future financial and operating performance and results; actions and decisions of healthcare and pharmaceutical regulators; changes in relevant laws and regulations, including but not limited to changes in tax, healthcare and pharmaceutical laws and regulations globally (including the impact of potential tax reform in the U.S.); the ability to attract and retain key personnel; Viatris’ liquidity, capital resources and ability to obtain financing; any regulatory, legal or other impediments to the Viatris’ ability to bring new products to market, including but not limited to “at-risk launches”; success of clinical trials and the Viatris’ or its partners’ ability to execute on new product opportunities and develop, manufacture and commercialize products; any changes in or difficulties with Viatris’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Viatris; any significant breach of data security or data privacy or disruptions to our information technology systems; risks associated with having significant operations globally; the ability to protect intellectual property and preserve intellectual property rights; changes in third-party relationships; the effect of any changes in Viatris’ or its partners’ customer and supplier relationships and customer purchasing patterns, including customer loss and business disruption being greater than expected following the Combination; the impacts of competition, including decreases in sales or revenues as a result of the loss of market exclusivity for certain products; changes in the economic and financial conditions of Viatris or its partners; uncertainties regarding future demand, pricing and reimbursement for Viatris’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accounting principles generally accepted in the United States and related standards or on an adjusted basis. For more detailed information on the risks and uncertainties associated with Viatris, see the risks described in Part I, Item 1A of Viatris’ Annual Report on Form 10-K for the year ended December 31, 2021, as amended,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filing or our other filings with the SEC. Viatris undertakes no obligation to update any statements herein for revisions or changes after the date of this filing other than as required by law.</w:t>
      </w:r>
    </w:p>
    <w:p>
      <w:pPr>
        <w:spacing w:after="0" w:line="1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4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2.1</w:t>
      </w:r>
      <w:r>
        <w:rPr>
          <w:sz w:val="20"/>
          <w:szCs w:val="20"/>
          <w:color w:val="auto"/>
        </w:rPr>
        <w:tab/>
      </w:r>
      <w:r>
        <w:rPr>
          <w:rFonts w:ascii="Times New Roman" w:cs="Times New Roman" w:eastAsia="Times New Roman" w:hAnsi="Times New Roman"/>
          <w:sz w:val="17"/>
          <w:szCs w:val="17"/>
          <w:u w:val="single" w:color="auto"/>
          <w:color w:val="0000EE"/>
        </w:rPr>
        <w:t>Amendment No. 1 to Transaction Agreement, dated as of November 28, 2022, by and between Biocon Biologics Limited and Viatris Inc.*</w:t>
      </w:r>
    </w:p>
    <w:p>
      <w:pPr>
        <w:spacing w:after="0" w:line="225" w:lineRule="exact"/>
        <w:rPr>
          <w:sz w:val="20"/>
          <w:szCs w:val="20"/>
          <w:color w:val="auto"/>
        </w:rPr>
      </w:pPr>
    </w:p>
    <w:p>
      <w:pPr>
        <w:ind w:left="220"/>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Viatris press release announcing the closing of the Transaction</w:t>
      </w:r>
    </w:p>
    <w:p>
      <w:pPr>
        <w:spacing w:after="0" w:line="200" w:lineRule="exact"/>
        <w:rPr>
          <w:sz w:val="20"/>
          <w:szCs w:val="20"/>
          <w:color w:val="auto"/>
        </w:rPr>
      </w:pPr>
    </w:p>
    <w:p>
      <w:pPr>
        <w:spacing w:after="0" w:line="241" w:lineRule="exact"/>
        <w:rPr>
          <w:sz w:val="20"/>
          <w:szCs w:val="20"/>
          <w:color w:val="auto"/>
        </w:rPr>
      </w:pPr>
    </w:p>
    <w:p>
      <w:pPr>
        <w:ind w:left="420" w:right="80" w:hanging="412"/>
        <w:spacing w:after="0" w:line="282" w:lineRule="auto"/>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Annexes, schedules and/or exhibits have been omitted pursuant to Item 601(b)(2) of Regulation S-K. Viatris agrees to furnish supplementally a copy of any omitted attachment to the SEC on a confidential basis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5114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594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2022</w:t>
      </w:r>
    </w:p>
    <w:p>
      <w:pPr>
        <w:sectPr>
          <w:pgSz w:w="11900" w:h="16838" w:orient="portrait"/>
          <w:cols w:equalWidth="0" w:num="1">
            <w:col w:w="11200"/>
          </w:cols>
          <w:pgMar w:left="320" w:top="549"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207"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8"/>
          <w:szCs w:val="18"/>
          <w:color w:val="auto"/>
        </w:rPr>
        <w:t>November 28, 2022</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hereby made to that certain Transaction Agreement, dated as of February 27, 2022 (as amended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Biocon Biologics Limited, a public limited company incorporated under the Indian Companies Act, 2013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Viatris Inc., a Delaware corporation (“</w:t>
      </w:r>
      <w:r>
        <w:rPr>
          <w:rFonts w:ascii="Times New Roman" w:cs="Times New Roman" w:eastAsia="Times New Roman" w:hAnsi="Times New Roman"/>
          <w:sz w:val="18"/>
          <w:szCs w:val="18"/>
          <w:u w:val="single" w:color="auto"/>
          <w:color w:val="auto"/>
        </w:rPr>
        <w:t>Seller Parent</w:t>
      </w:r>
      <w:r>
        <w:rPr>
          <w:rFonts w:ascii="Times New Roman" w:cs="Times New Roman" w:eastAsia="Times New Roman" w:hAnsi="Times New Roman"/>
          <w:sz w:val="18"/>
          <w:szCs w:val="18"/>
          <w:color w:val="auto"/>
        </w:rPr>
        <w:t>”). Capitalized terms used but not defined in this Amendment No. 1 to the Transaction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shall have the respective meanings assigned to them in the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Amendment, the Parties are entering into Amendment No. 1 to the Seller Parent Disclosure Letter;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desire to amend the Agreement in accordance with the terms set forth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representations, warranties, covenants and agreements contained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and the Agreement, and subject to the conditions set forth herein and therein, the Parties hereby agree as follows:</w:t>
      </w:r>
    </w:p>
    <w:p>
      <w:pPr>
        <w:spacing w:after="0" w:line="207"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of the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recital of the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19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prior to the date of this Agreement (a) Mylan Ireland Limited, an Irish private limited company and a Subsidiary of Seller Parent (“</w:t>
      </w:r>
      <w:r>
        <w:rPr>
          <w:rFonts w:ascii="Times New Roman" w:cs="Times New Roman" w:eastAsia="Times New Roman" w:hAnsi="Times New Roman"/>
          <w:sz w:val="18"/>
          <w:szCs w:val="18"/>
          <w:u w:val="single" w:color="auto"/>
          <w:color w:val="auto"/>
        </w:rPr>
        <w:t>Mylan Ireland</w:t>
      </w:r>
      <w:r>
        <w:rPr>
          <w:rFonts w:ascii="Times New Roman" w:cs="Times New Roman" w:eastAsia="Times New Roman" w:hAnsi="Times New Roman"/>
          <w:sz w:val="18"/>
          <w:szCs w:val="18"/>
          <w:color w:val="auto"/>
        </w:rPr>
        <w:t>”), transferred its biosimilars trade (including Transferred Assets and Assumed Liabilities) to Biosimilar Collaborations Ireland Limited, an Irish private limited company (such transfer, the “</w:t>
      </w:r>
      <w:r>
        <w:rPr>
          <w:rFonts w:ascii="Times New Roman" w:cs="Times New Roman" w:eastAsia="Times New Roman" w:hAnsi="Times New Roman"/>
          <w:sz w:val="18"/>
          <w:szCs w:val="18"/>
          <w:u w:val="single" w:color="auto"/>
          <w:color w:val="auto"/>
        </w:rPr>
        <w:t>Irish Spin-Off</w:t>
      </w:r>
      <w:r>
        <w:rPr>
          <w:rFonts w:ascii="Times New Roman" w:cs="Times New Roman" w:eastAsia="Times New Roman" w:hAnsi="Times New Roman"/>
          <w:sz w:val="18"/>
          <w:szCs w:val="18"/>
          <w:color w:val="auto"/>
        </w:rPr>
        <w:t>” and, such transferee, the “</w:t>
      </w:r>
      <w:r>
        <w:rPr>
          <w:rFonts w:ascii="Times New Roman" w:cs="Times New Roman" w:eastAsia="Times New Roman" w:hAnsi="Times New Roman"/>
          <w:sz w:val="18"/>
          <w:szCs w:val="18"/>
          <w:u w:val="single" w:color="auto"/>
          <w:color w:val="auto"/>
        </w:rPr>
        <w:t>Irish Acquired Company</w:t>
      </w:r>
      <w:r>
        <w:rPr>
          <w:rFonts w:ascii="Times New Roman" w:cs="Times New Roman" w:eastAsia="Times New Roman" w:hAnsi="Times New Roman"/>
          <w:sz w:val="18"/>
          <w:szCs w:val="18"/>
          <w:color w:val="auto"/>
        </w:rPr>
        <w:t>”) and (b) Mylan Ireland transferred all of the issued and outstanding equity interests in the Irish Acquired Company to the Irish Seller and, as of the date of this Agreement, the Irish Seller is the sole record and beneficial owner of all of the issued and outstanding equity interests (including any preference shares) in the Irish Acquired Company;”</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seventh recital of the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ind w:left="19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Buyer is the sole record and beneficial owner of all of the issued and outstanding equity interests in the Subsidiary Buyer;”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eighth recital of the Agreement is hereby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840"/>
        <w:spacing w:after="0"/>
        <w:rPr>
          <w:sz w:val="20"/>
          <w:szCs w:val="20"/>
          <w:color w:val="auto"/>
        </w:rPr>
      </w:pPr>
      <w:r>
        <w:rPr>
          <w:rFonts w:ascii="Times New Roman" w:cs="Times New Roman" w:eastAsia="Times New Roman" w:hAnsi="Times New Roman"/>
          <w:sz w:val="18"/>
          <w:szCs w:val="18"/>
          <w:color w:val="auto"/>
        </w:rPr>
        <w:t>“WHEREAS, upon the terms and subject to the conditions set forth in this Agreement, Seller Parent and Buyer desire to cause</w:t>
      </w:r>
    </w:p>
    <w:p>
      <w:pPr>
        <w:spacing w:after="0" w:line="27" w:lineRule="exact"/>
        <w:rPr>
          <w:sz w:val="20"/>
          <w:szCs w:val="20"/>
          <w:color w:val="auto"/>
        </w:rPr>
      </w:pPr>
    </w:p>
    <w:p>
      <w:pPr>
        <w:jc w:val="both"/>
        <w:ind w:left="840" w:hanging="8"/>
        <w:spacing w:after="0" w:line="250" w:lineRule="auto"/>
        <w:tabs>
          <w:tab w:leader="none" w:pos="109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Acquired ROW Equity Interests from ROW Seller to Buyer in exchange for the Stock Consideration, (b) the payment of other amounts as described herein, including, pursuant to the ROW Acquisition, the Irish Future Cash Payment, and</w:t>
      </w:r>
    </w:p>
    <w:p>
      <w:pPr>
        <w:jc w:val="both"/>
        <w:ind w:left="840" w:hanging="8"/>
        <w:spacing w:after="0" w:line="255" w:lineRule="auto"/>
        <w:tabs>
          <w:tab w:leader="none" w:pos="108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subscription by the Subsidiary Buyer for, and the allotment and issue by the Irish Acquired Company of, the Irish New Equity Interests in exchange for the Irish Closing Cash Consideration and (ii) the redemption by the Irish Acquired Company of the Irish Redemption Equity Interests in exchange for an amount equal to the Irish Closing Cash Consideration;”</w:t>
      </w:r>
    </w:p>
    <w:p>
      <w:pPr>
        <w:spacing w:after="0" w:line="18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ninth recital of the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8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“WHEREAS, concurrently with the execution of this Agreement, as an inducement to and condition of Seller Parent’s willingness to enter into this Agreement and the other Transaction Documents to which it is a party, (a) Buyer Parent, Buyer and Seller Parent have duly executed and delivered the Equity Financing Letter, attached as </w:t>
      </w:r>
      <w:r>
        <w:rPr>
          <w:rFonts w:ascii="Times New Roman" w:cs="Times New Roman" w:eastAsia="Times New Roman" w:hAnsi="Times New Roman"/>
          <w:sz w:val="18"/>
          <w:szCs w:val="18"/>
          <w:u w:val="single" w:color="auto"/>
          <w:color w:val="auto"/>
        </w:rPr>
        <w:t>Exhibit I-A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Buyer 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Equity Financing Letter</w:t>
      </w:r>
      <w:r>
        <w:rPr>
          <w:rFonts w:ascii="Times New Roman" w:cs="Times New Roman" w:eastAsia="Times New Roman" w:hAnsi="Times New Roman"/>
          <w:sz w:val="18"/>
          <w:szCs w:val="18"/>
          <w:color w:val="auto"/>
        </w:rPr>
        <w:t xml:space="preserve">”) and (b) Serum, Buyer and Seller Parent have duly executed and delivered the Equity Financing Letter, attached as </w:t>
      </w:r>
      <w:r>
        <w:rPr>
          <w:rFonts w:ascii="Times New Roman" w:cs="Times New Roman" w:eastAsia="Times New Roman" w:hAnsi="Times New Roman"/>
          <w:sz w:val="18"/>
          <w:szCs w:val="18"/>
          <w:u w:val="single" w:color="auto"/>
          <w:color w:val="auto"/>
        </w:rPr>
        <w:t>Exhibit I-B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Serum Equity Financing Letter</w:t>
      </w:r>
      <w:r>
        <w:rPr>
          <w:rFonts w:ascii="Times New Roman" w:cs="Times New Roman" w:eastAsia="Times New Roman" w:hAnsi="Times New Roman"/>
          <w:sz w:val="18"/>
          <w:szCs w:val="18"/>
          <w:color w:val="auto"/>
        </w:rPr>
        <w:t>” and, together with the Buyer Parent Equity Financing Letter, the “</w:t>
      </w:r>
      <w:r>
        <w:rPr>
          <w:rFonts w:ascii="Times New Roman" w:cs="Times New Roman" w:eastAsia="Times New Roman" w:hAnsi="Times New Roman"/>
          <w:sz w:val="18"/>
          <w:szCs w:val="18"/>
          <w:u w:val="single" w:color="auto"/>
          <w:color w:val="auto"/>
        </w:rPr>
        <w:t>Equity Financing Letters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amended by adding the following as a new recital, immediately after the ninth recital of the Agreement:</w:t>
      </w:r>
    </w:p>
    <w:p>
      <w:pPr>
        <w:spacing w:after="0" w:line="225" w:lineRule="exact"/>
        <w:rPr>
          <w:rFonts w:ascii="Times New Roman" w:cs="Times New Roman" w:eastAsia="Times New Roman" w:hAnsi="Times New Roman"/>
          <w:sz w:val="18"/>
          <w:szCs w:val="18"/>
          <w:color w:val="auto"/>
        </w:rPr>
      </w:pPr>
    </w:p>
    <w:p>
      <w:pPr>
        <w:jc w:val="both"/>
        <w:ind w:left="8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“WHEREAS, prior to or concurrently with the execution of this Amendment, as an inducement to and condition of Seller Parent’s willingness to enter into this Amendment and the other Transaction Documents to which it is a party, (a) Buyer Parent, Buyer, BPL and Seller Parent have duly executed and delivered the Amendment to Equity Financing Letter, attached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Buyer Parent Equity Financing Letter Amendment</w:t>
      </w:r>
      <w:r>
        <w:rPr>
          <w:rFonts w:ascii="Times New Roman" w:cs="Times New Roman" w:eastAsia="Times New Roman" w:hAnsi="Times New Roman"/>
          <w:sz w:val="18"/>
          <w:szCs w:val="18"/>
          <w:color w:val="auto"/>
        </w:rPr>
        <w:t>”; the Buyer Parent Equity Financing Letter, as amended by the Buyer Parent Equity Financing Letter Amendment, the “</w:t>
      </w:r>
      <w:r>
        <w:rPr>
          <w:rFonts w:ascii="Times New Roman" w:cs="Times New Roman" w:eastAsia="Times New Roman" w:hAnsi="Times New Roman"/>
          <w:sz w:val="18"/>
          <w:szCs w:val="18"/>
          <w:u w:val="single" w:color="auto"/>
          <w:color w:val="auto"/>
        </w:rPr>
        <w:t>Buyer Parent Amended Equity Financing Letter</w:t>
      </w:r>
      <w:r>
        <w:rPr>
          <w:rFonts w:ascii="Times New Roman" w:cs="Times New Roman" w:eastAsia="Times New Roman" w:hAnsi="Times New Roman"/>
          <w:sz w:val="18"/>
          <w:szCs w:val="18"/>
          <w:color w:val="auto"/>
        </w:rPr>
        <w:t xml:space="preserve">”), and pursuant to the Buyer Parent Amended Equity Financing Letter, upon the terms and subject to the conditions set forth therein, prior to the Closing, Buyer Parent, BPL and Buyer shall consummate the Buyer Parent Equity Financing and (b) Serum, Buyer and Seller Parent have duly executed and delivered the Amendment to Equity Financing Letter, attached as </w:t>
      </w:r>
      <w:r>
        <w:rPr>
          <w:rFonts w:ascii="Times New Roman" w:cs="Times New Roman" w:eastAsia="Times New Roman" w:hAnsi="Times New Roman"/>
          <w:sz w:val="18"/>
          <w:szCs w:val="18"/>
          <w:u w:val="single" w:color="auto"/>
          <w:color w:val="auto"/>
        </w:rPr>
        <w:t>Exhibit I-D</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Serum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Equity Financing Letter Amendment</w:t>
      </w:r>
      <w:r>
        <w:rPr>
          <w:rFonts w:ascii="Times New Roman" w:cs="Times New Roman" w:eastAsia="Times New Roman" w:hAnsi="Times New Roman"/>
          <w:sz w:val="18"/>
          <w:szCs w:val="18"/>
          <w:color w:val="auto"/>
        </w:rPr>
        <w:t>”; the Serum Equity Financing Letter, as amended by the Serum Equity Financing Letter Amendment, the “</w:t>
      </w:r>
      <w:r>
        <w:rPr>
          <w:rFonts w:ascii="Times New Roman" w:cs="Times New Roman" w:eastAsia="Times New Roman" w:hAnsi="Times New Roman"/>
          <w:sz w:val="18"/>
          <w:szCs w:val="18"/>
          <w:u w:val="single" w:color="auto"/>
          <w:color w:val="auto"/>
        </w:rPr>
        <w:t>Serum Amended Equity Financing Letter</w:t>
      </w:r>
      <w:r>
        <w:rPr>
          <w:rFonts w:ascii="Times New Roman" w:cs="Times New Roman" w:eastAsia="Times New Roman" w:hAnsi="Times New Roman"/>
          <w:sz w:val="18"/>
          <w:szCs w:val="18"/>
          <w:color w:val="auto"/>
        </w:rPr>
        <w:t>” and, the Serum Amended Equity Financing Letter together with the Buyer Parent Amended Equity</w:t>
      </w:r>
    </w:p>
    <w:p>
      <w:pPr>
        <w:spacing w:after="0" w:line="36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6" w:name="page7"/>
    <w:bookmarkEnd w:id="6"/>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Financing Letter, the “</w:t>
      </w:r>
      <w:r>
        <w:rPr>
          <w:rFonts w:ascii="Times New Roman" w:cs="Times New Roman" w:eastAsia="Times New Roman" w:hAnsi="Times New Roman"/>
          <w:sz w:val="18"/>
          <w:szCs w:val="18"/>
          <w:u w:val="single" w:color="auto"/>
          <w:color w:val="auto"/>
        </w:rPr>
        <w:t>Amended Equity Financing Letters</w:t>
      </w:r>
      <w:r>
        <w:rPr>
          <w:rFonts w:ascii="Times New Roman" w:cs="Times New Roman" w:eastAsia="Times New Roman" w:hAnsi="Times New Roman"/>
          <w:sz w:val="18"/>
          <w:szCs w:val="18"/>
          <w:color w:val="auto"/>
        </w:rPr>
        <w:t>”), and pursuant to the Serum Amended Equity Financing Letter, upon the terms and subject to the conditions set forth therein, prior to the Closing, Serum and Buyer shall consummate the Serum Equity Financing;”</w:t>
      </w:r>
    </w:p>
    <w:p>
      <w:pPr>
        <w:spacing w:after="0" w:line="176" w:lineRule="exact"/>
        <w:rPr>
          <w:sz w:val="20"/>
          <w:szCs w:val="20"/>
          <w:color w:val="auto"/>
        </w:rPr>
      </w:pPr>
    </w:p>
    <w:p>
      <w:pPr>
        <w:ind w:left="860" w:hanging="676"/>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1.01 of the Agreement is hereby amended and restated in its entirety as follows:</w:t>
      </w:r>
    </w:p>
    <w:p>
      <w:pPr>
        <w:spacing w:after="0" w:line="225" w:lineRule="exact"/>
        <w:rPr>
          <w:sz w:val="20"/>
          <w:szCs w:val="20"/>
          <w:color w:val="auto"/>
        </w:rPr>
      </w:pPr>
    </w:p>
    <w:p>
      <w:pPr>
        <w:jc w:val="both"/>
        <w:ind w:left="840"/>
        <w:spacing w:after="0" w:line="23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(a) the ROW Acquisition, (b) the repayment in full the ROW Note, (c) the Irish Subscription and (d) the Irish Redemption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remotely via the electronic exchange of documents and signature pages at 10:00 a.m., New York City time,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Business Day following the date of satisfaction (or, to the extent permitted by Law, waiver by the Parties entitled to the benefit thereof) of all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which by their terms are to be satisfied at the Closing, but subject to satisfaction or waiver of such conditions), or at such other place, time and date as shall be agreed in writing between Buyer and Seller Parent.”</w:t>
      </w:r>
    </w:p>
    <w:p>
      <w:pPr>
        <w:spacing w:after="0" w:line="201" w:lineRule="exact"/>
        <w:rPr>
          <w:sz w:val="20"/>
          <w:szCs w:val="20"/>
          <w:color w:val="auto"/>
        </w:rPr>
      </w:pPr>
    </w:p>
    <w:p>
      <w:pPr>
        <w:ind w:left="840" w:hanging="656"/>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1.02(a) of the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8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ROW Acquisition</w:t>
      </w:r>
      <w:r>
        <w:rPr>
          <w:rFonts w:ascii="Times New Roman" w:cs="Times New Roman" w:eastAsia="Times New Roman" w:hAnsi="Times New Roman"/>
          <w:sz w:val="18"/>
          <w:szCs w:val="18"/>
          <w:color w:val="auto"/>
        </w:rPr>
        <w:t xml:space="preserve">. Seller Parent shall cause the ROW Seller to sell, assign, transfer, convey and deliver to Buyer, and Buyer shall purchase and accept from the ROW Seller, the Acquired ROW Equity Interests, in each case,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ROW Acquisition</w:t>
      </w:r>
      <w:r>
        <w:rPr>
          <w:rFonts w:ascii="Times New Roman" w:cs="Times New Roman" w:eastAsia="Times New Roman" w:hAnsi="Times New Roman"/>
          <w:sz w:val="18"/>
          <w:szCs w:val="18"/>
          <w:color w:val="auto"/>
        </w:rPr>
        <w:t xml:space="preserve">”), free and clear of Liens, other than (A) transfer restrictions under applicable Securities Laws and (B) those arising pursuant to this Agreement or from acts of Buyer or its Affiliates (including any Liens related to the Debt Financing). The aggregate consideration payable in respect of the ROW Acquisition shall be the Stock Consideration (payable when and as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In addition, Buyer shall cause the ROW Acquired Company to repay in full the ROW Note and to pay the ROW Future Cash Payment (payable when and as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Further, pursuant to the ROW Acquisition, Buyer shall cause the Subsidiary Buyer to pay the Irish Future Cash Payment (payable when and as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80" w:right="20" w:firstLine="4"/>
        <w:spacing w:after="0" w:line="282" w:lineRule="auto"/>
        <w:tabs>
          <w:tab w:leader="none" w:pos="8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sentence of Section 1.02(b) of the Agreement is hereby amended by adding the words “when and” immediately before the words “as set forth”.</w:t>
      </w:r>
    </w:p>
    <w:p>
      <w:pPr>
        <w:spacing w:after="0" w:line="161" w:lineRule="exact"/>
        <w:rPr>
          <w:rFonts w:ascii="Times New Roman" w:cs="Times New Roman" w:eastAsia="Times New Roman" w:hAnsi="Times New Roman"/>
          <w:sz w:val="18"/>
          <w:szCs w:val="18"/>
          <w:color w:val="auto"/>
        </w:rPr>
      </w:pPr>
    </w:p>
    <w:p>
      <w:pPr>
        <w:ind w:left="180" w:firstLine="4"/>
        <w:spacing w:after="0" w:line="282" w:lineRule="auto"/>
        <w:tabs>
          <w:tab w:leader="none" w:pos="8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sentence of Section 1.02(c) of the Agreement is hereby amended by adding the words “when and” immediately before the words “as set forth”.</w:t>
      </w:r>
    </w:p>
    <w:p>
      <w:pPr>
        <w:spacing w:after="0" w:line="16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1.03 of the Agreement is hereby amended and restated in its entirety as follows:</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7" w:name="page8"/>
    <w:bookmarkEnd w:id="7"/>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 of Cash Consideration and Acquired Equity Interests</w:t>
      </w:r>
      <w:r>
        <w:rPr>
          <w:rFonts w:ascii="Times New Roman" w:cs="Times New Roman" w:eastAsia="Times New Roman" w:hAnsi="Times New Roman"/>
          <w:sz w:val="18"/>
          <w:szCs w:val="18"/>
          <w:color w:val="auto"/>
        </w:rPr>
        <w:t>. (i) An amount equal to the Irish Closing Cash Consideration shall be paid to the Irish Seller by the Irish Acquired Company in consideration for the Irish Redemption, (ii) the Stock Consideration shall be paid to the ROW Seller by Buyer, (iii) the Adjustment Amount shall be paid (A) to the ROW Seller by the ROW Acquired Company or to the Irish Seller by the Subsidiary Buyer, as applicable, or (B) by the ROW Seller and the Irish Seller, as applicable, to the ROW Acquired Company or the Subsidiary Buyer, in the case of each of clauses (A) and (B), with the ROW Seller and the Irish Seller receiving or paying, as applicable, the portion of the Adjustment Amount related to the ROW Acquired Company and the Irish Acquired Company, respectively, (iv) the ROW Future Cash Payment shall be paid to the ROW Seller by the ROW Acquired Company and (v) the Irish Future Cash Payment shall be paid to the Irish Seller by the Subsidiary Buyer, in the case of each of clauses (i) through (v), at such times as specified in this Agreement.”</w:t>
      </w:r>
    </w:p>
    <w:p>
      <w:pPr>
        <w:spacing w:after="0" w:line="188" w:lineRule="exact"/>
        <w:rPr>
          <w:sz w:val="20"/>
          <w:szCs w:val="20"/>
          <w:color w:val="auto"/>
        </w:rPr>
      </w:pPr>
    </w:p>
    <w:p>
      <w:pPr>
        <w:ind w:left="840" w:hanging="656"/>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1.04(a)(i) of the Agreement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8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each Equity Financing in accordance with the Amended Equity Financing Letter for such Equity Financing, and immediately thereafter contribute $800,000,000 (eight hundred million dollars) to the Subsidiary Buyer (the “</w:t>
      </w:r>
      <w:r>
        <w:rPr>
          <w:rFonts w:ascii="Times New Roman" w:cs="Times New Roman" w:eastAsia="Times New Roman" w:hAnsi="Times New Roman"/>
          <w:sz w:val="18"/>
          <w:szCs w:val="18"/>
          <w:u w:val="single" w:color="auto"/>
          <w:color w:val="auto"/>
        </w:rPr>
        <w:t>Subsidiary 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1.04(a)(ii) of the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8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pursuant to the ROW Acquisition convey and deliver to the ROW Seller book-entry interests representing the Stock Consideration, together with duly executed instruments of issuance, sale and delivery in respect thereof, in form and substance reasonably acceptable to Seller Parent, evidencing the issuance, sale and delivery of the Stock Consideration, (B) immediately after the conveyance and delivery to Buyer of duly executed instruments of assignment in respect of the Acquired ROW Equity Interests pursuant to </w:t>
      </w:r>
      <w:r>
        <w:rPr>
          <w:rFonts w:ascii="Times New Roman" w:cs="Times New Roman" w:eastAsia="Times New Roman" w:hAnsi="Times New Roman"/>
          <w:sz w:val="18"/>
          <w:szCs w:val="18"/>
          <w:u w:val="single" w:color="auto"/>
          <w:color w:val="auto"/>
        </w:rPr>
        <w:t>Section 1.04(b)(i)</w:t>
      </w:r>
      <w:r>
        <w:rPr>
          <w:rFonts w:ascii="Times New Roman" w:cs="Times New Roman" w:eastAsia="Times New Roman" w:hAnsi="Times New Roman"/>
          <w:sz w:val="18"/>
          <w:szCs w:val="18"/>
          <w:color w:val="auto"/>
        </w:rPr>
        <w:t>, cause the Subsidiary Buyer to pay, or to cause to be paid (out of the proceeds of the Subsidiary Buyer Contribution), to the ROW Acquired Company, by wire transfer of immediately available funds to the account(s) designated in writing by Buyer (such designation to be set forth in the ROW Letter of Direction), an amount equal to $212,000,000 (two hundred twelve million dollars), in exchange for the ROW Acquired Company allotting and issuing to Subsidiary Buyer new ordinary shares or preference shares of the ROW Acquired Company (the “</w:t>
      </w:r>
      <w:r>
        <w:rPr>
          <w:rFonts w:ascii="Times New Roman" w:cs="Times New Roman" w:eastAsia="Times New Roman" w:hAnsi="Times New Roman"/>
          <w:sz w:val="18"/>
          <w:szCs w:val="18"/>
          <w:u w:val="single" w:color="auto"/>
          <w:color w:val="auto"/>
        </w:rPr>
        <w:t>Buyer ROW Contribution</w:t>
      </w:r>
      <w:r>
        <w:rPr>
          <w:rFonts w:ascii="Times New Roman" w:cs="Times New Roman" w:eastAsia="Times New Roman" w:hAnsi="Times New Roman"/>
          <w:sz w:val="18"/>
          <w:szCs w:val="18"/>
          <w:color w:val="auto"/>
        </w:rPr>
        <w:t>”), and (C) immediately after the Buyer ROW Contribution, cause the ROW Acquired Company to pay (which payment shall be in part out of the proceeds of the Buyer ROW Contribution), to the</w:t>
      </w:r>
    </w:p>
    <w:p>
      <w:pPr>
        <w:spacing w:after="0" w:line="36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8" w:name="page9"/>
    <w:bookmarkEnd w:id="8"/>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ROW Seller, by wire transfer of immediately available funds to the account(s) designated in writing by Seller Parent (such designation to be set forth in the ROW Letter of Direction), an amount equal to the amount required to repay in full the ROW Note;”</w:t>
      </w:r>
    </w:p>
    <w:p>
      <w:pPr>
        <w:spacing w:after="0" w:line="176" w:lineRule="exact"/>
        <w:rPr>
          <w:sz w:val="20"/>
          <w:szCs w:val="20"/>
          <w:color w:val="auto"/>
        </w:rPr>
      </w:pPr>
    </w:p>
    <w:p>
      <w:pPr>
        <w:ind w:left="180" w:firstLine="4"/>
        <w:spacing w:after="0" w:line="282" w:lineRule="auto"/>
        <w:tabs>
          <w:tab w:leader="none" w:pos="10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1.04(a)(iii) of the Agreement is hereby amended by replacing the words “writing by Seller Parent at least two (2) Business Days prior to the Closing Date” with the words “the Irish Letter of Direction”.</w:t>
      </w:r>
    </w:p>
    <w:p>
      <w:pPr>
        <w:spacing w:after="0" w:line="161" w:lineRule="exact"/>
        <w:rPr>
          <w:rFonts w:ascii="Times New Roman" w:cs="Times New Roman" w:eastAsia="Times New Roman" w:hAnsi="Times New Roman"/>
          <w:sz w:val="18"/>
          <w:szCs w:val="18"/>
          <w:color w:val="auto"/>
        </w:rPr>
      </w:pPr>
    </w:p>
    <w:p>
      <w:pPr>
        <w:jc w:val="both"/>
        <w:ind w:left="180" w:firstLine="4"/>
        <w:spacing w:after="0" w:line="261" w:lineRule="auto"/>
        <w:tabs>
          <w:tab w:leader="none" w:pos="8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1.04(b) of the Agreement is hereby amended by replacing the words “upon receipt of the Estimated Closing Cash Consideration and the Stock Consideration” with the words “upon (x) the substantially concurrent receipt of the Stock Consideration and immediately available funds described in Section 1.04(a)(ii) and (y) the substantially concurrent receipt of the immediately available funds described in Section 1.04(a)(iii)”.</w:t>
      </w:r>
    </w:p>
    <w:p>
      <w:pPr>
        <w:spacing w:after="0" w:line="179"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1.04(b)(i) of the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8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ROW Acquisition, cause the ROW Seller to convey and deliver to Buyer duly executed instruments of assignment, in form and substance reasonably acceptable to Buyer, evidencing the sale, assignment, transfer, conveyance and delivery of the Acquired ROW Equity Interests;”</w:t>
      </w:r>
    </w:p>
    <w:p>
      <w:pPr>
        <w:spacing w:after="0" w:line="175" w:lineRule="exact"/>
        <w:rPr>
          <w:rFonts w:ascii="Times New Roman" w:cs="Times New Roman" w:eastAsia="Times New Roman" w:hAnsi="Times New Roman"/>
          <w:sz w:val="18"/>
          <w:szCs w:val="18"/>
          <w:color w:val="auto"/>
        </w:rPr>
      </w:pPr>
    </w:p>
    <w:p>
      <w:pPr>
        <w:ind w:left="180" w:right="20" w:firstLine="4"/>
        <w:spacing w:after="0" w:line="282" w:lineRule="auto"/>
        <w:tabs>
          <w:tab w:leader="none" w:pos="10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1.04(b)(iii) of the Agreement is hereby amended by replacing the words “writing by Seller Parent at least two (2) Business Days prior to the Closing Date” with the words “the Irish Letter of Direction”</w:t>
      </w:r>
    </w:p>
    <w:p>
      <w:pPr>
        <w:spacing w:after="0" w:line="161" w:lineRule="exact"/>
        <w:rPr>
          <w:rFonts w:ascii="Times New Roman" w:cs="Times New Roman" w:eastAsia="Times New Roman" w:hAnsi="Times New Roman"/>
          <w:sz w:val="18"/>
          <w:szCs w:val="18"/>
          <w:color w:val="auto"/>
        </w:rPr>
      </w:pPr>
    </w:p>
    <w:p>
      <w:pPr>
        <w:ind w:left="180" w:firstLine="4"/>
        <w:spacing w:after="0" w:line="282" w:lineRule="auto"/>
        <w:tabs>
          <w:tab w:leader="none" w:pos="8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 of Section 1.05 of the Agreement is hereby amended by replacing the words “Future Cash Consideration” with the words “Future Cash Payments”.</w:t>
      </w:r>
    </w:p>
    <w:p>
      <w:pPr>
        <w:spacing w:after="0" w:line="161" w:lineRule="exact"/>
        <w:rPr>
          <w:rFonts w:ascii="Times New Roman" w:cs="Times New Roman" w:eastAsia="Times New Roman" w:hAnsi="Times New Roman"/>
          <w:sz w:val="18"/>
          <w:szCs w:val="18"/>
          <w:color w:val="auto"/>
        </w:rPr>
      </w:pPr>
    </w:p>
    <w:p>
      <w:pPr>
        <w:jc w:val="both"/>
        <w:ind w:left="180" w:firstLine="4"/>
        <w:spacing w:after="0" w:line="266" w:lineRule="auto"/>
        <w:tabs>
          <w:tab w:leader="none" w:pos="91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1.05(a) of the Agreement is hereby amended by deleting the phrase “(or, at Seller Parent’s election, any other wholly owned Subsidiary of Seller Parent as may be designated in writing by Seller Parent at least two (2) Business Days prior to April 8, 2024)” from the first sentence thereof.</w:t>
      </w:r>
    </w:p>
    <w:p>
      <w:pPr>
        <w:spacing w:after="0" w:line="175"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1.05(b) of the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8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Closing occurs, then, subject to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within two (2) Business Days following the Second Anniversary Date, Buyer shall take all actions to cause the ROW Acquired Company to pay to the ROW Seller, by wire transfer of immediately available funds to the account(s) designated in writing by Seller Parent at least two (2) Business Days prior to the Second Anniversary Date, an amount equal to $160,000,000 (one hundred sixty</w:t>
      </w:r>
    </w:p>
    <w:p>
      <w:pPr>
        <w:spacing w:after="0" w:line="3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9" w:name="page10"/>
    <w:bookmarkEnd w:id="9"/>
    <w:p>
      <w:pPr>
        <w:ind w:left="840"/>
        <w:spacing w:after="0" w:line="282" w:lineRule="auto"/>
        <w:rPr>
          <w:sz w:val="20"/>
          <w:szCs w:val="20"/>
          <w:color w:val="auto"/>
        </w:rPr>
      </w:pPr>
      <w:r>
        <w:rPr>
          <w:rFonts w:ascii="Times New Roman" w:cs="Times New Roman" w:eastAsia="Times New Roman" w:hAnsi="Times New Roman"/>
          <w:sz w:val="18"/>
          <w:szCs w:val="18"/>
          <w:color w:val="auto"/>
        </w:rPr>
        <w:t>million dollars) (the “</w:t>
      </w:r>
      <w:r>
        <w:rPr>
          <w:rFonts w:ascii="Times New Roman" w:cs="Times New Roman" w:eastAsia="Times New Roman" w:hAnsi="Times New Roman"/>
          <w:sz w:val="18"/>
          <w:szCs w:val="18"/>
          <w:u w:val="single" w:color="auto"/>
          <w:color w:val="auto"/>
        </w:rPr>
        <w:t>ROW Future Cash Payment</w:t>
      </w:r>
      <w:r>
        <w:rPr>
          <w:rFonts w:ascii="Times New Roman" w:cs="Times New Roman" w:eastAsia="Times New Roman" w:hAnsi="Times New Roman"/>
          <w:sz w:val="18"/>
          <w:szCs w:val="18"/>
          <w:color w:val="auto"/>
        </w:rPr>
        <w:t>” and, together with the Irish Future Cash Payment, the “</w:t>
      </w:r>
      <w:r>
        <w:rPr>
          <w:rFonts w:ascii="Times New Roman" w:cs="Times New Roman" w:eastAsia="Times New Roman" w:hAnsi="Times New Roman"/>
          <w:sz w:val="18"/>
          <w:szCs w:val="18"/>
          <w:u w:val="single" w:color="auto"/>
          <w:color w:val="auto"/>
        </w:rPr>
        <w:t>Future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80" w:firstLine="4"/>
        <w:spacing w:after="0" w:line="282" w:lineRule="auto"/>
        <w:tabs>
          <w:tab w:leader="none" w:pos="8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 of Section 1.06 of the Agreement is hereby amended by replacing the words “Purchase Price Adjustment” with the words “Adjustment Amounts”.</w:t>
      </w:r>
    </w:p>
    <w:p>
      <w:pPr>
        <w:spacing w:after="0" w:line="161" w:lineRule="exact"/>
        <w:rPr>
          <w:rFonts w:ascii="Times New Roman" w:cs="Times New Roman" w:eastAsia="Times New Roman" w:hAnsi="Times New Roman"/>
          <w:sz w:val="18"/>
          <w:szCs w:val="18"/>
          <w:color w:val="auto"/>
        </w:rPr>
      </w:pPr>
    </w:p>
    <w:p>
      <w:pPr>
        <w:ind w:left="180" w:firstLine="4"/>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1.06 of the Agreement is hereby amended by replacing each reference to “Final Closing Cash Consideration” with a reference to “Final Adjustment Amount”.</w:t>
      </w:r>
    </w:p>
    <w:p>
      <w:pPr>
        <w:spacing w:after="0" w:line="161" w:lineRule="exact"/>
        <w:rPr>
          <w:rFonts w:ascii="Times New Roman" w:cs="Times New Roman" w:eastAsia="Times New Roman" w:hAnsi="Times New Roman"/>
          <w:sz w:val="18"/>
          <w:szCs w:val="18"/>
          <w:color w:val="auto"/>
        </w:rPr>
      </w:pPr>
    </w:p>
    <w:p>
      <w:pPr>
        <w:jc w:val="both"/>
        <w:ind w:left="180" w:firstLine="4"/>
        <w:spacing w:after="0" w:line="266" w:lineRule="auto"/>
        <w:tabs>
          <w:tab w:leader="none" w:pos="7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1.06(a) of the Agreement is hereby amended by (i) replacing the words “Not less than five (5) Business Days prior to the Closing Date,” with the words “Within five (5) Business Days after the Closing Date,” and (ii) replacing the words “Estimated Closing Cash Consideration” with the words “Estimated Adjustment Amount”.</w:t>
      </w:r>
    </w:p>
    <w:p>
      <w:pPr>
        <w:spacing w:after="0" w:line="175" w:lineRule="exact"/>
        <w:rPr>
          <w:rFonts w:ascii="Times New Roman" w:cs="Times New Roman" w:eastAsia="Times New Roman" w:hAnsi="Times New Roman"/>
          <w:sz w:val="18"/>
          <w:szCs w:val="18"/>
          <w:color w:val="auto"/>
        </w:rPr>
      </w:pPr>
    </w:p>
    <w:p>
      <w:pPr>
        <w:ind w:left="880" w:hanging="696"/>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1.06(b) of the Agreement is hereby amended by replacing the words “forty-five (45)” with the words “sixty (60)”.</w:t>
      </w:r>
    </w:p>
    <w:p>
      <w:pPr>
        <w:spacing w:after="0" w:line="225" w:lineRule="exact"/>
        <w:rPr>
          <w:rFonts w:ascii="Times New Roman" w:cs="Times New Roman" w:eastAsia="Times New Roman" w:hAnsi="Times New Roman"/>
          <w:sz w:val="18"/>
          <w:szCs w:val="18"/>
          <w:color w:val="auto"/>
        </w:rPr>
      </w:pPr>
    </w:p>
    <w:p>
      <w:pPr>
        <w:ind w:left="180" w:firstLine="4"/>
        <w:spacing w:after="0" w:line="282" w:lineRule="auto"/>
        <w:tabs>
          <w:tab w:leader="none" w:pos="8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1.07(a) of the Agreement is hereby amended by replacing the word “Sellers” with the words “Irish Seller and the ROW Acquired Company to pay to the ROW Seller, as applicable”.</w:t>
      </w:r>
    </w:p>
    <w:p>
      <w:pPr>
        <w:spacing w:after="0" w:line="161" w:lineRule="exact"/>
        <w:rPr>
          <w:rFonts w:ascii="Times New Roman" w:cs="Times New Roman" w:eastAsia="Times New Roman" w:hAnsi="Times New Roman"/>
          <w:sz w:val="18"/>
          <w:szCs w:val="18"/>
          <w:color w:val="auto"/>
        </w:rPr>
      </w:pPr>
    </w:p>
    <w:p>
      <w:pPr>
        <w:jc w:val="both"/>
        <w:ind w:left="180" w:firstLine="4"/>
        <w:spacing w:after="0" w:line="266" w:lineRule="auto"/>
        <w:tabs>
          <w:tab w:leader="none" w:pos="8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1.07(b) of the Agreement is hereby amended by (i) replacing the word “Sellers” with the words “ROW Seller to pay to the ROW Acquired Company and the Irish Seller to pay to the Subsidiary Buyer, as applicable” and (ii) deleting the words “to pay to the Subsidiary Buyer” immediately following the parenthetical thereof.</w:t>
      </w:r>
    </w:p>
    <w:p>
      <w:pPr>
        <w:spacing w:after="0" w:line="17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2.03(a) of the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8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immediately prior to the Closing and after giving effect to the Business Internal Reorganization, (i) the ROW Seller will be the sole record and beneficial owner of all of the issued and outstanding equity interests in ROW Newco, (ii) the ROW Seller will have good and valid title to all of the Acquired ROW Equity Interests, free and clear of Liens other than (A) transfer restrictions under applicable Securities Laws and (B) those arising from acts of Buyer or its Affiliates (including any Liens related to the Debt Financing), and (iii) the ROW Seller will be the record and the beneficial owner of all such Acquired ROW Equity Interests. Assuming Buyer has the requisite power and authority to be the lawful owner of the Acquired ROW Equity Interests, upon (i) delivery by the ROW Seller to Buyer at the Closing of the items described in </w:t>
      </w:r>
      <w:r>
        <w:rPr>
          <w:rFonts w:ascii="Times New Roman" w:cs="Times New Roman" w:eastAsia="Times New Roman" w:hAnsi="Times New Roman"/>
          <w:sz w:val="18"/>
          <w:szCs w:val="18"/>
          <w:u w:val="single" w:color="auto"/>
          <w:color w:val="auto"/>
        </w:rPr>
        <w:t>Section 1.04(b)(i)</w:t>
      </w:r>
      <w:r>
        <w:rPr>
          <w:rFonts w:ascii="Times New Roman" w:cs="Times New Roman" w:eastAsia="Times New Roman" w:hAnsi="Times New Roman"/>
          <w:sz w:val="18"/>
          <w:szCs w:val="18"/>
          <w:color w:val="auto"/>
        </w:rPr>
        <w:t xml:space="preserve"> and (ii) delivery by Buyer and the ROW Acquired Company, as applicable, to the ROW Seller of the consideration required to be paid by Buyer and the ROW Acquired</w:t>
      </w:r>
    </w:p>
    <w:p>
      <w:pPr>
        <w:spacing w:after="0" w:line="36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 w:name="page11"/>
    <w:bookmarkEnd w:id="10"/>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 xml:space="preserve">Company at the Closing, as described in </w:t>
      </w:r>
      <w:r>
        <w:rPr>
          <w:rFonts w:ascii="Times New Roman" w:cs="Times New Roman" w:eastAsia="Times New Roman" w:hAnsi="Times New Roman"/>
          <w:sz w:val="18"/>
          <w:szCs w:val="18"/>
          <w:u w:val="single" w:color="auto"/>
          <w:color w:val="auto"/>
        </w:rPr>
        <w:t>Section 1.04(a)(ii)</w:t>
      </w:r>
      <w:r>
        <w:rPr>
          <w:rFonts w:ascii="Times New Roman" w:cs="Times New Roman" w:eastAsia="Times New Roman" w:hAnsi="Times New Roman"/>
          <w:sz w:val="18"/>
          <w:szCs w:val="18"/>
          <w:color w:val="auto"/>
        </w:rPr>
        <w:t>, good and valid title to the Acquired ROW Equity Interests will pass to Buyer at the Closing, free and clear of Liens, other than (i) transfer restrictions under applicable Securities Laws and (ii) those arising pursuant to this Agreement or from acts of Buyer or its Affiliates (including any Liens related to the Debt Financing), and the Acquired ROW Equity Interests, together with the equity interests in the ROW Acquired Company to be issued to the Subsidiary Buyer in the Buyer ROW Contribution, will constitute 100% of the issued share capital of the ROW Acquired Company immediately following the Closing. Upon issuance, each Acquired ROW Equity Interest will be (in each case, to the extent such concepts are applicable) duly authorized, validly issued, fully paid and nonassessable, and will not be issued or transferred in violation of any purchase option, call option, right of first refusal, preemptive right, subscription right or other similar right under any provision of the Applicable Business Organization Law or the organizational or similar documents of Seller Parent or any of its Subsidiaries (including the ROW Seller and the ROW Acquired Company).”</w:t>
      </w:r>
    </w:p>
    <w:p>
      <w:pPr>
        <w:spacing w:after="0" w:line="194" w:lineRule="exact"/>
        <w:rPr>
          <w:sz w:val="20"/>
          <w:szCs w:val="20"/>
          <w:color w:val="auto"/>
        </w:rPr>
      </w:pPr>
    </w:p>
    <w:p>
      <w:pPr>
        <w:ind w:left="860" w:hanging="676"/>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3.01 of the Agreement is hereby amended and restated in its entirety as follows:</w:t>
      </w:r>
    </w:p>
    <w:p>
      <w:pPr>
        <w:spacing w:after="0" w:line="225"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“(a) Each of Buyer and its Subsidiaries (i) is duly organized, validly existing and in good standing (with respect to jurisdictions that recognize such concept) under the Applicable Business Organization Law, (ii) has full corporate or similar power and authority to own, lease or license, and to operate, its properties and assets and to operate its business as currently operated and (iii) is duly qualified or licensed to do business as a foreign company and in good standing (with respect to jurisdictions that recognize such concept) in each jurisdiction where the character of the properties owned, leased or operated by it or the nature of its business makes such qualification or licensing necessary, in the case of each of clauses (i), (ii) and (iii), in all material respects.</w:t>
      </w:r>
    </w:p>
    <w:p>
      <w:pPr>
        <w:spacing w:after="0" w:line="189" w:lineRule="exact"/>
        <w:rPr>
          <w:sz w:val="20"/>
          <w:szCs w:val="20"/>
          <w:color w:val="auto"/>
        </w:rPr>
      </w:pPr>
    </w:p>
    <w:p>
      <w:pPr>
        <w:jc w:val="both"/>
        <w:ind w:left="840" w:hanging="8"/>
        <w:spacing w:after="0" w:line="261" w:lineRule="auto"/>
        <w:tabs>
          <w:tab w:leader="none" w:pos="15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correct and complete copies of the organizational or similar documents of Buyer and each of its Subsidiaries, as in effect on the date of this Agreement, have been made available to Seller Parent. Each such organizational or similar document is in full force and effect in all material respects, and none of Buyer or its Subsidiaries is in material violation of any provisions thereof.”</w:t>
      </w:r>
    </w:p>
    <w:p>
      <w:pPr>
        <w:spacing w:after="0" w:line="179" w:lineRule="exact"/>
        <w:rPr>
          <w:rFonts w:ascii="Times New Roman" w:cs="Times New Roman" w:eastAsia="Times New Roman" w:hAnsi="Times New Roman"/>
          <w:sz w:val="18"/>
          <w:szCs w:val="18"/>
          <w:color w:val="auto"/>
        </w:rPr>
      </w:pPr>
    </w:p>
    <w:p>
      <w:pPr>
        <w:ind w:left="880" w:hanging="696"/>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3.02(a) of the Agreement is hereby amended and restated in its entirety as follows:</w:t>
      </w:r>
    </w:p>
    <w:p>
      <w:pPr>
        <w:spacing w:after="0" w:line="225" w:lineRule="exact"/>
        <w:rPr>
          <w:sz w:val="20"/>
          <w:szCs w:val="20"/>
          <w:color w:val="auto"/>
        </w:rPr>
      </w:pPr>
    </w:p>
    <w:p>
      <w:pPr>
        <w:ind w:left="840" w:right="20"/>
        <w:spacing w:after="0" w:line="282" w:lineRule="auto"/>
        <w:rPr>
          <w:sz w:val="20"/>
          <w:szCs w:val="20"/>
          <w:color w:val="auto"/>
        </w:rPr>
      </w:pPr>
      <w:r>
        <w:rPr>
          <w:rFonts w:ascii="Times New Roman" w:cs="Times New Roman" w:eastAsia="Times New Roman" w:hAnsi="Times New Roman"/>
          <w:sz w:val="18"/>
          <w:szCs w:val="18"/>
          <w:color w:val="auto"/>
        </w:rPr>
        <w:t>“Buyer has all necessary corporate or similar power and authority to execute and deliver this Agreement, each of Buyer and Subsidiary Buyer has all necessary corporate or similar power and authority to execute and deliver</w:t>
      </w:r>
    </w:p>
    <w:p>
      <w:pPr>
        <w:spacing w:after="0" w:line="3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1" w:name="page12"/>
    <w:bookmarkEnd w:id="11"/>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any other Transaction Document to which it is, or is specified to be, a party, and to perform its obligations hereunder and thereunder and to consummate the Transactions to be consummated by it. Without limiting the generality of the foregoing, each of Buyer and Subsidiary Buyer has all necessary corporate or similar power and authority to cause each of its Subsidiaries (including, at and following such time as they become Subsidiaries of Buyer, the Business Companies) to perform the respective obligations under this Agreement and the other Transaction Documents required to be performed by such Subsidiaries and to consummate the Transactions to be consummated by such Subsidiaries (in the case of the Business Companies, at and following such time as they become Subsidiaries of Buyer). The execution, delivery and performance by Buyer of this Agreement, and the execution, delivery and performance by each of Buyer and Subsidiary Buyer of any other Transaction Document to which it is, or is specified to be, a party, and the consummation of the Transactions to be consummated by it, have been duly authorized by all necessary corporate or similar action by Buyer and Subsidiary Buyer, as applicable. This Agreement has been, and each other Transaction Document to which Buyer or Subsidiary Buyer is, or is specified to be, a party will, at or prior to the Closing, be, duly executed and delivered by Buyer and Subsidiary Buyer, as applicable. Assuming the due authorization, execution and delivery by the other parties thereto, this Agreement constitutes, and each other Transaction Document to which Buyer or Subsidiary Buyer is, or is specified to be, a party will constitute, a legal, valid and binding obligation of Buyer and such Subsidiary Buyer, as applicable, enforceable against Buyer and such Subsidiary Buyer, as applicable, in accordance with its terms, except as enforcement thereof may be limited by the Enforceability Exceptions.”</w:t>
      </w:r>
    </w:p>
    <w:p>
      <w:pPr>
        <w:spacing w:after="0" w:line="195" w:lineRule="exact"/>
        <w:rPr>
          <w:sz w:val="20"/>
          <w:szCs w:val="20"/>
          <w:color w:val="auto"/>
        </w:rPr>
      </w:pPr>
    </w:p>
    <w:p>
      <w:pPr>
        <w:jc w:val="both"/>
        <w:ind w:left="180" w:firstLine="4"/>
        <w:spacing w:after="0" w:line="266" w:lineRule="auto"/>
        <w:tabs>
          <w:tab w:leader="none" w:pos="83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3.03(a) of the Agreement is hereby amended by (i) replacing the reference to “</w:t>
      </w:r>
      <w:r>
        <w:rPr>
          <w:rFonts w:ascii="Times New Roman" w:cs="Times New Roman" w:eastAsia="Times New Roman" w:hAnsi="Times New Roman"/>
          <w:sz w:val="18"/>
          <w:szCs w:val="18"/>
          <w:u w:val="single" w:color="auto"/>
          <w:color w:val="auto"/>
        </w:rPr>
        <w:t>Section 1.04(a)(ii)(B)</w:t>
      </w:r>
      <w:r>
        <w:rPr>
          <w:rFonts w:ascii="Times New Roman" w:cs="Times New Roman" w:eastAsia="Times New Roman" w:hAnsi="Times New Roman"/>
          <w:sz w:val="18"/>
          <w:szCs w:val="18"/>
          <w:color w:val="auto"/>
        </w:rPr>
        <w:t>” with the reference “</w:t>
      </w:r>
      <w:r>
        <w:rPr>
          <w:rFonts w:ascii="Times New Roman" w:cs="Times New Roman" w:eastAsia="Times New Roman" w:hAnsi="Times New Roman"/>
          <w:sz w:val="18"/>
          <w:szCs w:val="18"/>
          <w:u w:val="single" w:color="auto"/>
          <w:color w:val="auto"/>
        </w:rPr>
        <w:t>Section 1.04(a)(ii)(A)</w:t>
      </w:r>
      <w:r>
        <w:rPr>
          <w:rFonts w:ascii="Times New Roman" w:cs="Times New Roman" w:eastAsia="Times New Roman" w:hAnsi="Times New Roman"/>
          <w:sz w:val="18"/>
          <w:szCs w:val="18"/>
          <w:color w:val="auto"/>
        </w:rPr>
        <w:t>” and (ii) replacing the words “the Applicable Buyers” with the word “Buyer”, in each case, in the first sentence thereof.</w:t>
      </w:r>
    </w:p>
    <w:p>
      <w:pPr>
        <w:spacing w:after="0" w:line="175" w:lineRule="exact"/>
        <w:rPr>
          <w:rFonts w:ascii="Times New Roman" w:cs="Times New Roman" w:eastAsia="Times New Roman" w:hAnsi="Times New Roman"/>
          <w:sz w:val="18"/>
          <w:szCs w:val="18"/>
          <w:color w:val="auto"/>
        </w:rPr>
      </w:pPr>
    </w:p>
    <w:p>
      <w:pPr>
        <w:ind w:left="180" w:right="20" w:firstLine="4"/>
        <w:spacing w:after="0" w:line="282" w:lineRule="auto"/>
        <w:tabs>
          <w:tab w:leader="none" w:pos="9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3.03(c) of the Agreement is hereby amended by replacing the words “From and after its formation until the Closing, Buyer will be” in the last sentence thereof with the words “Buyer is”.</w:t>
      </w:r>
    </w:p>
    <w:p>
      <w:pPr>
        <w:spacing w:after="0" w:line="161" w:lineRule="exact"/>
        <w:rPr>
          <w:rFonts w:ascii="Times New Roman" w:cs="Times New Roman" w:eastAsia="Times New Roman" w:hAnsi="Times New Roman"/>
          <w:sz w:val="18"/>
          <w:szCs w:val="18"/>
          <w:color w:val="auto"/>
        </w:rPr>
      </w:pPr>
    </w:p>
    <w:p>
      <w:pPr>
        <w:ind w:left="180" w:right="20" w:firstLine="4"/>
        <w:spacing w:after="0" w:line="282" w:lineRule="auto"/>
        <w:tabs>
          <w:tab w:leader="none" w:pos="9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3.03(d) of the Agreement is hereby amended by replacing the words “Buyer Parent Equity Financing Letter” with the words “Buyer Parent Amended Equity Financing Letter” in the first sentence thereof.</w:t>
      </w:r>
    </w:p>
    <w:p>
      <w:pPr>
        <w:spacing w:after="0" w:line="161" w:lineRule="exact"/>
        <w:rPr>
          <w:rFonts w:ascii="Times New Roman" w:cs="Times New Roman" w:eastAsia="Times New Roman" w:hAnsi="Times New Roman"/>
          <w:sz w:val="18"/>
          <w:szCs w:val="18"/>
          <w:color w:val="auto"/>
        </w:rPr>
      </w:pPr>
    </w:p>
    <w:p>
      <w:pPr>
        <w:ind w:left="180" w:firstLine="4"/>
        <w:spacing w:after="0" w:line="282" w:lineRule="auto"/>
        <w:tabs>
          <w:tab w:leader="none" w:pos="9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3.04(a) of the Agreement is hereby amended by deleting the phrase “(or, in the case of Subsidiary Buyer, following its formation will be)”.</w:t>
      </w:r>
    </w:p>
    <w:p>
      <w:pPr>
        <w:spacing w:after="0" w:line="16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3.21(a) of the Agreement is hereby amended and restated in its entirety as follows:</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2" w:name="page13"/>
    <w:bookmarkEnd w:id="12"/>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 xml:space="preserve">“As of the date of this Agreement, (i) each of the Equity Financing Letters has not been amended, supplemented or modified, and no such amendment, supplement or modification is contemplated, and (ii) the covenants and agreements contained in each of the Equity Financing Letters have not been withdrawn, terminated or rescinded in any respect, and no such withdrawal, termination or rescission is contemplated. As of the date of this Amendment, (i) each of the Amended Equity Financing Letters has not been amended, supplemented or modified, and no such amendment, supplement or modification is contemplated, and (ii) the covenants and agreements contained in each of the Amended Equity Financing Letters have not been withdrawn, terminated or rescinded in any respect, and no such withdrawal, termination or rescission is contemplated. Except for the Amended and Restated Governance Documents, any escrow arrangement entered into in connection with the Serum Equity Financing or as set forth in </w:t>
      </w:r>
      <w:r>
        <w:rPr>
          <w:rFonts w:ascii="Times New Roman" w:cs="Times New Roman" w:eastAsia="Times New Roman" w:hAnsi="Times New Roman"/>
          <w:sz w:val="18"/>
          <w:szCs w:val="18"/>
          <w:u w:val="single" w:color="auto"/>
          <w:color w:val="auto"/>
        </w:rPr>
        <w:t>Section 3.21(a)</w:t>
      </w:r>
      <w:r>
        <w:rPr>
          <w:rFonts w:ascii="Times New Roman" w:cs="Times New Roman" w:eastAsia="Times New Roman" w:hAnsi="Times New Roman"/>
          <w:sz w:val="18"/>
          <w:szCs w:val="18"/>
          <w:color w:val="auto"/>
        </w:rPr>
        <w:t xml:space="preserve"> of the Buyer Disclosure Letter, there are no side letters, Contracts or other arrangements or understandings related to any Equity Financing or any Amended Equity Financing Letter. The execution, delivery and performance of each of the Amended Equity Financing Letters will not (i) conflict with or violate any provision of the organizational or similar documents of Buyer or any of its Subsidiaries, (ii) require any Consent of, or Filing with, any Governmental Entity that has not been made or obtained, (iii) conflict with or violate any Order or Law applicable to Buyer or any of its Subsidiaries or by which any property or asset of Buyer or any of its Subsidiaries is bound, (iv) require any Consent by any Person that has not been obtained under, result in a breach of, loss of a benefit or constitute a default (or an event that with notice or lapse of time or both would become a default) under, or give to others (immediately or with notice or lapse of time or both) any right of termination, amendment, acceleration or cancellation of, any Contract of Buyer or any of its Subsidiaries or (v) result (immediately or with notice or lapse of time or both) in the creation of any Lien (other than a Permitted Lien) on any property or asset of Buyer or any of its Subsidiaries, except, in the case of clauses (ii), (iii), (iv) and (v) above, as would not, individually or in the aggregate, reasonably be expected to be material to Buyer and its Subsidiaries, taken as a whole.”</w:t>
      </w:r>
    </w:p>
    <w:p>
      <w:pPr>
        <w:spacing w:after="0" w:line="188" w:lineRule="exact"/>
        <w:rPr>
          <w:sz w:val="20"/>
          <w:szCs w:val="20"/>
          <w:color w:val="auto"/>
        </w:rPr>
      </w:pPr>
    </w:p>
    <w:p>
      <w:pPr>
        <w:ind w:left="180" w:firstLine="4"/>
        <w:spacing w:after="0" w:line="282" w:lineRule="auto"/>
        <w:tabs>
          <w:tab w:leader="none" w:pos="8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3.21(b) of the Agreement is hereby amended by replacing each reference to “Equity Financing Letters” with a reference to “Amended Equity Financing Letters”.</w:t>
      </w:r>
    </w:p>
    <w:p>
      <w:pPr>
        <w:spacing w:after="0" w:line="161" w:lineRule="exact"/>
        <w:rPr>
          <w:rFonts w:ascii="Times New Roman" w:cs="Times New Roman" w:eastAsia="Times New Roman" w:hAnsi="Times New Roman"/>
          <w:sz w:val="18"/>
          <w:szCs w:val="18"/>
          <w:color w:val="auto"/>
        </w:rPr>
      </w:pPr>
    </w:p>
    <w:p>
      <w:pPr>
        <w:ind w:left="180" w:firstLine="4"/>
        <w:spacing w:after="0" w:line="282" w:lineRule="auto"/>
        <w:tabs>
          <w:tab w:leader="none" w:pos="10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3.21(c) of the Agreement is hereby amended by replacing the words “any adjustment thereto” with the words “the Adjustment Amount”.</w:t>
      </w:r>
    </w:p>
    <w:p>
      <w:pPr>
        <w:spacing w:after="0" w:line="161" w:lineRule="exact"/>
        <w:rPr>
          <w:rFonts w:ascii="Times New Roman" w:cs="Times New Roman" w:eastAsia="Times New Roman" w:hAnsi="Times New Roman"/>
          <w:sz w:val="18"/>
          <w:szCs w:val="18"/>
          <w:color w:val="auto"/>
        </w:rPr>
      </w:pPr>
    </w:p>
    <w:p>
      <w:pPr>
        <w:ind w:left="180" w:firstLine="4"/>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3.21(c)(ii)(A) of the Agreement is hereby amended by replacing the words “pay the aggregate Estimated Closing Cash Consideration” with the words “repay the ROW Note and pay the Irish Closing Cash Consideration”.</w:t>
      </w:r>
    </w:p>
    <w:p>
      <w:pPr>
        <w:spacing w:after="0" w:line="3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3" w:name="page14"/>
    <w:bookmarkEnd w:id="13"/>
    <w:p>
      <w:pPr>
        <w:ind w:left="180" w:firstLine="4"/>
        <w:spacing w:after="0" w:line="282" w:lineRule="auto"/>
        <w:tabs>
          <w:tab w:leader="none" w:pos="9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4.02(b)(i)(a)(1) of the Agreement is hereby amended by replacing the reference to “Equity Financing Letter” with a reference to “Amended Equity Financing Letter”.</w:t>
      </w:r>
    </w:p>
    <w:p>
      <w:pPr>
        <w:spacing w:after="0" w:line="161" w:lineRule="exact"/>
        <w:rPr>
          <w:rFonts w:ascii="Times New Roman" w:cs="Times New Roman" w:eastAsia="Times New Roman" w:hAnsi="Times New Roman"/>
          <w:sz w:val="18"/>
          <w:szCs w:val="18"/>
          <w:color w:val="auto"/>
        </w:rPr>
      </w:pPr>
    </w:p>
    <w:p>
      <w:pPr>
        <w:ind w:left="860" w:hanging="676"/>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5.03 of the Agreement is hereby amended and restated in its entirety as follows:</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Business Internal Reorganization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40" w:hanging="8"/>
        <w:spacing w:after="0" w:line="252" w:lineRule="auto"/>
        <w:tabs>
          <w:tab w:leader="none" w:pos="15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subject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Seller Parent shall, and shall cause its Subsidiaries to, consummate the transactions as described in the Business Steps Plan (the “</w:t>
      </w:r>
      <w:r>
        <w:rPr>
          <w:rFonts w:ascii="Times New Roman" w:cs="Times New Roman" w:eastAsia="Times New Roman" w:hAnsi="Times New Roman"/>
          <w:sz w:val="18"/>
          <w:szCs w:val="18"/>
          <w:u w:val="single" w:color="auto"/>
          <w:color w:val="auto"/>
        </w:rPr>
        <w:t>Business Internal Reorganization</w:t>
      </w:r>
      <w:r>
        <w:rPr>
          <w:rFonts w:ascii="Times New Roman" w:cs="Times New Roman" w:eastAsia="Times New Roman" w:hAnsi="Times New Roman"/>
          <w:sz w:val="18"/>
          <w:szCs w:val="18"/>
          <w:color w:val="auto"/>
        </w:rPr>
        <w:t xml:space="preserve">”), which Business Internal Reorganization will result in, among other things, the biosimilars business not already held by the Irish Acquired Company (which business consists solely of Transferred Assets and Assumed Liabilities not already held by the Irish Acquired Company) being transferred to and assumed by the ROW Acquired Company immediately prior to the Closing. Seller Parent shall provide Buyer with a reasonable opportunity to review and comment on the material operative documentation effecting the Business Internal Reorganization and shall accept reasonable comments of Buyer that will not prevent or impede the Intended Tax Treatment. Except as otherwise expressly provided by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Seller Parent shall be permitted to amend the Business Steps Plan only (i) with the prior written consent of Buyer (such consent not to be unreasonably withheld, delayed or conditioned), (ii) if Seller Parent reasonably determines that such amendment is necessary or appropriate to achieve the Intended Tax Treatment or achieve a tax efficient structure for Seller Parent or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amendment shall not impose any material costs or expenses on Buyer or any Business Company (unless Seller Parent agrees to indemnify and hold harmless Buyer or the applicable Business Company for any such costs or expenses) or materially impair or delay the consummation of the transactions contemplated hereby) or (iii) if Seller Parent determines such amendment is reasonably necessary or appropriate to effect the Transactions and such amendment would not reasonably be expected to (A) be material and adverse to Buyer or (B) materially impair or delay the consummation of the Transactions.</w:t>
      </w:r>
    </w:p>
    <w:p>
      <w:pPr>
        <w:spacing w:after="0" w:line="194" w:lineRule="exact"/>
        <w:rPr>
          <w:rFonts w:ascii="Times New Roman" w:cs="Times New Roman" w:eastAsia="Times New Roman" w:hAnsi="Times New Roman"/>
          <w:sz w:val="18"/>
          <w:szCs w:val="18"/>
          <w:color w:val="auto"/>
        </w:rPr>
      </w:pPr>
    </w:p>
    <w:p>
      <w:pPr>
        <w:jc w:val="both"/>
        <w:ind w:left="840" w:hanging="8"/>
        <w:spacing w:after="0" w:line="258" w:lineRule="auto"/>
        <w:tabs>
          <w:tab w:leader="none" w:pos="15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Parent shall take all actions required to ensure that, following their formation, the Business Companies are at all times, between the date of this Agreement and the Closing Date, Affiliates of the Seller Parent. Prior to the Closing, Buyer will make the election, with an effective date on or prior to the Closing Date, with respect to the Subsidiary Buyer pursuant to U.S. Treasury Regulation Section 301.7701-3 to treat the Subsidiary Buyer as an entity disregarded as separate from its owner for U.S. federal income tax purposes.</w:t>
      </w:r>
    </w:p>
    <w:p>
      <w:pPr>
        <w:spacing w:after="0" w:line="35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4" w:name="page15"/>
    <w:bookmarkEnd w:id="14"/>
    <w:p>
      <w:pPr>
        <w:jc w:val="both"/>
        <w:ind w:left="840" w:hanging="8"/>
        <w:spacing w:after="0" w:line="258" w:lineRule="auto"/>
        <w:tabs>
          <w:tab w:leader="none" w:pos="17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assignments and transfers of the Business Registered Intellectual Property pursuant to the Business Internal Reorganization shall be recorded and filed by Buyer, with the appropriate Governmental Entity following the Closing. Following the Closing, at Buyer’s reasonable request, Seller Parent shall use reasonable best efforts to provide assistance necessary for Buyer to achieve such recordings and filings. The recordation and filing fees pursuant to this </w:t>
      </w:r>
      <w:r>
        <w:rPr>
          <w:rFonts w:ascii="Times New Roman" w:cs="Times New Roman" w:eastAsia="Times New Roman" w:hAnsi="Times New Roman"/>
          <w:sz w:val="18"/>
          <w:szCs w:val="18"/>
          <w:u w:val="single" w:color="auto"/>
          <w:color w:val="auto"/>
        </w:rPr>
        <w:t>Section 5.03(c)</w:t>
      </w:r>
      <w:r>
        <w:rPr>
          <w:rFonts w:ascii="Times New Roman" w:cs="Times New Roman" w:eastAsia="Times New Roman" w:hAnsi="Times New Roman"/>
          <w:sz w:val="18"/>
          <w:szCs w:val="18"/>
          <w:color w:val="auto"/>
        </w:rPr>
        <w:t xml:space="preserve"> shall be borne 50% by Seller Parent and 50% by Buyer.”</w:t>
      </w:r>
    </w:p>
    <w:p>
      <w:pPr>
        <w:spacing w:after="0" w:line="183" w:lineRule="exact"/>
        <w:rPr>
          <w:rFonts w:ascii="Times New Roman" w:cs="Times New Roman" w:eastAsia="Times New Roman" w:hAnsi="Times New Roman"/>
          <w:sz w:val="18"/>
          <w:szCs w:val="18"/>
          <w:color w:val="auto"/>
        </w:rPr>
      </w:pPr>
    </w:p>
    <w:p>
      <w:pPr>
        <w:ind w:left="180" w:firstLine="4"/>
        <w:spacing w:after="0" w:line="282" w:lineRule="auto"/>
        <w:tabs>
          <w:tab w:leader="none" w:pos="8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5.06(a)(iii)(A)(1) of the Agreement is hereby amended by replacing the words “the ROW Acquisition” with the words “the ROW Acquisition, the repayment of the ROW Note, the ROW Future Cash Payment”.</w:t>
      </w:r>
    </w:p>
    <w:p>
      <w:pPr>
        <w:spacing w:after="0" w:line="16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5.06(c)(ii) of the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8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until the date of the payment of the ROW Future Cash Payment, none of Buyer, the Subsidiary Buyer or any of Buyer’s other Affiliates shall revoke or amend the election under Section 301.7701-3 of the U.S. Treasury Regulations or take any other actions to cause the Subsidiary Buyer to be treated as an entity other than an entity disregarded from Buyer (its owner) for U.S. federal income tax purposes (including any actions taken after the date of the ROW Future Cash Payment that have a retroactive effect to the date of the ROW Future Cash Payment), without the prior written consent of Seller Parent. From and after the Closing until after the date of the payment of the ROW Future Cash Payment, none of Buyer, the Subsidiary Buyer or any of Buyer’s other Affiliates shall revoke or amend the election under Section 301.7701-3 of the U.S. Treasury Regulations or take any other actions to cause the ROW Acquired Company to be treated as an entity other than an entity disregarded from Buyer (its owner) for U.S. federal income tax purposes (including any actions taken after the date of the ROW Future Cash Payment that have a retroactive effect to the date of the ROW Future Cash Payment), without the prior written consent of Seller Parent.”</w:t>
      </w:r>
    </w:p>
    <w:p>
      <w:pPr>
        <w:spacing w:after="0" w:line="19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5.08 of the Agreement is hereby amended by adding the following new clause immediately after clause (d) thereof:</w:t>
      </w:r>
    </w:p>
    <w:p>
      <w:pPr>
        <w:spacing w:after="0" w:line="225" w:lineRule="exact"/>
        <w:rPr>
          <w:rFonts w:ascii="Times New Roman" w:cs="Times New Roman" w:eastAsia="Times New Roman" w:hAnsi="Times New Roman"/>
          <w:sz w:val="18"/>
          <w:szCs w:val="18"/>
          <w:color w:val="auto"/>
        </w:rPr>
      </w:pPr>
    </w:p>
    <w:p>
      <w:pPr>
        <w:jc w:val="both"/>
        <w:ind w:left="8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Buyer shall, and shall cause its Subsidiaries to, at the request of Seller Parent, provide reasonable cooperation to Seller Parent and its Subsidiaries relating to the Insulin Investigations and the Insulin Actions, including by (i) retaining and, upon request of Seller Parent, providing Seller Parent with any books, records and other data or information relating to any of the Insulin Investigations or the Insulin Actions and (ii) upon request of Seller Parent, making their respective employees, and using reasonable best efforts to make their respective consultants and independent contractors, reasonably available to assist with the Insulin Investigations</w:t>
      </w:r>
    </w:p>
    <w:p>
      <w:pPr>
        <w:spacing w:after="0" w:line="3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5" w:name="page16"/>
    <w:bookmarkEnd w:id="15"/>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and the Insulin Actions (including in connection with any investigation, prosecution, pretrial activities or trial relating to, or any compromise, settlement or other discharge of, any of the Insulin Investigations or the Insulin Actions). As used herein, “Insulin Investigations” shall have the meaning given in Item 10 of Section 9.02(b) of the Seller Parent Disclosure Letter.”</w:t>
      </w:r>
    </w:p>
    <w:p>
      <w:pPr>
        <w:spacing w:after="0" w:line="176" w:lineRule="exact"/>
        <w:rPr>
          <w:sz w:val="20"/>
          <w:szCs w:val="20"/>
          <w:color w:val="auto"/>
        </w:rPr>
      </w:pPr>
    </w:p>
    <w:p>
      <w:pPr>
        <w:ind w:left="180" w:firstLine="4"/>
        <w:spacing w:after="0" w:line="282" w:lineRule="auto"/>
        <w:tabs>
          <w:tab w:leader="none" w:pos="98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5.13(a)(ii) of the Agreement is hereby amended by replacing the words “Equity Financing Letters” with the words “Amended Equity Financing Letters”.</w:t>
      </w:r>
    </w:p>
    <w:p>
      <w:pPr>
        <w:spacing w:after="0" w:line="16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5.15 of the Agreement is hereby amended by adding the following sentence immediately after the last sentence thereof:</w:t>
      </w:r>
    </w:p>
    <w:p>
      <w:pPr>
        <w:spacing w:after="0" w:line="225" w:lineRule="exact"/>
        <w:rPr>
          <w:rFonts w:ascii="Times New Roman" w:cs="Times New Roman" w:eastAsia="Times New Roman" w:hAnsi="Times New Roman"/>
          <w:sz w:val="18"/>
          <w:szCs w:val="18"/>
          <w:color w:val="auto"/>
        </w:rPr>
      </w:pPr>
    </w:p>
    <w:p>
      <w:pPr>
        <w:jc w:val="both"/>
        <w:ind w:left="8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Seller Parent and Buyer acknowledge and agree that Buyer shall not be required to (a) replace a Credit Support Item or (b) indemnify and hold harmless Seller Parent and its Subsidiaries from and against any claims, losses, liabilities, damages, judgments, fines, penalties, costs and expenses, in each case, pursuant to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until after Seller Parent has identified such Credit Support Item to Buyer.”</w:t>
      </w:r>
    </w:p>
    <w:p>
      <w:pPr>
        <w:spacing w:after="0" w:line="179" w:lineRule="exact"/>
        <w:rPr>
          <w:rFonts w:ascii="Times New Roman" w:cs="Times New Roman" w:eastAsia="Times New Roman" w:hAnsi="Times New Roman"/>
          <w:sz w:val="18"/>
          <w:szCs w:val="18"/>
          <w:color w:val="auto"/>
        </w:rPr>
      </w:pPr>
    </w:p>
    <w:p>
      <w:pPr>
        <w:ind w:left="880" w:hanging="696"/>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sentence of Section 5.19 of the Agreement is hereby amended and restated in its entirety as follows:</w:t>
      </w:r>
    </w:p>
    <w:p>
      <w:pPr>
        <w:spacing w:after="0" w:line="225"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“Notwithstanding the immediately preceding sentence, if mutually agreed by Seller Parent and Buyer prior to the Closing, all or certain of the Seller Parent/Buyer Contracts may instead be assigned to Buyer or its Subsidiaries at the Closing or assigned to ROW Acquired Company or Irish Acquired Company prior to or at the Closing, rather than being terminated effective as of the Closing.”</w:t>
      </w:r>
    </w:p>
    <w:p>
      <w:pPr>
        <w:spacing w:after="0" w:line="180" w:lineRule="exact"/>
        <w:rPr>
          <w:sz w:val="20"/>
          <w:szCs w:val="20"/>
          <w:color w:val="auto"/>
        </w:rPr>
      </w:pPr>
    </w:p>
    <w:p>
      <w:pPr>
        <w:ind w:left="180" w:firstLine="4"/>
        <w:spacing w:after="0" w:line="282" w:lineRule="auto"/>
        <w:tabs>
          <w:tab w:leader="none" w:pos="10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6.03(d) of the Agreement is hereby amended by replacing the words “Equity Financing Letter” with the words “Amended Equity Financing Letter”.</w:t>
      </w:r>
    </w:p>
    <w:p>
      <w:pPr>
        <w:spacing w:after="0" w:line="161" w:lineRule="exact"/>
        <w:rPr>
          <w:rFonts w:ascii="Times New Roman" w:cs="Times New Roman" w:eastAsia="Times New Roman" w:hAnsi="Times New Roman"/>
          <w:sz w:val="18"/>
          <w:szCs w:val="18"/>
          <w:color w:val="auto"/>
        </w:rPr>
      </w:pPr>
    </w:p>
    <w:p>
      <w:pPr>
        <w:ind w:left="1020" w:hanging="836"/>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8.05(b) of the Agreement is hereby amended by adding the following sentence immediately after the last sentence</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“For the avoidance of doubt, Seller Parent shall have sole control over the Insulin Investigations and the Insulin Actions, with full authority over such matters (including full authority over the defense, prosecution and settlement or other resolution or disposition of the same), and Seller Parent shall be responsible for all expenses or costs incurred by Seller Parent and its Subsidiaries in connection with Seller Parent’s control over the Insulin Investigations and the Insulin Actions (including any such expenses or costs incurred by Seller Parent and its Subsidiaries in the defense, prosecution or settlement or other resolution or disposition of the same). Without limiting the foregoing, Seller Parent shall keep Buyer reasonably informed regarding any material developments in the Insulin Investigations.”</w:t>
      </w:r>
    </w:p>
    <w:p>
      <w:pPr>
        <w:spacing w:after="0" w:line="3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6" w:name="page17"/>
    <w:bookmarkEnd w:id="16"/>
    <w:p>
      <w:pPr>
        <w:jc w:val="both"/>
        <w:ind w:left="180" w:firstLine="4"/>
        <w:spacing w:after="0" w:line="266" w:lineRule="auto"/>
        <w:tabs>
          <w:tab w:leader="none" w:pos="10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8.07 of the Agreement is hereby amended by (i) replacing the words “adjustments of the Estimated Adjustment Amount” with the words “the Final Adjustment Amount” and (ii) replacing the words “Final Closing Cash Consideration” with “Final Adjustment Amount”.</w:t>
      </w:r>
    </w:p>
    <w:p>
      <w:pPr>
        <w:spacing w:after="0" w:line="175" w:lineRule="exact"/>
        <w:rPr>
          <w:rFonts w:ascii="Times New Roman" w:cs="Times New Roman" w:eastAsia="Times New Roman" w:hAnsi="Times New Roman"/>
          <w:sz w:val="18"/>
          <w:szCs w:val="18"/>
          <w:color w:val="auto"/>
        </w:rPr>
      </w:pPr>
    </w:p>
    <w:p>
      <w:pPr>
        <w:ind w:left="180" w:firstLine="4"/>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8.10 of the Agreement is hereby amended by replacing the words “the Final Closing Cash Consideration” with the words “amounts paid under this Agreement for the ROW Acquired Company”.</w:t>
      </w:r>
    </w:p>
    <w:p>
      <w:pPr>
        <w:spacing w:after="0" w:line="161" w:lineRule="exact"/>
        <w:rPr>
          <w:rFonts w:ascii="Times New Roman" w:cs="Times New Roman" w:eastAsia="Times New Roman" w:hAnsi="Times New Roman"/>
          <w:sz w:val="18"/>
          <w:szCs w:val="18"/>
          <w:color w:val="auto"/>
        </w:rPr>
      </w:pPr>
    </w:p>
    <w:p>
      <w:pPr>
        <w:ind w:left="180" w:firstLine="4"/>
        <w:spacing w:after="0" w:line="282" w:lineRule="auto"/>
        <w:tabs>
          <w:tab w:leader="none" w:pos="9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amended by replacing each reference to “Irish Estimated Closing Cash Consideration” with a reference to “Irish Closing Cash Consideration”.</w:t>
      </w:r>
    </w:p>
    <w:p>
      <w:pPr>
        <w:spacing w:after="0" w:line="161" w:lineRule="exact"/>
        <w:rPr>
          <w:rFonts w:ascii="Times New Roman" w:cs="Times New Roman" w:eastAsia="Times New Roman" w:hAnsi="Times New Roman"/>
          <w:sz w:val="18"/>
          <w:szCs w:val="18"/>
          <w:color w:val="auto"/>
        </w:rPr>
      </w:pPr>
    </w:p>
    <w:p>
      <w:pPr>
        <w:ind w:left="180" w:firstLine="4"/>
        <w:spacing w:after="0" w:line="282" w:lineRule="auto"/>
        <w:tabs>
          <w:tab w:leader="none" w:pos="103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amended by replacing each reference to “TSA Management Committee” with a reference to “Transition Management Committee”.</w:t>
      </w:r>
    </w:p>
    <w:p>
      <w:pPr>
        <w:spacing w:after="0" w:line="161" w:lineRule="exact"/>
        <w:rPr>
          <w:rFonts w:ascii="Times New Roman" w:cs="Times New Roman" w:eastAsia="Times New Roman" w:hAnsi="Times New Roman"/>
          <w:sz w:val="18"/>
          <w:szCs w:val="18"/>
          <w:color w:val="auto"/>
        </w:rPr>
      </w:pPr>
    </w:p>
    <w:p>
      <w:pPr>
        <w:ind w:left="1060" w:hanging="876"/>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amended by replacing each reference to “Future Cash Consideration” with a reference to “Future Cash</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w:t>
      </w:r>
    </w:p>
    <w:p>
      <w:pPr>
        <w:spacing w:after="0" w:line="206" w:lineRule="exact"/>
        <w:rPr>
          <w:rFonts w:ascii="Times New Roman" w:cs="Times New Roman" w:eastAsia="Times New Roman" w:hAnsi="Times New Roman"/>
          <w:sz w:val="18"/>
          <w:szCs w:val="18"/>
          <w:color w:val="auto"/>
        </w:rPr>
      </w:pPr>
    </w:p>
    <w:p>
      <w:pPr>
        <w:ind w:left="1040" w:hanging="856"/>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9.02 of the Agreement is hereby amended by adding the following definitions in the appropriate alphabetical order</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therein:</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Liabilities</w:t>
      </w:r>
      <w:r>
        <w:rPr>
          <w:rFonts w:ascii="Times New Roman" w:cs="Times New Roman" w:eastAsia="Times New Roman" w:hAnsi="Times New Roman"/>
          <w:sz w:val="18"/>
          <w:szCs w:val="18"/>
          <w:color w:val="auto"/>
        </w:rPr>
        <w:t>” means all obligations and liabilities to the extent arising out of, relating to or otherwise in respect of</w:t>
      </w:r>
    </w:p>
    <w:p>
      <w:pPr>
        <w:spacing w:after="0" w:line="27" w:lineRule="exact"/>
        <w:rPr>
          <w:sz w:val="20"/>
          <w:szCs w:val="20"/>
          <w:color w:val="auto"/>
        </w:rPr>
      </w:pPr>
    </w:p>
    <w:p>
      <w:pPr>
        <w:jc w:val="both"/>
        <w:ind w:left="840" w:hanging="8"/>
        <w:spacing w:after="0" w:line="251" w:lineRule="auto"/>
        <w:tabs>
          <w:tab w:leader="none" w:pos="110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amendments to Item 1 of the Business Steps Plan or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to the extent the amendments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are related to the amendments to the aforementioned sections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(b) Item 4 of the Business Steps Plan and (c) any Taxes arising out of, relating to or otherwise in respect of the Business Steps Plan, in each case that would not have arisen absent the amendments to the Agreement effected by this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Amendment Liabilities shall not include (i) any of the obligations and liabilities of Seller Parent and its Affiliates, or any of the advisors thereof (including Existing Counsel), in respect of evaluating, negotiating or documenting this Amendment, (ii) obligations and liabilities to the extent arising out of, relating to or otherwise in respect of Seller Parent or any of its Affiliates not performing their obligations under this Amendment or the Business Steps Plan or (iii) obligations and liabilities to the extent arising out of, relating to or otherwise in respect of the failure to achieve the Intended Tax Treatment.</w:t>
      </w:r>
    </w:p>
    <w:p>
      <w:pPr>
        <w:spacing w:after="0" w:line="193" w:lineRule="exact"/>
        <w:rPr>
          <w:sz w:val="20"/>
          <w:szCs w:val="20"/>
          <w:color w:val="auto"/>
        </w:rPr>
      </w:pPr>
    </w:p>
    <w:p>
      <w:pPr>
        <w:ind w:left="840"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BPL</w:t>
      </w:r>
      <w:r>
        <w:rPr>
          <w:rFonts w:ascii="Times New Roman" w:cs="Times New Roman" w:eastAsia="Times New Roman" w:hAnsi="Times New Roman"/>
          <w:sz w:val="18"/>
          <w:szCs w:val="18"/>
          <w:color w:val="auto"/>
        </w:rPr>
        <w:t>” means Biocon Pharma Limited, a company incorporated under the provisions of the Companies Act, 1956 and a wholly owned Subsidiary of Buyer Parent.</w:t>
      </w:r>
    </w:p>
    <w:p>
      <w:pPr>
        <w:spacing w:after="0" w:line="162" w:lineRule="exact"/>
        <w:rPr>
          <w:sz w:val="20"/>
          <w:szCs w:val="20"/>
          <w:color w:val="auto"/>
        </w:rPr>
      </w:pPr>
    </w:p>
    <w:p>
      <w:pPr>
        <w:ind w:left="8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Adjustment Amount</w:t>
      </w:r>
      <w:r>
        <w:rPr>
          <w:rFonts w:ascii="Times New Roman" w:cs="Times New Roman" w:eastAsia="Times New Roman" w:hAnsi="Times New Roman"/>
          <w:sz w:val="18"/>
          <w:szCs w:val="18"/>
          <w:color w:val="auto"/>
        </w:rPr>
        <w:t xml:space="preserve">” means (a) the Estimated Working Capital Adjustment Amount (which may be a negative number),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w:t>
      </w:r>
    </w:p>
    <w:p>
      <w:pPr>
        <w:spacing w:after="0" w:line="33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7" w:name="page18"/>
    <w:bookmarkEnd w:id="17"/>
    <w:p>
      <w:pPr>
        <w:jc w:val="both"/>
        <w:ind w:left="840" w:right="20"/>
        <w:spacing w:after="0" w:line="282" w:lineRule="auto"/>
        <w:rPr>
          <w:sz w:val="20"/>
          <w:szCs w:val="20"/>
          <w:color w:val="auto"/>
        </w:rPr>
      </w:pPr>
      <w:r>
        <w:rPr>
          <w:rFonts w:ascii="Times New Roman" w:cs="Times New Roman" w:eastAsia="Times New Roman" w:hAnsi="Times New Roman"/>
          <w:sz w:val="18"/>
          <w:szCs w:val="18"/>
          <w:color w:val="auto"/>
        </w:rPr>
        <w:t xml:space="preserve">Estimated Assumed Indebtedness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Estimated Closing Collaboration Adjustment Amount (which may be a negative number).</w:t>
      </w:r>
    </w:p>
    <w:p>
      <w:pPr>
        <w:spacing w:after="0" w:line="162"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Adjustment Amount</w:t>
      </w:r>
      <w:r>
        <w:rPr>
          <w:rFonts w:ascii="Times New Roman" w:cs="Times New Roman" w:eastAsia="Times New Roman" w:hAnsi="Times New Roman"/>
          <w:sz w:val="18"/>
          <w:szCs w:val="18"/>
          <w:color w:val="auto"/>
        </w:rPr>
        <w:t xml:space="preserve">” means (a) the Working Capital Adjustment Amount (which may be a negative number) as finally determined pursuant to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Assumed Indebtedness Amount as finally determined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Closing Collaboration Adjustment Amount (which may be a negative number) as finally determined pursuant to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Closing Cash Consideration</w:t>
      </w:r>
      <w:r>
        <w:rPr>
          <w:rFonts w:ascii="Times New Roman" w:cs="Times New Roman" w:eastAsia="Times New Roman" w:hAnsi="Times New Roman"/>
          <w:sz w:val="18"/>
          <w:szCs w:val="18"/>
          <w:color w:val="auto"/>
        </w:rPr>
        <w:t>” means $588,000,000 (five hundred eighty-eight million dollars).</w:t>
      </w:r>
    </w:p>
    <w:p>
      <w:pPr>
        <w:spacing w:after="0" w:line="225" w:lineRule="exact"/>
        <w:rPr>
          <w:sz w:val="20"/>
          <w:szCs w:val="20"/>
          <w:color w:val="auto"/>
        </w:rPr>
      </w:pPr>
    </w:p>
    <w:p>
      <w:pPr>
        <w:jc w:val="both"/>
        <w:ind w:left="840"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Letter of Direction</w:t>
      </w:r>
      <w:r>
        <w:rPr>
          <w:rFonts w:ascii="Times New Roman" w:cs="Times New Roman" w:eastAsia="Times New Roman" w:hAnsi="Times New Roman"/>
          <w:sz w:val="18"/>
          <w:szCs w:val="18"/>
          <w:color w:val="auto"/>
        </w:rPr>
        <w:t>” means the Funds Flow Letter of Instruction and Direction, dated on or about the Closing Date, by and among Buyer, Subsidiary Buyer, Irish Seller and the Irish Acquired Company.</w:t>
      </w:r>
    </w:p>
    <w:p>
      <w:pPr>
        <w:spacing w:after="0" w:line="162" w:lineRule="exact"/>
        <w:rPr>
          <w:sz w:val="20"/>
          <w:szCs w:val="20"/>
          <w:color w:val="auto"/>
        </w:rPr>
      </w:pPr>
    </w:p>
    <w:p>
      <w:pPr>
        <w:jc w:val="both"/>
        <w:ind w:left="840"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ROW Letter of Direction</w:t>
      </w:r>
      <w:r>
        <w:rPr>
          <w:rFonts w:ascii="Times New Roman" w:cs="Times New Roman" w:eastAsia="Times New Roman" w:hAnsi="Times New Roman"/>
          <w:sz w:val="18"/>
          <w:szCs w:val="18"/>
          <w:color w:val="auto"/>
        </w:rPr>
        <w:t>” means the Funds Flow Letter of Instruction and Direction, dated on or about the Closing Date, by and among Buyer, Subsidiary Buyer, ROW Seller and the ROW Acquired Company.</w:t>
      </w:r>
    </w:p>
    <w:p>
      <w:pPr>
        <w:spacing w:after="0" w:line="162" w:lineRule="exact"/>
        <w:rPr>
          <w:sz w:val="20"/>
          <w:szCs w:val="20"/>
          <w:color w:val="auto"/>
        </w:rPr>
      </w:pPr>
    </w:p>
    <w:p>
      <w:pPr>
        <w:jc w:val="both"/>
        <w:ind w:left="840"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ROW Note”</w:t>
      </w:r>
      <w:r>
        <w:rPr>
          <w:rFonts w:ascii="Times New Roman" w:cs="Times New Roman" w:eastAsia="Times New Roman" w:hAnsi="Times New Roman"/>
          <w:sz w:val="18"/>
          <w:szCs w:val="18"/>
          <w:color w:val="auto"/>
        </w:rPr>
        <w:t xml:space="preserve"> means the promissory note, to be issued by ROW Acquired Company in favor of the ROW Seller pursuant to Item 4 of the Business Steps Plan, in substantially the form attached hereto as </w:t>
      </w:r>
      <w:r>
        <w:rPr>
          <w:rFonts w:ascii="Times New Roman" w:cs="Times New Roman" w:eastAsia="Times New Roman" w:hAnsi="Times New Roman"/>
          <w:sz w:val="18"/>
          <w:szCs w:val="18"/>
          <w:u w:val="single" w:color="auto"/>
          <w:color w:val="auto"/>
        </w:rPr>
        <w:t>Exhibit X</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Management Committee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40" w:hanging="756"/>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9.02 of the Agreement is hereby amended by amending and restating the following definitions to have the following</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meanings:</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Amount</w:t>
      </w:r>
      <w:r>
        <w:rPr>
          <w:rFonts w:ascii="Times New Roman" w:cs="Times New Roman" w:eastAsia="Times New Roman" w:hAnsi="Times New Roman"/>
          <w:sz w:val="18"/>
          <w:szCs w:val="18"/>
          <w:color w:val="auto"/>
        </w:rPr>
        <w:t>” means a number (which may be a negative number) equal to the Final Adjustment Amount.</w:t>
      </w:r>
    </w:p>
    <w:p>
      <w:pPr>
        <w:spacing w:after="0" w:line="225"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Buyer</w:t>
      </w:r>
      <w:r>
        <w:rPr>
          <w:rFonts w:ascii="Times New Roman" w:cs="Times New Roman" w:eastAsia="Times New Roman" w:hAnsi="Times New Roman"/>
          <w:sz w:val="18"/>
          <w:szCs w:val="18"/>
          <w:color w:val="auto"/>
        </w:rPr>
        <w:t>” means, with respect to any Acquired Equity Interests, the purchaser of such Acquired Equity Interests (which, for the avoidance of doubt, shall be (a) Buyer in the case of the Acquired ROW Equity Interests and (b) the Subsidiary Buyer in the case of the Irish New Equity Interests).</w:t>
      </w:r>
    </w:p>
    <w:p>
      <w:pPr>
        <w:spacing w:after="0" w:line="176"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means all of Seller Parent’s and its Subsidiaries’ obligations and liabilities to the extent arising out of, relating to or otherwise in respect of the Business, the Acquired Equity Interests or the Irish Redemption Equity Interests (in each case, including the ownership or operation thereof), whether any such obligation or liability arises before, at or after the Closing, is known or unknown or is contingent or accrued, including (a) the Amendment Liabilities and (b) all obligations and liabilities of Seller Parent or any of its Affiliates to the extent arising out of, relating to</w:t>
      </w:r>
    </w:p>
    <w:p>
      <w:pPr>
        <w:spacing w:after="0" w:line="35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8" w:name="page19"/>
    <w:bookmarkEnd w:id="18"/>
    <w:p>
      <w:pPr>
        <w:jc w:val="both"/>
        <w:ind w:left="840" w:right="20"/>
        <w:spacing w:after="0" w:line="282" w:lineRule="auto"/>
        <w:rPr>
          <w:sz w:val="20"/>
          <w:szCs w:val="20"/>
          <w:color w:val="auto"/>
        </w:rPr>
      </w:pPr>
      <w:r>
        <w:rPr>
          <w:rFonts w:ascii="Times New Roman" w:cs="Times New Roman" w:eastAsia="Times New Roman" w:hAnsi="Times New Roman"/>
          <w:sz w:val="18"/>
          <w:szCs w:val="18"/>
          <w:color w:val="auto"/>
        </w:rPr>
        <w:t>or otherwise in respect of the ROW Note or any Assumed Indebtedness but excluding any obligation or liability set forth on Section 9.02(b) of the Seller Parent Disclosure Letter (the “</w:t>
      </w:r>
      <w:r>
        <w:rPr>
          <w:rFonts w:ascii="Times New Roman" w:cs="Times New Roman" w:eastAsia="Times New Roman" w:hAnsi="Times New Roman"/>
          <w:sz w:val="18"/>
          <w:szCs w:val="18"/>
          <w:u w:val="single" w:color="auto"/>
          <w:color w:val="auto"/>
        </w:rPr>
        <w:t>Business Retained Liabilities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Parent Equity Financing</w:t>
      </w:r>
      <w:r>
        <w:rPr>
          <w:rFonts w:ascii="Times New Roman" w:cs="Times New Roman" w:eastAsia="Times New Roman" w:hAnsi="Times New Roman"/>
          <w:sz w:val="18"/>
          <w:szCs w:val="18"/>
          <w:color w:val="auto"/>
        </w:rPr>
        <w:t>” means the consummation of the Equity Transactions (as defined in the Buyer Parent Amended Equity Financing Letter) in accordance with the Buyer Parent Amended Equity Financing Letter, pursuant to which Buyer, Buyer Parent and BPL have agreed, on the terms and subject to the conditions set forth in the Buyer Parent Amended Equity Financing Letter, that (a) Buyer will issue (i) 145,011,221 newly issued shares of Buyer Common Stock to Buyer Parent in exchange for an approximately $500,000,000 (five hundred million dollars) payment from Buyer Parent to Buyer and (ii) 43,334,580 newly issued shares of Buyer Common Stock to BPL in exchange for an approximately $150,000,000 (one hundred fifty million dollars) payment from BPL to Buyer and (b) Buyer Parent and Buyer will convert the Buyer OCRPS into Buyer Common Stock, in the case of clause (a), immediately prior to the Closing.</w:t>
      </w:r>
    </w:p>
    <w:p>
      <w:pPr>
        <w:spacing w:after="0" w:line="192"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 Contract</w:t>
      </w:r>
      <w:r>
        <w:rPr>
          <w:rFonts w:ascii="Times New Roman" w:cs="Times New Roman" w:eastAsia="Times New Roman" w:hAnsi="Times New Roman"/>
          <w:sz w:val="18"/>
          <w:szCs w:val="18"/>
          <w:color w:val="auto"/>
        </w:rPr>
        <w:t>” means each Contract between Seller Parent or any of its Subsidiaries, on the one hand, and any customer of the Business (for the avoidance of doubt, including distributors) (in its capacity as such), on the other hand, to the extent relating to the Business.</w:t>
      </w:r>
    </w:p>
    <w:p>
      <w:pPr>
        <w:spacing w:after="0" w:line="176"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Serum Equity Financing</w:t>
      </w:r>
      <w:r>
        <w:rPr>
          <w:rFonts w:ascii="Times New Roman" w:cs="Times New Roman" w:eastAsia="Times New Roman" w:hAnsi="Times New Roman"/>
          <w:sz w:val="18"/>
          <w:szCs w:val="18"/>
          <w:color w:val="auto"/>
        </w:rPr>
        <w:t>” means the funding of the Equity Commitment (as defined in the Serum Amended Equity Financing Letter) in accordance with the Serum Amended Equity Financing Letter, pursuant to which Buyer and Serum have agreed, on the terms and subject to the conditions set forth in the Serum Amended Equity Financing Letter, that Buyer will issue 34,733,743 newly issued shares of Buyer Common Stock to Serum in exchange for a $150,000,000 (one hundred fifty million dollars) payment from Serum to Buyer, in each case, immediately prior to the Closing.</w:t>
      </w:r>
    </w:p>
    <w:p>
      <w:pPr>
        <w:spacing w:after="0" w:line="1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Buyer</w:t>
      </w:r>
      <w:r>
        <w:rPr>
          <w:rFonts w:ascii="Times New Roman" w:cs="Times New Roman" w:eastAsia="Times New Roman" w:hAnsi="Times New Roman"/>
          <w:sz w:val="18"/>
          <w:szCs w:val="18"/>
          <w:color w:val="auto"/>
        </w:rPr>
        <w:t>” means Biocon Biologics UK Limited, a private limited company registered in England and Wales.</w:t>
      </w:r>
    </w:p>
    <w:p>
      <w:pPr>
        <w:spacing w:after="0" w:line="225"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means (a) any tax imposed (i) in compliance with the Council Directive of 28 November 2006 on the common system of value added tax (EC Directive 2006/112), (ii) under the (Indian) Goods and Services Tax Act, 2017, or (iii) under the (UK) Value Added Tax Act 1994 or legislation or regulations supplemental thereto and (b) any other tax of a similar nature, however denominated, to the taxes referred to in clause (a) above, whether imposed in a member state of the European Union in substitution for, or levied in addition to, the taxes referred to in clause (a) above, or imposed elsewhere (including goods and services taxes, state or central value added taxes, indirect taxes and any cess, fee or surcharge thereon, but excluding Transfer Taxes).</w:t>
      </w:r>
    </w:p>
    <w:p>
      <w:pPr>
        <w:spacing w:after="0" w:line="3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9" w:name="page20"/>
    <w:bookmarkEnd w:id="19"/>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Working Capital Target</w:t>
      </w:r>
      <w:r>
        <w:rPr>
          <w:rFonts w:ascii="Times New Roman" w:cs="Times New Roman" w:eastAsia="Times New Roman" w:hAnsi="Times New Roman"/>
          <w:sz w:val="18"/>
          <w:szCs w:val="18"/>
          <w:color w:val="auto"/>
        </w:rPr>
        <w:t>” means $225,000,000 (two hundred twenty-five million dollars).</w:t>
      </w:r>
    </w:p>
    <w:p>
      <w:pPr>
        <w:spacing w:after="0" w:line="225" w:lineRule="exact"/>
        <w:rPr>
          <w:sz w:val="20"/>
          <w:szCs w:val="20"/>
          <w:color w:val="auto"/>
        </w:rPr>
      </w:pPr>
    </w:p>
    <w:p>
      <w:pPr>
        <w:jc w:val="both"/>
        <w:ind w:left="1300" w:right="20" w:firstLine="4"/>
        <w:spacing w:after="0" w:line="261" w:lineRule="auto"/>
        <w:tabs>
          <w:tab w:leader="none" w:pos="1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“Excluded Taxes” set forth in Section 9.02 of the Agreement is hereby amended by (i) amending and restating clause (d) in its entirety as follows “any Transfer Taxes or VAT for which Seller Parent is liable under </w:t>
      </w:r>
      <w:r>
        <w:rPr>
          <w:rFonts w:ascii="Times New Roman" w:cs="Times New Roman" w:eastAsia="Times New Roman" w:hAnsi="Times New Roman"/>
          <w:sz w:val="18"/>
          <w:szCs w:val="18"/>
          <w:u w:val="single" w:color="auto"/>
          <w:color w:val="auto"/>
        </w:rPr>
        <w:t>Section 5.06(b)</w:t>
      </w:r>
      <w:r>
        <w:rPr>
          <w:rFonts w:ascii="Times New Roman" w:cs="Times New Roman" w:eastAsia="Times New Roman" w:hAnsi="Times New Roman"/>
          <w:sz w:val="18"/>
          <w:szCs w:val="18"/>
          <w:color w:val="auto"/>
        </w:rPr>
        <w:t xml:space="preserve"> (it being understood that no Transfer Taxes or VAT shall be included in clause (a), (b) or (c) of this definition)” and (ii) adding the following proviso at the end of such definition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shall not include any Taxes that are Amendment Liabilities”.</w:t>
      </w:r>
    </w:p>
    <w:p>
      <w:pPr>
        <w:spacing w:after="0" w:line="179"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20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“Fundamental Tax Matters” set forth in Section 9.02 of the Agreement is hereby amended by replacing the reference to “</w:t>
      </w:r>
      <w:r>
        <w:rPr>
          <w:rFonts w:ascii="Times New Roman" w:cs="Times New Roman" w:eastAsia="Times New Roman" w:hAnsi="Times New Roman"/>
          <w:sz w:val="18"/>
          <w:szCs w:val="18"/>
          <w:u w:val="single" w:color="auto"/>
          <w:color w:val="auto"/>
        </w:rPr>
        <w:t>Section 5.03(c)</w:t>
      </w:r>
      <w:r>
        <w:rPr>
          <w:rFonts w:ascii="Times New Roman" w:cs="Times New Roman" w:eastAsia="Times New Roman" w:hAnsi="Times New Roman"/>
          <w:sz w:val="18"/>
          <w:szCs w:val="18"/>
          <w:color w:val="auto"/>
        </w:rPr>
        <w:t>” with a reference to “</w:t>
      </w:r>
      <w:r>
        <w:rPr>
          <w:rFonts w:ascii="Times New Roman" w:cs="Times New Roman" w:eastAsia="Times New Roman" w:hAnsi="Times New Roman"/>
          <w:sz w:val="18"/>
          <w:szCs w:val="18"/>
          <w:u w:val="single" w:color="auto"/>
          <w:color w:val="auto"/>
        </w:rPr>
        <w:t>Section 5.03(b)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right="40" w:firstLine="4"/>
        <w:spacing w:after="0" w:line="282" w:lineRule="auto"/>
        <w:tabs>
          <w:tab w:leader="none" w:pos="20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“Irish Redemption Equity Interests” set forth in Section 9.02 of the Agreement is hereby amended by adding the parenthetical “(including any preference shares)” immediately after the words “equity interests”.</w:t>
      </w:r>
    </w:p>
    <w:p>
      <w:pPr>
        <w:spacing w:after="0" w:line="161"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222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“Transaction Documents” set forth in Section 9.02 of the Agreement is hereby amended replacing the reference to “Equity Financing Letter” with a reference to “Amended Equity Financing Letters”.</w:t>
      </w:r>
    </w:p>
    <w:p>
      <w:pPr>
        <w:spacing w:after="0" w:line="161"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20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“Transfer Taxes” set forth in Section 9.02 of the Agreement is hereby amended by adding the parenthetical “(other than VAT)” immediately after the word “Taxes” at the end of the sentence thereof.</w:t>
      </w:r>
    </w:p>
    <w:p>
      <w:pPr>
        <w:spacing w:after="0" w:line="161"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207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9.02 of the Agreement is hereby amended by deleting the following definitions: “Closing Base Cash Consideration”, “Estimated Closing Cash Consideration”, “Final Closing Cash Consideration” and “TSA Management Committee”.</w:t>
      </w:r>
    </w:p>
    <w:p>
      <w:pPr>
        <w:spacing w:after="0" w:line="161"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9.03 of the Agreement is hereby amended and restated in its entirety as follows:</w:t>
      </w:r>
    </w:p>
    <w:p>
      <w:pPr>
        <w:spacing w:after="0" w:line="225" w:lineRule="exact"/>
        <w:rPr>
          <w:sz w:val="20"/>
          <w:szCs w:val="20"/>
          <w:color w:val="auto"/>
        </w:rPr>
      </w:pPr>
    </w:p>
    <w:p>
      <w:pPr>
        <w:ind w:left="1960"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Definition</w:t>
      </w:r>
      <w:r>
        <w:rPr>
          <w:rFonts w:ascii="Times New Roman" w:cs="Times New Roman" w:eastAsia="Times New Roman" w:hAnsi="Times New Roman"/>
          <w:sz w:val="18"/>
          <w:szCs w:val="18"/>
          <w:color w:val="auto"/>
        </w:rPr>
        <w:t>. For purposes of this Agreement, the terms listed below have the meanings ascribed to them in the respective sections of this Agreement set forth below.</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396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r>
      <w:tr>
        <w:trPr>
          <w:trHeight w:val="250"/>
        </w:trPr>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Accessed Party</w:t>
            </w:r>
          </w:p>
        </w:tc>
        <w:tc>
          <w:tcPr>
            <w:tcW w:w="3960" w:type="dxa"/>
            <w:vAlign w:val="bottom"/>
            <w:tcBorders>
              <w:bottom w:val="single" w:sz="8" w:color="auto"/>
              <w:right w:val="single" w:sz="8" w:color="auto"/>
            </w:tcBorders>
          </w:tcPr>
          <w:p>
            <w:pPr>
              <w:spacing w:after="0"/>
              <w:rPr>
                <w:sz w:val="21"/>
                <w:szCs w:val="21"/>
                <w:color w:val="auto"/>
              </w:rPr>
            </w:pPr>
          </w:p>
        </w:tc>
        <w:tc>
          <w:tcPr>
            <w:tcW w:w="3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Section 4.03(a)</w:t>
            </w:r>
          </w:p>
        </w:tc>
      </w:tr>
      <w:tr>
        <w:trPr>
          <w:trHeight w:val="250"/>
        </w:trPr>
        <w:tc>
          <w:tcPr>
            <w:tcW w:w="4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Accessing Party</w:t>
            </w:r>
          </w:p>
        </w:tc>
        <w:tc>
          <w:tcPr>
            <w:tcW w:w="3960" w:type="dxa"/>
            <w:vAlign w:val="bottom"/>
            <w:tcBorders>
              <w:bottom w:val="single" w:sz="8" w:color="auto"/>
              <w:right w:val="single" w:sz="8" w:color="auto"/>
            </w:tcBorders>
          </w:tcPr>
          <w:p>
            <w:pPr>
              <w:spacing w:after="0"/>
              <w:rPr>
                <w:sz w:val="21"/>
                <w:szCs w:val="21"/>
                <w:color w:val="auto"/>
              </w:rPr>
            </w:pP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4.03(a)</w:t>
            </w:r>
          </w:p>
        </w:tc>
      </w:tr>
      <w:tr>
        <w:trPr>
          <w:trHeight w:val="250"/>
        </w:trPr>
        <w:tc>
          <w:tcPr>
            <w:tcW w:w="4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Acquired Companies</w:t>
            </w:r>
          </w:p>
        </w:tc>
        <w:tc>
          <w:tcPr>
            <w:tcW w:w="3960" w:type="dxa"/>
            <w:vAlign w:val="bottom"/>
            <w:tcBorders>
              <w:bottom w:val="single" w:sz="8" w:color="auto"/>
              <w:right w:val="single" w:sz="8" w:color="auto"/>
            </w:tcBorders>
          </w:tcPr>
          <w:p>
            <w:pPr>
              <w:spacing w:after="0"/>
              <w:rPr>
                <w:sz w:val="21"/>
                <w:szCs w:val="21"/>
                <w:color w:val="auto"/>
              </w:rPr>
            </w:pP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4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Acquisition</w:t>
            </w:r>
          </w:p>
        </w:tc>
        <w:tc>
          <w:tcPr>
            <w:tcW w:w="3960" w:type="dxa"/>
            <w:vAlign w:val="bottom"/>
            <w:tcBorders>
              <w:bottom w:val="single" w:sz="8" w:color="auto"/>
              <w:right w:val="single" w:sz="8" w:color="auto"/>
            </w:tcBorders>
          </w:tcPr>
          <w:p>
            <w:pPr>
              <w:spacing w:after="0"/>
              <w:rPr>
                <w:sz w:val="21"/>
                <w:szCs w:val="21"/>
                <w:color w:val="auto"/>
              </w:rPr>
            </w:pP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1.02(c)</w:t>
            </w:r>
          </w:p>
        </w:tc>
      </w:tr>
      <w:tr>
        <w:trPr>
          <w:trHeight w:val="250"/>
        </w:trPr>
        <w:tc>
          <w:tcPr>
            <w:tcW w:w="4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Acquisition Engagement</w:t>
            </w:r>
          </w:p>
        </w:tc>
        <w:tc>
          <w:tcPr>
            <w:tcW w:w="3960" w:type="dxa"/>
            <w:vAlign w:val="bottom"/>
            <w:tcBorders>
              <w:bottom w:val="single" w:sz="8" w:color="auto"/>
              <w:right w:val="single" w:sz="8" w:color="auto"/>
            </w:tcBorders>
          </w:tcPr>
          <w:p>
            <w:pPr>
              <w:spacing w:after="0"/>
              <w:rPr>
                <w:sz w:val="21"/>
                <w:szCs w:val="21"/>
                <w:color w:val="auto"/>
              </w:rPr>
            </w:pP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9.16(a)</w:t>
            </w:r>
          </w:p>
        </w:tc>
      </w:tr>
      <w:tr>
        <w:trPr>
          <w:trHeight w:val="250"/>
        </w:trPr>
        <w:tc>
          <w:tcPr>
            <w:tcW w:w="4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Agreement</w:t>
            </w:r>
          </w:p>
        </w:tc>
        <w:tc>
          <w:tcPr>
            <w:tcW w:w="3960" w:type="dxa"/>
            <w:vAlign w:val="bottom"/>
            <w:tcBorders>
              <w:bottom w:val="single" w:sz="8" w:color="auto"/>
              <w:right w:val="single" w:sz="8" w:color="auto"/>
            </w:tcBorders>
          </w:tcPr>
          <w:p>
            <w:pPr>
              <w:spacing w:after="0"/>
              <w:rPr>
                <w:sz w:val="21"/>
                <w:szCs w:val="21"/>
                <w:color w:val="auto"/>
              </w:rPr>
            </w:pP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50"/>
        </w:trPr>
        <w:tc>
          <w:tcPr>
            <w:tcW w:w="4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Amended Equity Financing Letters</w:t>
            </w:r>
          </w:p>
        </w:tc>
        <w:tc>
          <w:tcPr>
            <w:tcW w:w="3960" w:type="dxa"/>
            <w:vAlign w:val="bottom"/>
            <w:tcBorders>
              <w:bottom w:val="single" w:sz="8" w:color="auto"/>
              <w:right w:val="single" w:sz="8" w:color="auto"/>
            </w:tcBorders>
          </w:tcPr>
          <w:p>
            <w:pPr>
              <w:spacing w:after="0"/>
              <w:rPr>
                <w:sz w:val="21"/>
                <w:szCs w:val="21"/>
                <w:color w:val="auto"/>
              </w:rPr>
            </w:pP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557"/>
        </w:trPr>
        <w:tc>
          <w:tcPr>
            <w:tcW w:w="4060" w:type="dxa"/>
            <w:vAlign w:val="bottom"/>
          </w:tcPr>
          <w:p>
            <w:pPr>
              <w:spacing w:after="0"/>
              <w:rPr>
                <w:sz w:val="24"/>
                <w:szCs w:val="24"/>
                <w:color w:val="auto"/>
              </w:rPr>
            </w:pPr>
          </w:p>
        </w:tc>
        <w:tc>
          <w:tcPr>
            <w:tcW w:w="3960" w:type="dxa"/>
            <w:vAlign w:val="bottom"/>
          </w:tcPr>
          <w:p>
            <w:pPr>
              <w:jc w:val="right"/>
              <w:ind w:right="2248"/>
              <w:spacing w:after="0"/>
              <w:rPr>
                <w:sz w:val="20"/>
                <w:szCs w:val="20"/>
                <w:color w:val="auto"/>
              </w:rPr>
            </w:pPr>
            <w:r>
              <w:rPr>
                <w:rFonts w:ascii="Times New Roman" w:cs="Times New Roman" w:eastAsia="Times New Roman" w:hAnsi="Times New Roman"/>
                <w:sz w:val="14"/>
                <w:szCs w:val="14"/>
                <w:color w:val="auto"/>
              </w:rPr>
              <w:t>16</w:t>
            </w:r>
          </w:p>
        </w:tc>
        <w:tc>
          <w:tcPr>
            <w:tcW w:w="3240" w:type="dxa"/>
            <w:vAlign w:val="bottom"/>
          </w:tcPr>
          <w:p>
            <w:pPr>
              <w:spacing w:after="0"/>
              <w:rPr>
                <w:sz w:val="24"/>
                <w:szCs w:val="24"/>
                <w:color w:val="auto"/>
              </w:rPr>
            </w:pPr>
          </w:p>
        </w:tc>
      </w:tr>
      <w:tr>
        <w:trPr>
          <w:trHeight w:val="44"/>
        </w:trPr>
        <w:tc>
          <w:tcPr>
            <w:tcW w:w="4060" w:type="dxa"/>
            <w:vAlign w:val="bottom"/>
            <w:tcBorders>
              <w:bottom w:val="single" w:sz="8" w:color="BFBFBF"/>
            </w:tcBorders>
          </w:tcPr>
          <w:p>
            <w:pPr>
              <w:spacing w:after="0"/>
              <w:rPr>
                <w:sz w:val="3"/>
                <w:szCs w:val="3"/>
                <w:color w:val="auto"/>
              </w:rPr>
            </w:pPr>
          </w:p>
        </w:tc>
        <w:tc>
          <w:tcPr>
            <w:tcW w:w="3960" w:type="dxa"/>
            <w:vAlign w:val="bottom"/>
            <w:tcBorders>
              <w:bottom w:val="single" w:sz="8" w:color="BFBFBF"/>
            </w:tcBorders>
          </w:tcPr>
          <w:p>
            <w:pPr>
              <w:spacing w:after="0"/>
              <w:rPr>
                <w:sz w:val="3"/>
                <w:szCs w:val="3"/>
                <w:color w:val="auto"/>
              </w:rPr>
            </w:pPr>
          </w:p>
        </w:tc>
        <w:tc>
          <w:tcPr>
            <w:tcW w:w="3240" w:type="dxa"/>
            <w:vAlign w:val="bottom"/>
            <w:tcBorders>
              <w:bottom w:val="single" w:sz="8" w:color="BFBFBF"/>
            </w:tcBorders>
          </w:tcPr>
          <w:p>
            <w:pPr>
              <w:spacing w:after="0"/>
              <w:rPr>
                <w:sz w:val="3"/>
                <w:szCs w:val="3"/>
                <w:color w:val="auto"/>
              </w:rPr>
            </w:pPr>
          </w:p>
        </w:tc>
      </w:tr>
    </w:tbl>
    <w:p>
      <w:pPr>
        <w:sectPr>
          <w:pgSz w:w="11900" w:h="16838" w:orient="portrait"/>
          <w:cols w:equalWidth="0" w:num="1">
            <w:col w:w="11260"/>
          </w:cols>
          <w:pgMar w:left="320" w:top="337" w:right="31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62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Announcement</w:t>
            </w:r>
          </w:p>
        </w:tc>
        <w:tc>
          <w:tcPr>
            <w:tcW w:w="3400" w:type="dxa"/>
            <w:vAlign w:val="bottom"/>
            <w:tcBorders>
              <w:top w:val="single" w:sz="8" w:color="auto"/>
              <w:bottom w:val="single" w:sz="8" w:color="auto"/>
              <w:right w:val="single" w:sz="8" w:color="auto"/>
            </w:tcBorders>
          </w:tcPr>
          <w:p>
            <w:pPr>
              <w:spacing w:after="0"/>
              <w:rPr>
                <w:sz w:val="24"/>
                <w:szCs w:val="24"/>
                <w:color w:val="auto"/>
              </w:rPr>
            </w:pPr>
          </w:p>
        </w:tc>
        <w:tc>
          <w:tcPr>
            <w:tcW w:w="32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b w:val="1"/>
                <w:bCs w:val="1"/>
                <w:color w:val="auto"/>
              </w:rPr>
              <w:t>5.05</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Anticipated Business Employees</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2.27(a)</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Assumed Indebtedness</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5.13(a)</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Benefits/Burdens Period</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1.09(b)</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Financial Information</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2.10(a)</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Financial Information Date</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2.10(b)</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Intellectual Property</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2.14(b)</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Interests</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Annex A</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Internal Reorganization</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b w:val="1"/>
                <w:bCs w:val="1"/>
                <w:color w:val="auto"/>
              </w:rPr>
              <w:t>5.03</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Key Customers</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b w:val="1"/>
                <w:bCs w:val="1"/>
                <w:color w:val="auto"/>
              </w:rPr>
              <w:t>2.17</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Key Suppliers</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b w:val="1"/>
                <w:bCs w:val="1"/>
                <w:color w:val="auto"/>
              </w:rPr>
              <w:t>2.17</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Material Contracts</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2.16(b)</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Registered Intellectual Property</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2.14(a)</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Transfer Documents</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b w:val="1"/>
                <w:bCs w:val="1"/>
                <w:color w:val="auto"/>
              </w:rPr>
              <w:t>5.21</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Buyer</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Buyer Acquisition Engagement</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9.17(a)</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Buyer Aggregate Cap</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8.04(b)(ii)</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Buyer Basket Amount</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8.04(b)(iv)</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Buyer Board</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Buyer Counsel</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9.17(a)</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Buyer De Minimis Amount</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8.04(b)(iv)</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Buyer Debt Amount</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6.03(f)</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Buyer General Cap</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8.04(b)(ii)</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Buyer Indemnitees</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b w:val="1"/>
                <w:bCs w:val="1"/>
                <w:color w:val="auto"/>
              </w:rPr>
              <w:t>8.02</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Buyer Intellectual Property</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3.12(b)</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Buyer Material Contracts</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3.14(b)</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Buyer Parent Amended Equity Financing Letter</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Buyer Parent Equity Financing Letter</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Buyer Parent Equity Financing Letter Amendment</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Claim</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8.04(a)</w:t>
            </w:r>
          </w:p>
        </w:tc>
      </w:tr>
      <w:tr>
        <w:trPr>
          <w:trHeight w:val="250"/>
        </w:trPr>
        <w:tc>
          <w:tcPr>
            <w:tcW w:w="4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Closing</w:t>
            </w:r>
          </w:p>
        </w:tc>
        <w:tc>
          <w:tcPr>
            <w:tcW w:w="340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b w:val="1"/>
                <w:bCs w:val="1"/>
                <w:color w:val="auto"/>
              </w:rPr>
              <w:t>1.01</w:t>
            </w:r>
          </w:p>
        </w:tc>
      </w:tr>
      <w:tr>
        <w:trPr>
          <w:trHeight w:val="557"/>
        </w:trPr>
        <w:tc>
          <w:tcPr>
            <w:tcW w:w="4620" w:type="dxa"/>
            <w:vAlign w:val="bottom"/>
          </w:tcPr>
          <w:p>
            <w:pPr>
              <w:spacing w:after="0"/>
              <w:rPr>
                <w:sz w:val="24"/>
                <w:szCs w:val="24"/>
                <w:color w:val="auto"/>
              </w:rPr>
            </w:pPr>
          </w:p>
        </w:tc>
        <w:tc>
          <w:tcPr>
            <w:tcW w:w="3400" w:type="dxa"/>
            <w:vAlign w:val="bottom"/>
          </w:tcPr>
          <w:p>
            <w:pPr>
              <w:jc w:val="right"/>
              <w:ind w:right="2248"/>
              <w:spacing w:after="0"/>
              <w:rPr>
                <w:sz w:val="20"/>
                <w:szCs w:val="20"/>
                <w:color w:val="auto"/>
              </w:rPr>
            </w:pPr>
            <w:r>
              <w:rPr>
                <w:rFonts w:ascii="Times New Roman" w:cs="Times New Roman" w:eastAsia="Times New Roman" w:hAnsi="Times New Roman"/>
                <w:sz w:val="14"/>
                <w:szCs w:val="14"/>
                <w:color w:val="auto"/>
              </w:rPr>
              <w:t>17</w:t>
            </w:r>
          </w:p>
        </w:tc>
        <w:tc>
          <w:tcPr>
            <w:tcW w:w="3220" w:type="dxa"/>
            <w:vAlign w:val="bottom"/>
          </w:tcPr>
          <w:p>
            <w:pPr>
              <w:spacing w:after="0"/>
              <w:rPr>
                <w:sz w:val="24"/>
                <w:szCs w:val="24"/>
                <w:color w:val="auto"/>
              </w:rPr>
            </w:pPr>
          </w:p>
        </w:tc>
      </w:tr>
      <w:tr>
        <w:trPr>
          <w:trHeight w:val="44"/>
        </w:trPr>
        <w:tc>
          <w:tcPr>
            <w:tcW w:w="4620" w:type="dxa"/>
            <w:vAlign w:val="bottom"/>
            <w:tcBorders>
              <w:bottom w:val="single" w:sz="8" w:color="BFBFBF"/>
            </w:tcBorders>
          </w:tcPr>
          <w:p>
            <w:pPr>
              <w:spacing w:after="0"/>
              <w:rPr>
                <w:sz w:val="3"/>
                <w:szCs w:val="3"/>
                <w:color w:val="auto"/>
              </w:rPr>
            </w:pPr>
          </w:p>
        </w:tc>
        <w:tc>
          <w:tcPr>
            <w:tcW w:w="3400" w:type="dxa"/>
            <w:vAlign w:val="bottom"/>
            <w:tcBorders>
              <w:bottom w:val="single" w:sz="8" w:color="BFBFBF"/>
            </w:tcBorders>
          </w:tcPr>
          <w:p>
            <w:pPr>
              <w:spacing w:after="0"/>
              <w:rPr>
                <w:sz w:val="3"/>
                <w:szCs w:val="3"/>
                <w:color w:val="auto"/>
              </w:rPr>
            </w:pPr>
          </w:p>
        </w:tc>
        <w:tc>
          <w:tcPr>
            <w:tcW w:w="3220" w:type="dxa"/>
            <w:vAlign w:val="bottom"/>
            <w:tcBorders>
              <w:bottom w:val="single" w:sz="8" w:color="BFBFBF"/>
            </w:tcBorders>
          </w:tcPr>
          <w:p>
            <w:pPr>
              <w:spacing w:after="0"/>
              <w:rPr>
                <w:sz w:val="3"/>
                <w:szCs w:val="3"/>
                <w:color w:val="auto"/>
              </w:rPr>
            </w:pPr>
          </w:p>
        </w:tc>
      </w:tr>
    </w:tbl>
    <w:p>
      <w:pPr>
        <w:sectPr>
          <w:pgSz w:w="11900" w:h="16838" w:orient="portrait"/>
          <w:cols w:equalWidth="0" w:num="1">
            <w:col w:w="11240"/>
          </w:cols>
          <w:pgMar w:left="320" w:top="336" w:right="33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74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Closing Date</w:t>
            </w:r>
          </w:p>
        </w:tc>
        <w:tc>
          <w:tcPr>
            <w:tcW w:w="3280" w:type="dxa"/>
            <w:vAlign w:val="bottom"/>
            <w:tcBorders>
              <w:top w:val="single" w:sz="8" w:color="auto"/>
              <w:bottom w:val="single" w:sz="8" w:color="auto"/>
              <w:right w:val="single" w:sz="8" w:color="auto"/>
            </w:tcBorders>
          </w:tcPr>
          <w:p>
            <w:pPr>
              <w:spacing w:after="0"/>
              <w:rPr>
                <w:sz w:val="24"/>
                <w:szCs w:val="24"/>
                <w:color w:val="auto"/>
              </w:rPr>
            </w:pPr>
          </w:p>
        </w:tc>
        <w:tc>
          <w:tcPr>
            <w:tcW w:w="32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b w:val="1"/>
                <w:bCs w:val="1"/>
                <w:color w:val="auto"/>
              </w:rPr>
              <w:t>1.01</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Closing Statement</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1.06(b)</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Confidentiality Agreement</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4.03(c)</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Credit Support Items</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b w:val="1"/>
                <w:bCs w:val="1"/>
                <w:color w:val="auto"/>
              </w:rPr>
              <w:t>5.15</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Debt Financing</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5.13(a)</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Debt Financing Agreements</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9.19</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Dedicated Business Employees</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4.03(d)</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Delayed Transfer Company</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1.09(d)</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 Claim</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b w:val="1"/>
                <w:bCs w:val="1"/>
                <w:color w:val="auto"/>
              </w:rPr>
              <w:t>8.06</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Disclosing Party</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5.04(b)</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DPA</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b w:val="1"/>
                <w:bCs w:val="1"/>
                <w:color w:val="auto"/>
              </w:rPr>
              <w:t>2.20</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Enforceability Exceptions</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2.02(a)</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Equity Financing Letters</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Estimated Assumed Indebtedness Amount</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1.06(a)</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Estimated Closing Collaboration Adjustment Amount</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1.06(a)</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Estimated Working Capital Adjustment Amount</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1.06(a)</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Exclusion Right</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1.10(b)</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Exclusion Right Exercise Date</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1.10(b)</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Exclusivity Period</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b w:val="1"/>
                <w:bCs w:val="1"/>
                <w:color w:val="auto"/>
              </w:rPr>
              <w:t>5.01</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Existing Counsel</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9.16(a)</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FCPA</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2.19(a)</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Financing</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5.13(a)</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Foreign Antitrust Approvals</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5.02(a)(ii)</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Foreign Antitrust Laws</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2.07(b)</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Future Cash Payments</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1.05(b)</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HSR Act</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2.07(b)</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HSR Approval</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5.02(a)(i)</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ICC Rules</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9.13(a)</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Indemnified Party</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8.04(a)</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Indemnifying Party</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8.04(a)</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Independent Adjustment Expert</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1.06(c)</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Independent Valuation Expert</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5.02(e)(i)</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Information Security Reviews</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2.14(l)</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Intended Irish Tax Treatment</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5.06(a)(iii)</w:t>
            </w:r>
          </w:p>
        </w:tc>
      </w:tr>
      <w:tr>
        <w:trPr>
          <w:trHeight w:val="250"/>
        </w:trPr>
        <w:tc>
          <w:tcPr>
            <w:tcW w:w="47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Intended Tax Treatment</w:t>
            </w:r>
          </w:p>
        </w:tc>
        <w:tc>
          <w:tcPr>
            <w:tcW w:w="32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5.06(a)(iii)</w:t>
            </w:r>
          </w:p>
        </w:tc>
      </w:tr>
      <w:tr>
        <w:trPr>
          <w:trHeight w:val="557"/>
        </w:trPr>
        <w:tc>
          <w:tcPr>
            <w:tcW w:w="4740" w:type="dxa"/>
            <w:vAlign w:val="bottom"/>
          </w:tcPr>
          <w:p>
            <w:pPr>
              <w:spacing w:after="0"/>
              <w:rPr>
                <w:sz w:val="24"/>
                <w:szCs w:val="24"/>
                <w:color w:val="auto"/>
              </w:rPr>
            </w:pPr>
          </w:p>
        </w:tc>
        <w:tc>
          <w:tcPr>
            <w:tcW w:w="3280" w:type="dxa"/>
            <w:vAlign w:val="bottom"/>
          </w:tcPr>
          <w:p>
            <w:pPr>
              <w:jc w:val="right"/>
              <w:ind w:right="2248"/>
              <w:spacing w:after="0"/>
              <w:rPr>
                <w:sz w:val="20"/>
                <w:szCs w:val="20"/>
                <w:color w:val="auto"/>
              </w:rPr>
            </w:pPr>
            <w:r>
              <w:rPr>
                <w:rFonts w:ascii="Times New Roman" w:cs="Times New Roman" w:eastAsia="Times New Roman" w:hAnsi="Times New Roman"/>
                <w:sz w:val="14"/>
                <w:szCs w:val="14"/>
                <w:color w:val="auto"/>
              </w:rPr>
              <w:t>18</w:t>
            </w:r>
          </w:p>
        </w:tc>
        <w:tc>
          <w:tcPr>
            <w:tcW w:w="3220" w:type="dxa"/>
            <w:vAlign w:val="bottom"/>
          </w:tcPr>
          <w:p>
            <w:pPr>
              <w:spacing w:after="0"/>
              <w:rPr>
                <w:sz w:val="24"/>
                <w:szCs w:val="24"/>
                <w:color w:val="auto"/>
              </w:rPr>
            </w:pPr>
          </w:p>
        </w:tc>
      </w:tr>
      <w:tr>
        <w:trPr>
          <w:trHeight w:val="44"/>
        </w:trPr>
        <w:tc>
          <w:tcPr>
            <w:tcW w:w="4740" w:type="dxa"/>
            <w:vAlign w:val="bottom"/>
            <w:tcBorders>
              <w:bottom w:val="single" w:sz="8" w:color="BFBFBF"/>
            </w:tcBorders>
          </w:tcPr>
          <w:p>
            <w:pPr>
              <w:spacing w:after="0"/>
              <w:rPr>
                <w:sz w:val="3"/>
                <w:szCs w:val="3"/>
                <w:color w:val="auto"/>
              </w:rPr>
            </w:pPr>
          </w:p>
        </w:tc>
        <w:tc>
          <w:tcPr>
            <w:tcW w:w="3280" w:type="dxa"/>
            <w:vAlign w:val="bottom"/>
            <w:tcBorders>
              <w:bottom w:val="single" w:sz="8" w:color="BFBFBF"/>
            </w:tcBorders>
          </w:tcPr>
          <w:p>
            <w:pPr>
              <w:spacing w:after="0"/>
              <w:rPr>
                <w:sz w:val="3"/>
                <w:szCs w:val="3"/>
                <w:color w:val="auto"/>
              </w:rPr>
            </w:pPr>
          </w:p>
        </w:tc>
        <w:tc>
          <w:tcPr>
            <w:tcW w:w="3220" w:type="dxa"/>
            <w:vAlign w:val="bottom"/>
            <w:tcBorders>
              <w:bottom w:val="single" w:sz="8" w:color="BFBFBF"/>
            </w:tcBorders>
          </w:tcPr>
          <w:p>
            <w:pPr>
              <w:spacing w:after="0"/>
              <w:rPr>
                <w:sz w:val="3"/>
                <w:szCs w:val="3"/>
                <w:color w:val="auto"/>
              </w:rPr>
            </w:pPr>
          </w:p>
        </w:tc>
      </w:tr>
    </w:tbl>
    <w:p>
      <w:pPr>
        <w:sectPr>
          <w:pgSz w:w="11900" w:h="16838" w:orient="portrait"/>
          <w:cols w:equalWidth="0" w:num="1">
            <w:col w:w="11240"/>
          </w:cols>
          <w:pgMar w:left="320" w:top="336" w:right="33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44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Intended U.S. Tax Treatment</w:t>
            </w:r>
          </w:p>
        </w:tc>
        <w:tc>
          <w:tcPr>
            <w:tcW w:w="3580" w:type="dxa"/>
            <w:vAlign w:val="bottom"/>
            <w:tcBorders>
              <w:top w:val="single" w:sz="8" w:color="auto"/>
              <w:bottom w:val="single" w:sz="8" w:color="auto"/>
              <w:right w:val="single" w:sz="8" w:color="auto"/>
            </w:tcBorders>
          </w:tcPr>
          <w:p>
            <w:pPr>
              <w:spacing w:after="0"/>
              <w:rPr>
                <w:sz w:val="24"/>
                <w:szCs w:val="24"/>
                <w:color w:val="auto"/>
              </w:rPr>
            </w:pPr>
          </w:p>
        </w:tc>
        <w:tc>
          <w:tcPr>
            <w:tcW w:w="32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5.06(a)(iii)</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Ireland Companies Act</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3.11(f)</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Irish Acquired Company</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Irish Acquisition</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1.02(c)</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Irish Future Cash Payment</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1.05(a)</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Irish Future Cash Payment Conditions</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1.05(a)</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Irish Redemption</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1.02(c)</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Irish Seller</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Irish Spin-Off</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Irish Subscription</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1.02(b)</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Labor Actions</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2.27(b)</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Law</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2.07(a)</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Legal Impediment</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1.09(b)</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Legal Impediment Delayed Asset/Liability</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1.09(b)</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Legal Impediment Delayed Assets/Liabilities</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1.09(b)</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Legal Impediment Delayed Transfer</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1.09(b)</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Legal Impediment Delayed Transfer Date</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1.09(b)</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Licensed Business IP Contracts</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2.14(c)</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Licensed Buyer IP Contracts</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3.12(c)</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Liens</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2.07(a)</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Mylan Ireland</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Notice of Disagreement</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1.06(c)</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Order</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2.07(a)</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Other Approvals</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5.02(a)(iii)</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Outside Date</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7.01(b)(i)</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Parties</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Regulatory Approvals</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5.02(a)(iii)</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Requesting Party</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5.04(b)</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Required Payments</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3.21(c)</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Restraints</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6.01(c)</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Retained Names Materials</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b w:val="1"/>
                <w:bCs w:val="1"/>
                <w:color w:val="auto"/>
              </w:rPr>
              <w:t>5.07</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Retained Records</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Annex A</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ROW Acquired Company</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ROW Acquisition</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1.02(a)</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ROW Future Cash Payment</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1.05(b)</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ROW Seller</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Seller Aggregate Cap</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8.04(b)(i)</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Seller Basket Amount</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8.04(b)(iii)</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Seller De Minimis Amount</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8.04(b)(iii)</w:t>
            </w:r>
          </w:p>
        </w:tc>
      </w:tr>
      <w:tr>
        <w:trPr>
          <w:trHeight w:val="250"/>
        </w:trPr>
        <w:tc>
          <w:tcPr>
            <w:tcW w:w="4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Seller General Cap</w:t>
            </w:r>
          </w:p>
        </w:tc>
        <w:tc>
          <w:tcPr>
            <w:tcW w:w="358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8.04(b)(i)</w:t>
            </w:r>
          </w:p>
        </w:tc>
      </w:tr>
      <w:tr>
        <w:trPr>
          <w:trHeight w:val="557"/>
        </w:trPr>
        <w:tc>
          <w:tcPr>
            <w:tcW w:w="4440" w:type="dxa"/>
            <w:vAlign w:val="bottom"/>
          </w:tcPr>
          <w:p>
            <w:pPr>
              <w:spacing w:after="0"/>
              <w:rPr>
                <w:sz w:val="24"/>
                <w:szCs w:val="24"/>
                <w:color w:val="auto"/>
              </w:rPr>
            </w:pPr>
          </w:p>
        </w:tc>
        <w:tc>
          <w:tcPr>
            <w:tcW w:w="3580" w:type="dxa"/>
            <w:vAlign w:val="bottom"/>
          </w:tcPr>
          <w:p>
            <w:pPr>
              <w:jc w:val="right"/>
              <w:ind w:right="2248"/>
              <w:spacing w:after="0"/>
              <w:rPr>
                <w:sz w:val="20"/>
                <w:szCs w:val="20"/>
                <w:color w:val="auto"/>
              </w:rPr>
            </w:pPr>
            <w:r>
              <w:rPr>
                <w:rFonts w:ascii="Times New Roman" w:cs="Times New Roman" w:eastAsia="Times New Roman" w:hAnsi="Times New Roman"/>
                <w:sz w:val="14"/>
                <w:szCs w:val="14"/>
                <w:color w:val="auto"/>
              </w:rPr>
              <w:t>19</w:t>
            </w:r>
          </w:p>
        </w:tc>
        <w:tc>
          <w:tcPr>
            <w:tcW w:w="3220" w:type="dxa"/>
            <w:vAlign w:val="bottom"/>
          </w:tcPr>
          <w:p>
            <w:pPr>
              <w:spacing w:after="0"/>
              <w:rPr>
                <w:sz w:val="24"/>
                <w:szCs w:val="24"/>
                <w:color w:val="auto"/>
              </w:rPr>
            </w:pPr>
          </w:p>
        </w:tc>
      </w:tr>
      <w:tr>
        <w:trPr>
          <w:trHeight w:val="44"/>
        </w:trPr>
        <w:tc>
          <w:tcPr>
            <w:tcW w:w="4440" w:type="dxa"/>
            <w:vAlign w:val="bottom"/>
            <w:tcBorders>
              <w:bottom w:val="single" w:sz="8" w:color="BFBFBF"/>
            </w:tcBorders>
          </w:tcPr>
          <w:p>
            <w:pPr>
              <w:spacing w:after="0"/>
              <w:rPr>
                <w:sz w:val="3"/>
                <w:szCs w:val="3"/>
                <w:color w:val="auto"/>
              </w:rPr>
            </w:pPr>
          </w:p>
        </w:tc>
        <w:tc>
          <w:tcPr>
            <w:tcW w:w="3580" w:type="dxa"/>
            <w:vAlign w:val="bottom"/>
            <w:tcBorders>
              <w:bottom w:val="single" w:sz="8" w:color="BFBFBF"/>
            </w:tcBorders>
          </w:tcPr>
          <w:p>
            <w:pPr>
              <w:spacing w:after="0"/>
              <w:rPr>
                <w:sz w:val="3"/>
                <w:szCs w:val="3"/>
                <w:color w:val="auto"/>
              </w:rPr>
            </w:pPr>
          </w:p>
        </w:tc>
        <w:tc>
          <w:tcPr>
            <w:tcW w:w="3220" w:type="dxa"/>
            <w:vAlign w:val="bottom"/>
            <w:tcBorders>
              <w:bottom w:val="single" w:sz="8" w:color="BFBFBF"/>
            </w:tcBorders>
          </w:tcPr>
          <w:p>
            <w:pPr>
              <w:spacing w:after="0"/>
              <w:rPr>
                <w:sz w:val="3"/>
                <w:szCs w:val="3"/>
                <w:color w:val="auto"/>
              </w:rPr>
            </w:pPr>
          </w:p>
        </w:tc>
      </w:tr>
    </w:tbl>
    <w:p>
      <w:pPr>
        <w:sectPr>
          <w:pgSz w:w="11900" w:h="16838" w:orient="portrait"/>
          <w:cols w:equalWidth="0" w:num="1">
            <w:col w:w="11240"/>
          </w:cols>
          <w:pgMar w:left="320" w:top="335" w:right="339" w:bottom="1440" w:gutter="0" w:footer="0" w:header="0"/>
        </w:sectPr>
      </w:pPr>
    </w:p>
    <w:bookmarkStart w:id="23" w:name="page24"/>
    <w:bookmarkEnd w:id="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80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Seller Indemnitees</w:t>
            </w:r>
          </w:p>
        </w:tc>
        <w:tc>
          <w:tcPr>
            <w:tcW w:w="32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b w:val="1"/>
                <w:bCs w:val="1"/>
                <w:color w:val="auto"/>
              </w:rPr>
              <w:t>8.03</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Seller Parent</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Seller Parent Board</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Seller Privileges</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9.16(b)</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Sellers</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Serum Amended Equity Financing Letter</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Serum Equity Financing Letter</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Serum Equity Financing Letter Amendment</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 Joinder</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Solvent</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3.21(d)</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Specified Assets</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1.10(b)(i)</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Specified Courts</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9.12(b)</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Specified Liabilities</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1.10(b)(ii)</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Specified Product</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1.10(b)(iii)</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Stock Rights</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2.03(c)</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Third Party Claim</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8.05(a)</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Transferred Business Records</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Annex A</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Transferred Contracts</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Annex A</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Transferred IP</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Annex A</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Transferred IP Licenses</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Annex A</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Transferred Labeling and Marketing Materials</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Annex A</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Transferred Organizational Records</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Annex A</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Transition Period</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b w:val="1"/>
                <w:bCs w:val="1"/>
                <w:color w:val="auto"/>
              </w:rPr>
              <w:t>5.07</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TSA Delayed Asset</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1.09(a)</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TSA Delayed Transfer</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1.09(a)</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TSA Delayed Transfer Date</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1.09(a)</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UKBA</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2.19(a)</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Underlying Buyer Common Stock</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3.03(b)</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Voting Debt</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2.03(c)</w:t>
            </w:r>
          </w:p>
        </w:tc>
      </w:tr>
      <w:tr>
        <w:trPr>
          <w:trHeight w:val="250"/>
        </w:trPr>
        <w:tc>
          <w:tcPr>
            <w:tcW w:w="8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Written Consent</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r>
    </w:tbl>
    <w:p>
      <w:pPr>
        <w:spacing w:after="0" w:line="200" w:lineRule="exact"/>
        <w:rPr>
          <w:sz w:val="20"/>
          <w:szCs w:val="20"/>
          <w:color w:val="auto"/>
        </w:rPr>
      </w:pPr>
    </w:p>
    <w:p>
      <w:pPr>
        <w:spacing w:after="0" w:line="214" w:lineRule="exact"/>
        <w:rPr>
          <w:sz w:val="20"/>
          <w:szCs w:val="20"/>
          <w:color w:val="auto"/>
        </w:rPr>
      </w:pPr>
    </w:p>
    <w:p>
      <w:pPr>
        <w:ind w:left="1300" w:firstLine="4"/>
        <w:spacing w:after="0" w:line="282" w:lineRule="auto"/>
        <w:tabs>
          <w:tab w:leader="none" w:pos="21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9.16 of the Agreement is hereby amended by adding the following words “and (iv) Slaughter and May” immediately after the words “Arthur Cox LLP” and replacing the word “and” immediately following the words “Saraf and Partners” with a comma.</w:t>
      </w:r>
    </w:p>
    <w:p>
      <w:pPr>
        <w:spacing w:after="0" w:line="161"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20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9.17 of the Agreement is hereby amended by adding the following words “and (iii) Matheson LLP” immediately after the words “Shardul Amarchand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4" w:name="page25"/>
    <w:bookmarkEnd w:id="24"/>
    <w:p>
      <w:pPr>
        <w:ind w:left="180"/>
        <w:spacing w:after="0"/>
        <w:rPr>
          <w:sz w:val="20"/>
          <w:szCs w:val="20"/>
          <w:color w:val="auto"/>
        </w:rPr>
      </w:pPr>
      <w:r>
        <w:rPr>
          <w:rFonts w:ascii="Times New Roman" w:cs="Times New Roman" w:eastAsia="Times New Roman" w:hAnsi="Times New Roman"/>
          <w:sz w:val="18"/>
          <w:szCs w:val="18"/>
          <w:color w:val="auto"/>
        </w:rPr>
        <w:t>Mangaldas &amp; Co” and replacing the word “and” immediately following the words Goodwin Procter (UK) LLP with a comma.</w:t>
      </w:r>
    </w:p>
    <w:p>
      <w:pPr>
        <w:spacing w:after="0" w:line="225" w:lineRule="exact"/>
        <w:rPr>
          <w:sz w:val="20"/>
          <w:szCs w:val="20"/>
          <w:color w:val="auto"/>
        </w:rPr>
      </w:pPr>
    </w:p>
    <w:p>
      <w:pPr>
        <w:ind w:left="180" w:firstLine="4"/>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9.18 of the Agreement is hereby amended by replacing both parentheticals thereof with the following parenthetical “(including, at and following such time as they become Subsidiaries of Buyer, the Business Companies)”.</w:t>
      </w:r>
    </w:p>
    <w:p>
      <w:pPr>
        <w:spacing w:after="0" w:line="161" w:lineRule="exact"/>
        <w:rPr>
          <w:rFonts w:ascii="Times New Roman" w:cs="Times New Roman" w:eastAsia="Times New Roman" w:hAnsi="Times New Roman"/>
          <w:sz w:val="18"/>
          <w:szCs w:val="18"/>
          <w:color w:val="auto"/>
        </w:rPr>
      </w:pPr>
    </w:p>
    <w:p>
      <w:pPr>
        <w:ind w:left="860" w:hanging="676"/>
        <w:spacing w:after="0"/>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hereby amended by adding the following Section 9.19 as a new section immediately after Section 9.18:</w:t>
      </w:r>
    </w:p>
    <w:p>
      <w:pPr>
        <w:spacing w:after="0" w:line="225" w:lineRule="exact"/>
        <w:rPr>
          <w:sz w:val="20"/>
          <w:szCs w:val="20"/>
          <w:color w:val="auto"/>
        </w:rPr>
      </w:pPr>
    </w:p>
    <w:p>
      <w:pPr>
        <w:jc w:val="both"/>
        <w:ind w:left="840"/>
        <w:spacing w:after="0" w:line="251"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Debt Financing Sources</w:t>
      </w:r>
      <w:r>
        <w:rPr>
          <w:rFonts w:ascii="Times New Roman" w:cs="Times New Roman" w:eastAsia="Times New Roman" w:hAnsi="Times New Roman"/>
          <w:sz w:val="18"/>
          <w:szCs w:val="18"/>
          <w:color w:val="auto"/>
        </w:rPr>
        <w:t>. Notwithstanding anything in this Agreement to the contrary, each of the Parties on behalf of itself and each of their Affiliates hereby: (a) agrees that all Actions (whether in contract or in tort or otherwise) against the Debt Financing Sources arising out of or relating to this Agreement, the Debt Financing or the definitive agreements providing for the Debt Financing (collectively, the “</w:t>
      </w:r>
      <w:r>
        <w:rPr>
          <w:rFonts w:ascii="Times New Roman" w:cs="Times New Roman" w:eastAsia="Times New Roman" w:hAnsi="Times New Roman"/>
          <w:sz w:val="18"/>
          <w:szCs w:val="18"/>
          <w:u w:val="single" w:color="auto"/>
          <w:color w:val="auto"/>
        </w:rPr>
        <w:t>Debt Financing Agreements</w:t>
      </w:r>
      <w:r>
        <w:rPr>
          <w:rFonts w:ascii="Times New Roman" w:cs="Times New Roman" w:eastAsia="Times New Roman" w:hAnsi="Times New Roman"/>
          <w:sz w:val="18"/>
          <w:szCs w:val="18"/>
          <w:color w:val="auto"/>
        </w:rPr>
        <w:t xml:space="preserve">”) or any of the transactions contemplated hereby or thereby or the performance of any services thereunder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 except as otherwise provided in any Debt Financing Agreement; (b) agrees that it will not bring or support any Action (whether in contract or in tort or otherwise) against the Debt Financing Sources arising out of or relating to this Agreement, the Debt Financing, the Debt Financing Agreements or any of the transactions contemplated hereby or thereby or the performance of any services thereunder in any forum other than (i) the Supreme Court of the State of New York, County of New York, or, if under applicable Law exclusive jurisdiction is vested in the federal courts, the United States District Court for the Southern District of New York (and the appellate courts thereof), or (ii) as otherwise provided in any Debt Financing Agreement; (c) agrees that service of process delivered in accordance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shall be effective service of process against it for any such Action brought in any such court; (d) agrees to waive and hereby waives, to the fullest extent permitted by applicable Law, any objection which it may now or hereafter have to the laying of venue of, and the defense of an inconvenient forum to the maintenance of, any such Action in any such court; (e) waives any right to the fullest extent permitted by applicable law to trial by jury with respect to any such Action; (f) agrees that none of the Debt Financing Sources will have any liability to any of Seller Parent and its Affiliates (including, prior to the Closing, the Business Companies) or their respective directors, officers, employees, agents, partners, managers, advisors, members and stockholders, and none of Seller Parent or its Affiliates (excluding, following the Closing, the Business Companies and any other obligor and security provider under the Debt</w:t>
      </w:r>
    </w:p>
    <w:p>
      <w:pPr>
        <w:spacing w:after="0" w:line="37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5" w:name="page26"/>
    <w:bookmarkEnd w:id="25"/>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 xml:space="preserve">Financing Agreements) will have any liability to any of the Debt Financing Sources or their respective directors, officers, employees, agents, partners, managers, advisors, members and stockholders, in each case, relating to or arising out of this Agreement, the Debt Financing, the Debt Financing Agreements or any of the transactions contemplated hereby or thereby or the performance of any services thereunder, none of the Seller Parent and its Affiliates (including, prior to the Closing, the Business Companies) and their respective directors, officers, employees, agents, partners, managers, advisors, members and stockholders shall bring or support any Action (whether in contract or in tort or otherwise) against any of the Debt Financing Sources, and none of the Debt Financing Sources and their respective directors, officers, employees, agents, partners, managers, advisors, members and stockholders shall bring or support any Action (whether in contract or in tort or otherwise) against the Seller Parent or any of its Affiliates (excluding, following the Closing, the Business Companies and any other obligor and security provider under the Debt Financing Agreements), in each case, relating to or arising out of this Agreement, the Debt Financing, the Debt Financing Agreements or any of the transactions contemplated hereby or thereby or the performance of any services thereunder; and (g) agrees (x) that the Debt Financing Sources are express third party beneficiaries of, and may enforce, any of the provisions in this </w:t>
      </w:r>
      <w:r>
        <w:rPr>
          <w:rFonts w:ascii="Times New Roman" w:cs="Times New Roman" w:eastAsia="Times New Roman" w:hAnsi="Times New Roman"/>
          <w:sz w:val="18"/>
          <w:szCs w:val="18"/>
          <w:u w:val="single" w:color="auto"/>
          <w:color w:val="auto"/>
        </w:rPr>
        <w:t>Section 9.19</w:t>
      </w:r>
      <w:r>
        <w:rPr>
          <w:rFonts w:ascii="Times New Roman" w:cs="Times New Roman" w:eastAsia="Times New Roman" w:hAnsi="Times New Roman"/>
          <w:sz w:val="18"/>
          <w:szCs w:val="18"/>
          <w:color w:val="auto"/>
        </w:rPr>
        <w:t xml:space="preserve"> (or any of the defined terms used in this </w:t>
      </w:r>
      <w:r>
        <w:rPr>
          <w:rFonts w:ascii="Times New Roman" w:cs="Times New Roman" w:eastAsia="Times New Roman" w:hAnsi="Times New Roman"/>
          <w:sz w:val="18"/>
          <w:szCs w:val="18"/>
          <w:u w:val="single" w:color="auto"/>
          <w:color w:val="auto"/>
        </w:rPr>
        <w:t>Section 9.19</w:t>
      </w:r>
      <w:r>
        <w:rPr>
          <w:rFonts w:ascii="Times New Roman" w:cs="Times New Roman" w:eastAsia="Times New Roman" w:hAnsi="Times New Roman"/>
          <w:sz w:val="18"/>
          <w:szCs w:val="18"/>
          <w:color w:val="auto"/>
        </w:rPr>
        <w:t xml:space="preserve">) and (y) to the extent any amendments to any provision of this </w:t>
      </w:r>
      <w:r>
        <w:rPr>
          <w:rFonts w:ascii="Times New Roman" w:cs="Times New Roman" w:eastAsia="Times New Roman" w:hAnsi="Times New Roman"/>
          <w:sz w:val="18"/>
          <w:szCs w:val="18"/>
          <w:u w:val="single" w:color="auto"/>
          <w:color w:val="auto"/>
        </w:rPr>
        <w:t>Section 9.19</w:t>
      </w:r>
      <w:r>
        <w:rPr>
          <w:rFonts w:ascii="Times New Roman" w:cs="Times New Roman" w:eastAsia="Times New Roman" w:hAnsi="Times New Roman"/>
          <w:sz w:val="18"/>
          <w:szCs w:val="18"/>
          <w:color w:val="auto"/>
        </w:rPr>
        <w:t xml:space="preserve"> (or any of the defined terms used in this </w:t>
      </w:r>
      <w:r>
        <w:rPr>
          <w:rFonts w:ascii="Times New Roman" w:cs="Times New Roman" w:eastAsia="Times New Roman" w:hAnsi="Times New Roman"/>
          <w:sz w:val="18"/>
          <w:szCs w:val="18"/>
          <w:u w:val="single" w:color="auto"/>
          <w:color w:val="auto"/>
        </w:rPr>
        <w:t>Section 9.19</w:t>
      </w:r>
      <w:r>
        <w:rPr>
          <w:rFonts w:ascii="Times New Roman" w:cs="Times New Roman" w:eastAsia="Times New Roman" w:hAnsi="Times New Roman"/>
          <w:sz w:val="18"/>
          <w:szCs w:val="18"/>
          <w:color w:val="auto"/>
        </w:rPr>
        <w:t xml:space="preserve"> or any other provision of this Agreement to the extent a modification, waiver or termination of such defined term or provision would modify the substance of this </w:t>
      </w:r>
      <w:r>
        <w:rPr>
          <w:rFonts w:ascii="Times New Roman" w:cs="Times New Roman" w:eastAsia="Times New Roman" w:hAnsi="Times New Roman"/>
          <w:sz w:val="18"/>
          <w:szCs w:val="18"/>
          <w:u w:val="single" w:color="auto"/>
          <w:color w:val="auto"/>
        </w:rPr>
        <w:t>Section 9.19</w:t>
      </w:r>
      <w:r>
        <w:rPr>
          <w:rFonts w:ascii="Times New Roman" w:cs="Times New Roman" w:eastAsia="Times New Roman" w:hAnsi="Times New Roman"/>
          <w:sz w:val="18"/>
          <w:szCs w:val="18"/>
          <w:color w:val="auto"/>
        </w:rPr>
        <w:t xml:space="preserve"> or such defined terms) are adverse to the Debt Financing Sources, such provisions shall not be amended without the prior written consent of the Debt Financing Sources. Notwithstanding anything contained herein to the contrary, nothing in this </w:t>
      </w:r>
      <w:r>
        <w:rPr>
          <w:rFonts w:ascii="Times New Roman" w:cs="Times New Roman" w:eastAsia="Times New Roman" w:hAnsi="Times New Roman"/>
          <w:sz w:val="18"/>
          <w:szCs w:val="18"/>
          <w:u w:val="single" w:color="auto"/>
          <w:color w:val="auto"/>
        </w:rPr>
        <w:t>Section 9.19</w:t>
      </w:r>
      <w:r>
        <w:rPr>
          <w:rFonts w:ascii="Times New Roman" w:cs="Times New Roman" w:eastAsia="Times New Roman" w:hAnsi="Times New Roman"/>
          <w:sz w:val="18"/>
          <w:szCs w:val="18"/>
          <w:color w:val="auto"/>
        </w:rPr>
        <w:t xml:space="preserve"> shall in any way affect a party’s rights and remedies against the Debt Financing Sources or Buyer or its Affiliates under the Debt Financing Agreements to the extent they are a party thereto.”</w:t>
      </w:r>
    </w:p>
    <w:p>
      <w:pPr>
        <w:spacing w:after="0" w:line="191" w:lineRule="exact"/>
        <w:rPr>
          <w:sz w:val="20"/>
          <w:szCs w:val="20"/>
          <w:color w:val="auto"/>
        </w:rPr>
      </w:pPr>
    </w:p>
    <w:p>
      <w:pPr>
        <w:ind w:left="940" w:hanging="756"/>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(xi) on Annex B of the Agreement is hereby amended and restated in its entirety as follows:</w:t>
      </w:r>
    </w:p>
    <w:p>
      <w:pPr>
        <w:spacing w:after="0" w:line="225"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 xml:space="preserve">“(xi) </w:t>
      </w:r>
      <w:r>
        <w:rPr>
          <w:rFonts w:ascii="Times New Roman" w:cs="Times New Roman" w:eastAsia="Times New Roman" w:hAnsi="Times New Roman"/>
          <w:sz w:val="18"/>
          <w:szCs w:val="18"/>
          <w:u w:val="single" w:color="auto"/>
          <w:color w:val="auto"/>
        </w:rPr>
        <w:t>Closing Working Capital</w:t>
      </w:r>
      <w:r>
        <w:rPr>
          <w:rFonts w:ascii="Times New Roman" w:cs="Times New Roman" w:eastAsia="Times New Roman" w:hAnsi="Times New Roman"/>
          <w:sz w:val="18"/>
          <w:szCs w:val="18"/>
          <w:color w:val="auto"/>
        </w:rPr>
        <w:t>. In the event that the Closing Working Capital is a positive amount, current assets included in the Closing Working Capital up to a maximum amount equal to the lesser of (A) Closing Working Capital and (B) the Working Capital Target.”</w:t>
      </w:r>
    </w:p>
    <w:p>
      <w:pPr>
        <w:spacing w:after="0" w:line="176" w:lineRule="exact"/>
        <w:rPr>
          <w:sz w:val="20"/>
          <w:szCs w:val="20"/>
          <w:color w:val="auto"/>
        </w:rPr>
      </w:pPr>
    </w:p>
    <w:p>
      <w:pPr>
        <w:ind w:left="1040" w:hanging="856"/>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B of the Agreement is hereby amended by adding the following as a new clause (xiii) immediately after clause (xii)</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ind w:left="840"/>
        <w:spacing w:after="0" w:line="282" w:lineRule="auto"/>
        <w:rPr>
          <w:sz w:val="20"/>
          <w:szCs w:val="20"/>
          <w:color w:val="auto"/>
        </w:rPr>
      </w:pPr>
      <w:r>
        <w:rPr>
          <w:rFonts w:ascii="Times New Roman" w:cs="Times New Roman" w:eastAsia="Times New Roman" w:hAnsi="Times New Roman"/>
          <w:sz w:val="18"/>
          <w:szCs w:val="18"/>
          <w:color w:val="auto"/>
        </w:rPr>
        <w:t xml:space="preserve">“(xiii) </w:t>
      </w:r>
      <w:r>
        <w:rPr>
          <w:rFonts w:ascii="Times New Roman" w:cs="Times New Roman" w:eastAsia="Times New Roman" w:hAnsi="Times New Roman"/>
          <w:sz w:val="18"/>
          <w:szCs w:val="18"/>
          <w:u w:val="single" w:color="auto"/>
          <w:color w:val="auto"/>
        </w:rPr>
        <w:t>Insulin Actions</w:t>
      </w:r>
      <w:r>
        <w:rPr>
          <w:rFonts w:ascii="Times New Roman" w:cs="Times New Roman" w:eastAsia="Times New Roman" w:hAnsi="Times New Roman"/>
          <w:sz w:val="18"/>
          <w:szCs w:val="18"/>
          <w:color w:val="auto"/>
        </w:rPr>
        <w:t>. All Actions, claims and settlements (in each case, whether or not brought, asserted, in existence or pending, and including any</w:t>
      </w:r>
    </w:p>
    <w:p>
      <w:pPr>
        <w:spacing w:after="0" w:line="33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6" w:name="page27"/>
    <w:bookmarkEnd w:id="26"/>
    <w:p>
      <w:pPr>
        <w:jc w:val="both"/>
        <w:ind w:left="1304"/>
        <w:spacing w:after="0" w:line="261" w:lineRule="auto"/>
        <w:rPr>
          <w:sz w:val="20"/>
          <w:szCs w:val="20"/>
          <w:color w:val="auto"/>
        </w:rPr>
      </w:pPr>
      <w:r>
        <w:rPr>
          <w:rFonts w:ascii="Times New Roman" w:cs="Times New Roman" w:eastAsia="Times New Roman" w:hAnsi="Times New Roman"/>
          <w:sz w:val="18"/>
          <w:szCs w:val="18"/>
          <w:color w:val="auto"/>
        </w:rPr>
        <w:t>payment or rights accruing from such Actions, claims and settlements) that may be brought or asserted by Seller Parent, any of its Subsidiaries or the Business relating to the Commercialization, development or manufacturing of insulin glargine Products (collectively, the “Insulin Actions”), in each case, to the extent arising out of or relating to Seller Parent’s operation of the Business prior to the Closing.”</w:t>
      </w:r>
    </w:p>
    <w:p>
      <w:pPr>
        <w:spacing w:after="0" w:line="180" w:lineRule="exact"/>
        <w:rPr>
          <w:sz w:val="20"/>
          <w:szCs w:val="20"/>
          <w:color w:val="auto"/>
        </w:rPr>
      </w:pPr>
    </w:p>
    <w:p>
      <w:pPr>
        <w:ind w:left="1344" w:hanging="696"/>
        <w:spacing w:after="0"/>
        <w:tabs>
          <w:tab w:leader="none" w:pos="13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 A of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of the Agreement is hereby amended and restated in its entirety to be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1344" w:hanging="696"/>
        <w:spacing w:after="0"/>
        <w:tabs>
          <w:tab w:leader="none" w:pos="13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 B of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of the Agreement is hereby amended by replacing the word “procuring” with the words “to procure”.</w:t>
      </w:r>
    </w:p>
    <w:p>
      <w:pPr>
        <w:spacing w:after="0" w:line="225" w:lineRule="exact"/>
        <w:rPr>
          <w:rFonts w:ascii="Times New Roman" w:cs="Times New Roman" w:eastAsia="Times New Roman" w:hAnsi="Times New Roman"/>
          <w:sz w:val="18"/>
          <w:szCs w:val="18"/>
          <w:color w:val="auto"/>
        </w:rPr>
      </w:pPr>
    </w:p>
    <w:p>
      <w:pPr>
        <w:ind w:left="1344" w:hanging="696"/>
        <w:spacing w:after="0"/>
        <w:tabs>
          <w:tab w:leader="none" w:pos="13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of the Agreement is hereby amended and restated in its entirety to be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644" w:firstLine="4"/>
        <w:spacing w:after="0" w:line="282" w:lineRule="auto"/>
        <w:tabs>
          <w:tab w:leader="none" w:pos="147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 is hereby amended by adding </w:t>
      </w:r>
      <w:r>
        <w:rPr>
          <w:rFonts w:ascii="Times New Roman" w:cs="Times New Roman" w:eastAsia="Times New Roman" w:hAnsi="Times New Roman"/>
          <w:sz w:val="18"/>
          <w:szCs w:val="18"/>
          <w:u w:val="single" w:color="auto"/>
          <w:color w:val="auto"/>
        </w:rPr>
        <w:t>Exhibit 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I-D</w:t>
      </w:r>
      <w:r>
        <w:rPr>
          <w:rFonts w:ascii="Times New Roman" w:cs="Times New Roman" w:eastAsia="Times New Roman" w:hAnsi="Times New Roman"/>
          <w:sz w:val="18"/>
          <w:szCs w:val="18"/>
          <w:color w:val="auto"/>
        </w:rPr>
        <w:t xml:space="preserve"> as new exhibits to the Agreement in the form of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C-2</w:t>
      </w:r>
      <w:r>
        <w:rPr>
          <w:rFonts w:ascii="Times New Roman" w:cs="Times New Roman" w:eastAsia="Times New Roman" w:hAnsi="Times New Roman"/>
          <w:sz w:val="18"/>
          <w:szCs w:val="18"/>
          <w:color w:val="auto"/>
        </w:rPr>
        <w:t xml:space="preserve"> hereto, respectively.</w:t>
      </w:r>
    </w:p>
    <w:p>
      <w:pPr>
        <w:spacing w:after="0" w:line="161" w:lineRule="exact"/>
        <w:rPr>
          <w:rFonts w:ascii="Times New Roman" w:cs="Times New Roman" w:eastAsia="Times New Roman" w:hAnsi="Times New Roman"/>
          <w:sz w:val="18"/>
          <w:szCs w:val="18"/>
          <w:color w:val="auto"/>
        </w:rPr>
      </w:pPr>
    </w:p>
    <w:p>
      <w:pPr>
        <w:ind w:left="1384" w:hanging="736"/>
        <w:spacing w:after="0"/>
        <w:tabs>
          <w:tab w:leader="none" w:pos="138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III</w:t>
      </w:r>
      <w:r>
        <w:rPr>
          <w:rFonts w:ascii="Times New Roman" w:cs="Times New Roman" w:eastAsia="Times New Roman" w:hAnsi="Times New Roman"/>
          <w:sz w:val="18"/>
          <w:szCs w:val="18"/>
          <w:color w:val="auto"/>
        </w:rPr>
        <w:t xml:space="preserve"> is hereby amended and restated in its entirety to read “[RESERVED]”.</w:t>
      </w:r>
    </w:p>
    <w:p>
      <w:pPr>
        <w:spacing w:after="0" w:line="225" w:lineRule="exact"/>
        <w:rPr>
          <w:rFonts w:ascii="Times New Roman" w:cs="Times New Roman" w:eastAsia="Times New Roman" w:hAnsi="Times New Roman"/>
          <w:sz w:val="18"/>
          <w:szCs w:val="18"/>
          <w:color w:val="auto"/>
        </w:rPr>
      </w:pPr>
    </w:p>
    <w:p>
      <w:pPr>
        <w:ind w:left="1364" w:hanging="716"/>
        <w:spacing w:after="0"/>
        <w:tabs>
          <w:tab w:leader="none" w:pos="13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V</w:t>
      </w:r>
      <w:r>
        <w:rPr>
          <w:rFonts w:ascii="Times New Roman" w:cs="Times New Roman" w:eastAsia="Times New Roman" w:hAnsi="Times New Roman"/>
          <w:sz w:val="18"/>
          <w:szCs w:val="18"/>
          <w:color w:val="auto"/>
        </w:rPr>
        <w:t xml:space="preserve"> of the Agreement is hereby amended and restated in its entirety to be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1344" w:hanging="696"/>
        <w:spacing w:after="0"/>
        <w:tabs>
          <w:tab w:leader="none" w:pos="13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VI</w:t>
      </w:r>
      <w:r>
        <w:rPr>
          <w:rFonts w:ascii="Times New Roman" w:cs="Times New Roman" w:eastAsia="Times New Roman" w:hAnsi="Times New Roman"/>
          <w:sz w:val="18"/>
          <w:szCs w:val="18"/>
          <w:color w:val="auto"/>
        </w:rPr>
        <w:t xml:space="preserve"> of the Agreement is hereby amended and restated in its entirety to be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1344" w:hanging="696"/>
        <w:spacing w:after="0"/>
        <w:tabs>
          <w:tab w:leader="none" w:pos="13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VII</w:t>
      </w:r>
      <w:r>
        <w:rPr>
          <w:rFonts w:ascii="Times New Roman" w:cs="Times New Roman" w:eastAsia="Times New Roman" w:hAnsi="Times New Roman"/>
          <w:sz w:val="18"/>
          <w:szCs w:val="18"/>
          <w:color w:val="auto"/>
        </w:rPr>
        <w:t xml:space="preserve"> of the Agreement is hereby amended and restated in its entirety to be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1384" w:hanging="736"/>
        <w:spacing w:after="0"/>
        <w:tabs>
          <w:tab w:leader="none" w:pos="138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VIII</w:t>
      </w:r>
      <w:r>
        <w:rPr>
          <w:rFonts w:ascii="Times New Roman" w:cs="Times New Roman" w:eastAsia="Times New Roman" w:hAnsi="Times New Roman"/>
          <w:sz w:val="18"/>
          <w:szCs w:val="18"/>
          <w:color w:val="auto"/>
        </w:rPr>
        <w:t xml:space="preserve"> of the Agreement is hereby amended and restated in its entirety to be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1344" w:hanging="696"/>
        <w:spacing w:after="0"/>
        <w:tabs>
          <w:tab w:leader="none" w:pos="13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 is hereby amended by adding </w:t>
      </w:r>
      <w:r>
        <w:rPr>
          <w:rFonts w:ascii="Times New Roman" w:cs="Times New Roman" w:eastAsia="Times New Roman" w:hAnsi="Times New Roman"/>
          <w:sz w:val="18"/>
          <w:szCs w:val="18"/>
          <w:u w:val="single" w:color="auto"/>
          <w:color w:val="auto"/>
        </w:rPr>
        <w:t>Exhibit X</w:t>
      </w:r>
      <w:r>
        <w:rPr>
          <w:rFonts w:ascii="Times New Roman" w:cs="Times New Roman" w:eastAsia="Times New Roman" w:hAnsi="Times New Roman"/>
          <w:sz w:val="18"/>
          <w:szCs w:val="18"/>
          <w:color w:val="auto"/>
        </w:rPr>
        <w:t xml:space="preserve"> as a new exhibit to the Agreement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584" w:hanging="584"/>
        <w:spacing w:after="0"/>
        <w:tabs>
          <w:tab w:leader="none" w:pos="5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firstLine="4"/>
        <w:spacing w:after="0" w:line="261" w:lineRule="auto"/>
        <w:tabs>
          <w:tab w:leader="none" w:pos="126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this Amendment constitutes an instrument in writing on behalf of each of the Parties in accordance with Section 9.05 of the Agreement. For the avoidance of doubt, references to the date of the Agreement, and references to the “date hereof”, “the date of this Agreement” or words of similar meaning in the Agreement shall continue to refer to February 27, 2022.</w:t>
      </w:r>
    </w:p>
    <w:p>
      <w:pPr>
        <w:spacing w:after="0" w:line="351"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27" w:name="page28"/>
    <w:bookmarkEnd w:id="27"/>
    <w:p>
      <w:pPr>
        <w:jc w:val="both"/>
        <w:ind w:left="1300" w:firstLine="4"/>
        <w:spacing w:after="0" w:line="267" w:lineRule="auto"/>
        <w:tabs>
          <w:tab w:leader="none" w:pos="202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the Agreement: (i) Seller Parent and its Affiliates shall in no event be in breach of any covenant or agreement contained in the Agreement or any other Transaction Document, and the representations and warranties of Seller Parent and its Affiliates contained in the Agreement and the other Transaction Documents shall in no event be determined to be inaccurate, in each case, to the extent resulting from any of the amendments to the Agreement effected by this Amendment (other than, for the avoidance of doubt, (A) to the extent Seller Parent or any of its Affiliates do not perform their respective obligations under this Amendment and (B) to the extent changes are expressly made by this Amendment to provisions in the Transaction Documents (for example, the change to the Working Capital Target)); (ii) in no event shall the ROW Note be included in the Working Capital Adjustment Amount, the Assumed Indebtedness Amount, the Closing Collaboration Adjustment Amount or the Buyer Debt Amount (in each case, including any estimate thereof), or otherwise constitute Indebtedness of Seller Parent, Buyer or any of their respective Affiliates for purposes of the Agreement; (iii) in no event shall the ROW Note (or any accounts, balances, payables, receivables or Indebtedness thereunder) be considered Intercompany Accounts or Business Intercompany Contracts for purposes of the Agreement; (iv) in no event shall the equity interests in the ROW Acquired Company issued pursuant to the Buyer ROW Contribution be considered ROW Acquired Equity Interests for purposes of the Agreement; (v) Buyer and its Affiliates shall in no event be in breach of any covenant or agreement contained in the Agreement or any other Transaction Document, and the representations and warranties of Buyer and its Affiliates contained in the Agreement and the other Transaction Documents shall in no event be determined to be inaccurate, in each case, to the extent resulting from any of the amendments to the Agreement effected by this Amendment (other than, for the avoidance of doubt, to the extent Buyer or any of its Affiliates do not perform their respective obligations under this Amendment); and (vi) this Amendment constitutes (A) the consent of Seller Parent under the Transaction Documents to the Buyer Parent Equity Financing Letter Amendment and the Serum Equity Financing Letter Amendment and (B) the mutual agreement of the Parties that the Buyer Parent Equity Financing Letter Amendment and the Serum Equity Financing Letter Amendment will not prevent or impede the Intended Tax Treatment.</w:t>
      </w:r>
    </w:p>
    <w:p>
      <w:pPr>
        <w:spacing w:after="0" w:line="200" w:lineRule="exact"/>
        <w:rPr>
          <w:rFonts w:ascii="Times New Roman" w:cs="Times New Roman" w:eastAsia="Times New Roman" w:hAnsi="Times New Roman"/>
          <w:sz w:val="17"/>
          <w:szCs w:val="17"/>
          <w:color w:val="auto"/>
        </w:rPr>
      </w:pPr>
    </w:p>
    <w:p>
      <w:pPr>
        <w:spacing w:after="0" w:line="203" w:lineRule="exact"/>
        <w:rPr>
          <w:rFonts w:ascii="Times New Roman" w:cs="Times New Roman" w:eastAsia="Times New Roman" w:hAnsi="Times New Roman"/>
          <w:sz w:val="17"/>
          <w:szCs w:val="17"/>
          <w:color w:val="auto"/>
        </w:rPr>
      </w:pPr>
    </w:p>
    <w:p>
      <w:pPr>
        <w:jc w:val="both"/>
        <w:ind w:firstLine="656"/>
        <w:spacing w:after="0" w:line="266" w:lineRule="auto"/>
        <w:tabs>
          <w:tab w:leader="none" w:pos="128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Amendment</w:t>
      </w:r>
      <w:r>
        <w:rPr>
          <w:rFonts w:ascii="Times New Roman" w:cs="Times New Roman" w:eastAsia="Times New Roman" w:hAnsi="Times New Roman"/>
          <w:sz w:val="18"/>
          <w:szCs w:val="18"/>
          <w:color w:val="auto"/>
        </w:rPr>
        <w:t>. Except as expressly set forth in paragraphs 1 and 2 above, this Amendment shall not be deemed to amend, waive, affect or otherwise alter any term or provision of the Agreement or the other Transaction Documents, and all terms and provisions of the Agreement and the other Transaction Documents shall continue in full force and effect.</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The provisions set forth in Sections 9.01 and 9.04 through 9.18 of the Agreement (as amended by this Amendment) shall apply 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and are incorporated by reference as if fully set forth herein.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t>IN WITNESS WHEREOF, the Parties have duly executed this Amendment, all as of the date first written above.</w:t>
      </w:r>
    </w:p>
    <w:p>
      <w:pPr>
        <w:spacing w:after="0" w:line="200" w:lineRule="exact"/>
        <w:rPr>
          <w:sz w:val="20"/>
          <w:szCs w:val="20"/>
          <w:color w:val="auto"/>
        </w:rPr>
      </w:pPr>
    </w:p>
    <w:p>
      <w:pPr>
        <w:spacing w:after="0" w:line="25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by /s/ Anil 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17145</wp:posOffset>
            </wp:positionV>
            <wp:extent cx="25114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Name:Anil Amin</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528955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37"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auto"/>
        </w:rPr>
        <w:t>IN WITNESS WHEREOF, the Parties have duly executed this Amendment, all as of the date first written above.</w:t>
      </w:r>
    </w:p>
    <w:p>
      <w:pPr>
        <w:spacing w:after="0" w:line="200" w:lineRule="exact"/>
        <w:rPr>
          <w:sz w:val="20"/>
          <w:szCs w:val="20"/>
          <w:color w:val="auto"/>
        </w:rPr>
      </w:pPr>
    </w:p>
    <w:p>
      <w:pPr>
        <w:spacing w:after="0" w:line="25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BIOCON BIOLOGICS LIMITED</w:t>
      </w:r>
    </w:p>
    <w:p>
      <w:pPr>
        <w:spacing w:after="0" w:line="2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by /s/ Chinappa 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17145</wp:posOffset>
            </wp:positionV>
            <wp:extent cx="25114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Name:Chinappa M.B.</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9479"/>
          </w:cols>
          <w:pgMar w:left="980" w:top="337" w:right="1440"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1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Viatris Completes Biosimilars Transaction with Biocon Biologics</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Receives a $2 Billion Cash Payment and $1 Billion of Convertible Preferred Equity Representing a Stake of at Least 12.9% (on a Fully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Diluted Basis) in Biocon Biologics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Marks the First in a Series of Expected Initiatives to Reshape and Rebase Viatris, Aimed at Setting it Up for Long-term Growth</w:t>
      </w:r>
    </w:p>
    <w:p>
      <w:pPr>
        <w:spacing w:after="0" w:line="196"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b w:val="1"/>
          <w:bCs w:val="1"/>
          <w:color w:val="auto"/>
        </w:rPr>
        <w:t xml:space="preserve">PITTSBURGH, Nov. 29, 2022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Viatris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VTRS) today announced that it has closed its transaction with Biocon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(“Biocon Biologics”), creating what Viatris expects to be a unique fully vertically integrated global biosimilars leader. Viatris and Biocon Biologics have entered a Transition Services Agreement (TSA) pursuant to which Viatris will provide commercialization and certain other transition services for an expected two-year period intended to ensure business continuity for patients, customers and colleagues. Upon the completion of the transition services, Biocon Biologics will assume responsibility of commercial, regulatory and other related services.</w:t>
      </w:r>
    </w:p>
    <w:p>
      <w:pPr>
        <w:spacing w:after="0" w:line="16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Viatris Executive Chairman </w:t>
      </w:r>
      <w:r>
        <w:rPr>
          <w:rFonts w:ascii="Arial" w:cs="Arial" w:eastAsia="Arial" w:hAnsi="Arial"/>
          <w:sz w:val="18"/>
          <w:szCs w:val="18"/>
          <w:b w:val="1"/>
          <w:bCs w:val="1"/>
          <w:u w:val="single" w:color="auto"/>
          <w:color w:val="0000FF"/>
        </w:rPr>
        <w:t>Robert J. Coury</w:t>
      </w:r>
      <w:r>
        <w:rPr>
          <w:rFonts w:ascii="Arial" w:cs="Arial" w:eastAsia="Arial" w:hAnsi="Arial"/>
          <w:sz w:val="18"/>
          <w:szCs w:val="18"/>
          <w:color w:val="auto"/>
        </w:rPr>
        <w:t xml:space="preserve"> said: “Today is a very exciting day in the continued evolution of Viatris. The closing today of the Biocon Biologics transaction represents the completion of the first in a series of achievements against the number of initiatives we laid out recently in our strategic update on Nov. 7 as part of our well-defined plan for Viatris. While we will continue to further execute against this plan, we also look forward as now a significant shareholder of Biocon Biologics to supporting Kiran Mazumdar-Shaw, Executive Chairperson of Biocon Limited and Biocon Biologics, and her team to optimize the value of Biocon Biologics.”</w:t>
      </w:r>
    </w:p>
    <w:p>
      <w:pPr>
        <w:spacing w:after="0" w:line="16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 xml:space="preserve">Viatris President </w:t>
      </w:r>
      <w:r>
        <w:rPr>
          <w:rFonts w:ascii="Arial" w:cs="Arial" w:eastAsia="Arial" w:hAnsi="Arial"/>
          <w:sz w:val="18"/>
          <w:szCs w:val="18"/>
          <w:b w:val="1"/>
          <w:bCs w:val="1"/>
          <w:u w:val="single" w:color="auto"/>
          <w:color w:val="0000FF"/>
        </w:rPr>
        <w:t>Rajiv Malik</w:t>
      </w:r>
      <w:r>
        <w:rPr>
          <w:rFonts w:ascii="Arial" w:cs="Arial" w:eastAsia="Arial" w:hAnsi="Arial"/>
          <w:sz w:val="18"/>
          <w:szCs w:val="18"/>
          <w:color w:val="auto"/>
        </w:rPr>
        <w:t xml:space="preserve"> said: “The closing of our biosimilars transaction with Biocon Biologics marks the next natural step in the evolution of our collaboration together. We are deeply committed to doing our part in helping Biocon Biologics succeed in the creation of what we believe will be a true global, vertically integrated biosimilars leader. As we look to Viatris’ future, we are also excited to focus our energy, resources and efforts on executing our own strategy of moving up the value chain and providing access to more complex and novel products.”</w:t>
      </w:r>
    </w:p>
    <w:p>
      <w:pPr>
        <w:spacing w:after="0" w:line="163"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Under the terms of the transaction agreement, Viatris received $3 billion in consideration in the form of a $2 billion cash payment and $1 billion of convertible preferred equity representing a stake of at least 12.9 % (on a fully diluted basis) in Biocon Biologics. Viatris also is entitled to $335 million of additional cash payments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Financial Impact of Completion of the Biosimilars Transaction</w:t>
      </w:r>
    </w:p>
    <w:p>
      <w:pPr>
        <w:spacing w:after="0" w:line="14"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As previously stated, the Company’s financial guidance ranges for total revenues, adjusted EBITDA and free cash flows for the year ending December 31, 2022, do not include the impact of the closing of the transaction with Biocon Biologics. The Company expects its reported results for the year ending December 31, 2022, to be impacted by the closing of the transaction as follows:</w:t>
      </w:r>
    </w:p>
    <w:p>
      <w:pPr>
        <w:spacing w:after="0" w:line="166" w:lineRule="exact"/>
        <w:rPr>
          <w:sz w:val="20"/>
          <w:szCs w:val="20"/>
          <w:color w:val="auto"/>
        </w:rPr>
      </w:pPr>
    </w:p>
    <w:p>
      <w:pPr>
        <w:ind w:left="660" w:right="300" w:hanging="328"/>
        <w:spacing w:after="0" w:line="270" w:lineRule="auto"/>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expects its reported total revenues and adjusted EBITDA for the year to be lower by approximately $80 million and $20 million, respectively.</w:t>
      </w:r>
    </w:p>
    <w:p>
      <w:pPr>
        <w:spacing w:after="0" w:line="140" w:lineRule="exact"/>
        <w:rPr>
          <w:rFonts w:ascii="Times New Roman" w:cs="Times New Roman" w:eastAsia="Times New Roman" w:hAnsi="Times New Roman"/>
          <w:sz w:val="18"/>
          <w:szCs w:val="18"/>
          <w:color w:val="auto"/>
        </w:rPr>
      </w:pPr>
    </w:p>
    <w:p>
      <w:pPr>
        <w:ind w:left="660" w:right="100" w:hanging="328"/>
        <w:spacing w:after="0" w:line="24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expects to report the $2 billion of cash proceeds, offset by the impact of certain deal related adjustments, as cash flows from investing activities. Additionally, the Company expects to incur approximately $400 million of certain deal related expenses, primarily taxes and associated transactions costs. As a result, the Company expects these deal related expenses to lead to lower reported cash flows from operating activities, and consequently free cash flow, for the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use the net divestiture cash from the biosimilars transaction to:</w:t>
      </w:r>
    </w:p>
    <w:p>
      <w:pPr>
        <w:ind w:left="700" w:hanging="328"/>
        <w:spacing w:after="0" w:line="234"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down additional short-term debt and accelerate its progress towards $6.5 billion of Phase 1 debt reduction</w:t>
      </w:r>
    </w:p>
    <w:p>
      <w:pPr>
        <w:ind w:left="700" w:hanging="328"/>
        <w:spacing w:after="0" w:line="234"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And, in combination with cash on hand, to:</w:t>
      </w:r>
    </w:p>
    <w:p>
      <w:pPr>
        <w:spacing w:after="0" w:line="1" w:lineRule="exact"/>
        <w:rPr>
          <w:sz w:val="20"/>
          <w:szCs w:val="20"/>
          <w:color w:val="auto"/>
        </w:rPr>
      </w:pPr>
    </w:p>
    <w:p>
      <w:pPr>
        <w:ind w:left="1340" w:right="60" w:hanging="320"/>
        <w:spacing w:after="0" w:line="234" w:lineRule="auto"/>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Fund the previously announced ophthalmology acquisitions totaling approximately $700 to $750 million, anticipated to close in the first quarter of 2023, and</w:t>
      </w:r>
    </w:p>
    <w:p>
      <w:pPr>
        <w:spacing w:after="0" w:line="1" w:lineRule="exact"/>
        <w:rPr>
          <w:rFonts w:ascii="Arial" w:cs="Arial" w:eastAsia="Arial" w:hAnsi="Arial"/>
          <w:sz w:val="18"/>
          <w:szCs w:val="18"/>
          <w:color w:val="auto"/>
        </w:rPr>
      </w:pPr>
    </w:p>
    <w:p>
      <w:pPr>
        <w:ind w:left="1340" w:hanging="320"/>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Begin to execute on the previously announced share buyback authorization in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Viatris</w:t>
      </w:r>
    </w:p>
    <w:p>
      <w:pPr>
        <w:spacing w:after="0" w:line="14" w:lineRule="exact"/>
        <w:rPr>
          <w:sz w:val="20"/>
          <w:szCs w:val="20"/>
          <w:color w:val="auto"/>
        </w:rPr>
      </w:pPr>
    </w:p>
    <w:p>
      <w:pPr>
        <w:spacing w:after="0" w:line="222" w:lineRule="auto"/>
        <w:rPr>
          <w:sz w:val="20"/>
          <w:szCs w:val="20"/>
          <w:color w:val="auto"/>
        </w:rPr>
      </w:pPr>
      <w:r>
        <w:rPr>
          <w:rFonts w:ascii="Arial" w:cs="Arial" w:eastAsia="Arial" w:hAnsi="Arial"/>
          <w:sz w:val="18"/>
          <w:szCs w:val="18"/>
          <w:u w:val="single" w:color="auto"/>
          <w:color w:val="0000FF"/>
        </w:rPr>
        <w:t>Viatris Inc.</w:t>
      </w:r>
      <w:r>
        <w:rPr>
          <w:rFonts w:ascii="Arial" w:cs="Arial" w:eastAsia="Arial" w:hAnsi="Arial"/>
          <w:sz w:val="18"/>
          <w:szCs w:val="18"/>
          <w:color w:val="0000FF"/>
        </w:rPr>
        <w:t xml:space="preserve"> </w:t>
      </w:r>
      <w:r>
        <w:rPr>
          <w:rFonts w:ascii="Arial" w:cs="Arial" w:eastAsia="Arial" w:hAnsi="Arial"/>
          <w:sz w:val="18"/>
          <w:szCs w:val="18"/>
          <w:color w:val="000000"/>
        </w:rPr>
        <w:t>(NASDAQ: VTRS) is a global healthcare company empowering people worldwide to live healthier at every stage of life. We</w:t>
      </w:r>
      <w:r>
        <w:rPr>
          <w:rFonts w:ascii="Arial" w:cs="Arial" w:eastAsia="Arial" w:hAnsi="Arial"/>
          <w:sz w:val="18"/>
          <w:szCs w:val="18"/>
          <w:color w:val="0000FF"/>
        </w:rPr>
        <w:t xml:space="preserve"> </w:t>
      </w:r>
      <w:r>
        <w:rPr>
          <w:rFonts w:ascii="Arial" w:cs="Arial" w:eastAsia="Arial" w:hAnsi="Arial"/>
          <w:sz w:val="18"/>
          <w:szCs w:val="18"/>
          <w:color w:val="000000"/>
        </w:rPr>
        <w:t>provide access to medicines, advance sustainable operations, develop innovative solutions and leverage our collective expertise to connect more people to more products and services through our one-of-a-kind Global Healthcare Gateway</w:t>
      </w:r>
      <w:r>
        <w:rPr>
          <w:rFonts w:ascii="Arial" w:cs="Arial" w:eastAsia="Arial" w:hAnsi="Arial"/>
          <w:sz w:val="29"/>
          <w:szCs w:val="29"/>
          <w:color w:val="000000"/>
          <w:vertAlign w:val="superscript"/>
        </w:rPr>
        <w:t>®</w:t>
      </w:r>
      <w:r>
        <w:rPr>
          <w:rFonts w:ascii="Arial" w:cs="Arial" w:eastAsia="Arial" w:hAnsi="Arial"/>
          <w:sz w:val="18"/>
          <w:szCs w:val="18"/>
          <w:color w:val="000000"/>
        </w:rPr>
        <w:t xml:space="preserve">.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non-communicable and infectious diseases, including globally recognized brands, complex generic and branded medicines, and a variety of over-the-counter consumer products. With approximately 37,000 colleagues globally, Viatris is headquartered in the U.S., with global centers in Pittsburgh, Shanghai and Hyderabad, India. Learn more at </w:t>
      </w:r>
      <w:r>
        <w:rPr>
          <w:rFonts w:ascii="Arial" w:cs="Arial" w:eastAsia="Arial" w:hAnsi="Arial"/>
          <w:sz w:val="18"/>
          <w:szCs w:val="18"/>
          <w:u w:val="single" w:color="auto"/>
          <w:color w:val="0000FF"/>
        </w:rPr>
        <w:t>viatris.com</w:t>
      </w:r>
      <w:r>
        <w:rPr>
          <w:rFonts w:ascii="Arial" w:cs="Arial" w:eastAsia="Arial" w:hAnsi="Arial"/>
          <w:sz w:val="18"/>
          <w:szCs w:val="18"/>
          <w:color w:val="000000"/>
        </w:rPr>
        <w:t xml:space="preserve"> and </w:t>
      </w:r>
      <w:r>
        <w:rPr>
          <w:rFonts w:ascii="Arial" w:cs="Arial" w:eastAsia="Arial" w:hAnsi="Arial"/>
          <w:sz w:val="18"/>
          <w:szCs w:val="18"/>
          <w:u w:val="single" w:color="auto"/>
          <w:color w:val="0000FF"/>
        </w:rPr>
        <w:t>investor.viatris.com</w:t>
      </w:r>
      <w:r>
        <w:rPr>
          <w:rFonts w:ascii="Arial" w:cs="Arial" w:eastAsia="Arial" w:hAnsi="Arial"/>
          <w:sz w:val="18"/>
          <w:szCs w:val="18"/>
          <w:color w:val="000000"/>
        </w:rPr>
        <w:t xml:space="preserve">, and connect with us on Twitter at </w:t>
      </w:r>
      <w:r>
        <w:rPr>
          <w:rFonts w:ascii="Arial" w:cs="Arial" w:eastAsia="Arial" w:hAnsi="Arial"/>
          <w:sz w:val="18"/>
          <w:szCs w:val="18"/>
          <w:u w:val="single" w:color="auto"/>
          <w:color w:val="0000FF"/>
        </w:rPr>
        <w:t>@ViatrisInc</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LinkedIn</w:t>
      </w:r>
      <w:r>
        <w:rPr>
          <w:rFonts w:ascii="Arial" w:cs="Arial" w:eastAsia="Arial" w:hAnsi="Arial"/>
          <w:sz w:val="18"/>
          <w:szCs w:val="18"/>
          <w:color w:val="000000"/>
        </w:rPr>
        <w:t xml:space="preserve"> and </w:t>
      </w:r>
      <w:r>
        <w:rPr>
          <w:rFonts w:ascii="Arial" w:cs="Arial" w:eastAsia="Arial" w:hAnsi="Arial"/>
          <w:sz w:val="18"/>
          <w:szCs w:val="18"/>
          <w:u w:val="single" w:color="auto"/>
          <w:color w:val="0000FF"/>
        </w:rPr>
        <w:t>YouTube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Forward-looking Statements</w:t>
      </w:r>
    </w:p>
    <w:p>
      <w:pPr>
        <w:spacing w:after="0" w:line="19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press release includes statements that constitute “forward-looking statements.” These statements are made pursuant to the safe harbor provisions of the Private Securities Litigation Reform Act of 1995. Such forward looking statements may include statements about transition services agreements; the closing today of the Biocon Biologics transaction represents the completion of the first in a series of achievements against the number of initiatives we laid out recently in our strategic update on Nov. 7 as part of our well-defined plan for Viatris; while we will continue to further execute against this plan, we also look forward as now a significant shareholder of Biocon Biologics to supporting Kiran Mazumdar-Shaw, Executive Chairperson of Biocon Limited and Biocon Biologics, and her team to optimize the value of Biocon Biologics; we are deeply committed to doing our part in helping Biocon Biologics succeed in the creation of what we believe will be a true global, vertically integrated biosimilars leader; as we look to Viatris’ future, we are also excited to focus our energy, resources and efforts on executing our own strategy of moving up the value chain and providing access to more complex and novel products; under the terms of the transaction agreement, Viatris received $3 billion in consideration in the form of a $2 billion cash payment and $1 billion of convertible preferred equity representing a stake of at least 12.9 % (on a fully diluted basis) in Biocon Biologics; Viatris is entitled to $ 335 million of additional cash payments in 2024; financial impact of completion of the Biosimilars Transaction; as previously stated, the Company’s financial guidance ranges for total revenues, adjusted EBITDA and free cash flows for the year ending December 31, 2022, do not include the impact of the closing of the transaction with Biocon Biologics; the Company expects its reported results for the year ending December 31, 2022, to be impacted by closing of the transaction as follows: the Company expects its reported total revenues and adjusted EBITDA for the year to be lower by approximately $80 million and $20 million, respectively and the Company expects to report the $2 billion of cash proceeds, offset by the impact of certain deal related adjustments, as cash flows from investing activities; the Company expects to incur approximately $400 million of certain deal related expenses, primarily taxes and associated transactions costs; as a result, the Company expects these deal related expenses to lead to lower reported cash flows from operating activities, and consequently free cash flow, for the year; expects to use the net divestiture cash from the biosimilars transaction to: pay down additional short-term debt and accelerate its progress towards $6.5 billion of Phase 1 debt reduction, and, in combination with cash on hand, to fund the previously announced ophthalmology acquisitions totaling approximately $700 to $750 million, anticipated to close in the first quarter of 2023, and begin to execute on the previously announced share buyback authorization in 2023. Factors that could cause or contribute to such differences include, but are not limited to: the potential impact of public health outbreaks, epidemics and pandemics, including the ongoing challenges and uncertainties posed by the COVID-19 pandemic; that the transaction between Viatris and Biocon Biologics Limited, pursuant to which Viatris contributed its biosimilar products and programs to Biocon Biologics in exchange for cash consideration and a convertible preferred equity interest in Biocon Biologics (the “Biocon Biologics Transaction”) and other strategic initiatives, including potential divestitures, may not achieve their intended benefits; the integration of Mylan N.V. and Pfizer Inc.’s Upjohn business (the “Upjohn Business”), which combined to form Viatris (the “Combination”) and the implementation of our global restructuring initiatives being more difficult, time consuming or costly than expected, or being unsuccessful; the ability to achieve expected benefits, synergies, and operating efficiencies in connection with the Combination or its restructuring initiatives within the expected timeframe or at all; actions and decisions of healthcare and pharmaceutical regulators; changes in healthcare and pharmaceutical laws and regulations in the U.S. and abroad; any regulatory, legal or other impediments to Viatris’ ability to bring new products to market, including but not limited to “at-risk” launches; Viatris’ or its partners’ ability to develop, manufacture, and commercialize products; the scope, timing and outcome of any ongoing legal proceedings, and the impact of any such proceedings; any significant breach of data security or data privacy or disruptions to our information technology systems; risks associated with international operations; the ability to protect intellectual property and preserve intellectual property rights; changes in third-party relationships; the effect of any changes in Viatris’ or its partners’ customer and supplier relationships and customer purchasing patterns; the impacts of competition; changes in the economic and financial conditions of Viatris or its partners; uncertainties and matters beyond the control of management; and the other risks described in Viatris’ filings with the Securities and Exchange Commission (SEC). Viatris routinely uses its website as a means of disclosing material information to the public in a broad, non-exclusionary manner for purposes of the SEC’s Regulation Fair Disclosure (Reg FD). Viatris undertakes no obligation to update these statements for revisions or changes after the date of this release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Non-GAAP Financial Measures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includes the presentation and discussion of certain financial information that differs from what is reported under accounting principles generally accepted in the United States (“U.S. GAAP”). These non-GAAP financial measures, including adjusted EBITDA and free cash flow, are presented in order to supplement investors’ and other readers’ understanding and assessment of the financial performance of Viatris. Free cash flow refers to U.S. GAAP net cash provided by operating activities, less capital expenditures. For the third quarter of 2022, Viatris calculated adjusted EBITDA as U.S. GAAP net earnings (loss) adjusted for income tax provision (benefit), interest expense and depreciation and amortization (to get to EBITDA) and further adjusted for share-based compensation expense, litigation settlements and other contingencies, net and restructuring, acquisition related and other special items.</w:t>
      </w:r>
    </w:p>
    <w:p>
      <w:pPr>
        <w:spacing w:after="0" w:line="171" w:lineRule="exact"/>
        <w:rPr>
          <w:sz w:val="20"/>
          <w:szCs w:val="20"/>
          <w:color w:val="auto"/>
        </w:rPr>
      </w:pPr>
    </w:p>
    <w:p>
      <w:pPr>
        <w:ind w:right="620"/>
        <w:spacing w:after="0" w:line="241" w:lineRule="auto"/>
        <w:rPr>
          <w:sz w:val="20"/>
          <w:szCs w:val="20"/>
          <w:color w:val="auto"/>
        </w:rPr>
      </w:pPr>
      <w:r>
        <w:rPr>
          <w:rFonts w:ascii="Arial" w:cs="Arial" w:eastAsia="Arial" w:hAnsi="Arial"/>
          <w:sz w:val="18"/>
          <w:szCs w:val="18"/>
          <w:color w:val="auto"/>
        </w:rPr>
        <w:t>Viatris has provided reconciliations of historical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in this release on our website</w:t>
      </w:r>
    </w:p>
    <w:p>
      <w:pPr>
        <w:spacing w:after="0" w:line="237" w:lineRule="auto"/>
        <w:rPr>
          <w:sz w:val="20"/>
          <w:szCs w:val="20"/>
          <w:color w:val="auto"/>
        </w:rPr>
      </w:pPr>
      <w:r>
        <w:rPr>
          <w:rFonts w:ascii="Arial" w:cs="Arial" w:eastAsia="Arial" w:hAnsi="Arial"/>
          <w:sz w:val="18"/>
          <w:szCs w:val="18"/>
          <w:color w:val="auto"/>
        </w:rPr>
        <w:t>at https://investor.viatris.com/financial-information/non-gaap-reconciliations, and investors and other readers should consider non-</w:t>
      </w:r>
    </w:p>
    <w:p>
      <w:pPr>
        <w:ind w:right="120"/>
        <w:spacing w:after="0" w:line="250" w:lineRule="auto"/>
        <w:rPr>
          <w:sz w:val="20"/>
          <w:szCs w:val="20"/>
          <w:color w:val="auto"/>
        </w:rPr>
      </w:pPr>
      <w:r>
        <w:rPr>
          <w:rFonts w:ascii="Arial" w:cs="Arial" w:eastAsia="Arial" w:hAnsi="Arial"/>
          <w:sz w:val="18"/>
          <w:szCs w:val="18"/>
          <w:color w:val="auto"/>
        </w:rPr>
        <w:t>GAAP measures only as supplements to, not as substitutes for or as superior measures to, the measures of financial performance prepared in accordance with U.S. GAAP.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With regard to the completion of the biosimilars transaction, Viatris is not providing forward-looking disclosures for the expected impact on the most directly comparable U.S. GAAP measure, net earnings (loss), or a quantitative reconciliation of the expected impact on adjusted EBITDA to a projected impact on U.S. GAAP net earnings (loss) because it is unable to predict with reasonable certainty the ultimate outcome of certain significant items, including integration and acquisition-related expenses, restructuring expenses, asset impairments, litigation settlements and other contingencies, such as changes to contingent consideration and certain other gains or losses,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4" w:lineRule="auto"/>
        <w:rPr>
          <w:sz w:val="20"/>
          <w:szCs w:val="20"/>
          <w:color w:val="auto"/>
        </w:rPr>
      </w:pPr>
      <w:r>
        <w:rPr>
          <w:rFonts w:ascii="Arial" w:cs="Arial" w:eastAsia="Arial" w:hAnsi="Arial"/>
          <w:sz w:val="18"/>
          <w:szCs w:val="18"/>
          <w:color w:val="auto"/>
        </w:rPr>
        <w:t>+1.724.514.1968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Communications@viatris.com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Jennifer Mauer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Jennifer.Mauer@viatris.com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Matt Klein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Matthew.Klein@viatris.com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+1.724.514.1813</w:t>
      </w:r>
    </w:p>
    <w:p>
      <w:pPr>
        <w:spacing w:after="0"/>
        <w:rPr>
          <w:sz w:val="20"/>
          <w:szCs w:val="20"/>
          <w:color w:val="auto"/>
        </w:rPr>
      </w:pPr>
      <w:r>
        <w:rPr>
          <w:rFonts w:ascii="Arial" w:cs="Arial" w:eastAsia="Arial" w:hAnsi="Arial"/>
          <w:sz w:val="18"/>
          <w:szCs w:val="18"/>
          <w:u w:val="single" w:color="auto"/>
          <w:color w:val="0000FF"/>
        </w:rPr>
        <w:t>InvestorRelations@viatris.com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Bill Szablewski</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William.Szablewski@viatris.com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lowerLetter"/>
      <w:start w:val="3"/>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lvl w:ilvl="1">
      <w:lvlJc w:val="left"/>
      <w:lvlText w:val="(%2)"/>
      <w:numFmt w:val="lowerLetter"/>
      <w:start w:val="1"/>
    </w:lvl>
  </w:abstractNum>
  <w:abstractNum w:abstractNumId="4">
    <w:nsid w:val="333AB105"/>
    <w:multiLevelType w:val="hybridMultilevel"/>
    <w:lvl w:ilvl="0">
      <w:lvlJc w:val="left"/>
      <w:lvlText w:val="%1"/>
      <w:numFmt w:val="lowerLetter"/>
      <w:start w:val="1"/>
    </w:lvl>
    <w:lvl w:ilvl="1">
      <w:lvlJc w:val="left"/>
      <w:lvlText w:val="(%2)"/>
      <w:numFmt w:val="lowerLetter"/>
      <w:start w:val="1"/>
    </w:lvl>
  </w:abstractNum>
  <w:abstractNum w:abstractNumId="5">
    <w:nsid w:val="721DA317"/>
    <w:multiLevelType w:val="hybridMultilevel"/>
    <w:lvl w:ilvl="0">
      <w:lvlJc w:val="left"/>
      <w:lvlText w:val="%1"/>
      <w:numFmt w:val="lowerLetter"/>
      <w:start w:val="1"/>
    </w:lvl>
    <w:lvl w:ilvl="1">
      <w:lvlJc w:val="left"/>
      <w:lvlText w:val="(%2)"/>
      <w:numFmt w:val="lowerLetter"/>
      <w:start w:val="3"/>
    </w:lvl>
  </w:abstractNum>
  <w:abstractNum w:abstractNumId="6">
    <w:nsid w:val="2443A858"/>
    <w:multiLevelType w:val="hybridMultilevel"/>
    <w:lvl w:ilvl="0">
      <w:lvlJc w:val="left"/>
      <w:lvlText w:val="(%1)"/>
      <w:numFmt w:val="lowerLetter"/>
      <w:start w:val="4"/>
    </w:lvl>
    <w:lvl w:ilvl="1">
      <w:lvlJc w:val="left"/>
      <w:lvlText w:val="%2"/>
      <w:numFmt w:val="lowerLetter"/>
      <w:start w:val="1"/>
    </w:lvl>
  </w:abstractNum>
  <w:abstractNum w:abstractNumId="7">
    <w:nsid w:val="2D1D5AE9"/>
    <w:multiLevelType w:val="hybridMultilevel"/>
    <w:lvl w:ilvl="0">
      <w:lvlJc w:val="left"/>
      <w:lvlText w:val="(%1)"/>
      <w:numFmt w:val="lowerLetter"/>
      <w:start w:val="6"/>
    </w:lvl>
  </w:abstractNum>
  <w:abstractNum w:abstractNumId="8">
    <w:nsid w:val="6763845E"/>
    <w:multiLevelType w:val="hybridMultilevel"/>
    <w:lvl w:ilvl="0">
      <w:lvlJc w:val="left"/>
      <w:lvlText w:val="(%1)"/>
      <w:numFmt w:val="lowerLetter"/>
      <w:start w:val="7"/>
    </w:lvl>
  </w:abstractNum>
  <w:abstractNum w:abstractNumId="9">
    <w:nsid w:val="75A2A8D4"/>
    <w:multiLevelType w:val="hybridMultilevel"/>
    <w:lvl w:ilvl="0">
      <w:lvlJc w:val="left"/>
      <w:lvlText w:val="(%1)"/>
      <w:numFmt w:val="lowerLetter"/>
      <w:start w:val="11"/>
    </w:lvl>
  </w:abstractNum>
  <w:abstractNum w:abstractNumId="10">
    <w:nsid w:val="8EDBDAB"/>
    <w:multiLevelType w:val="hybridMultilevel"/>
    <w:lvl w:ilvl="0">
      <w:lvlJc w:val="left"/>
      <w:lvlText w:val="(%1)"/>
      <w:numFmt w:val="lowerLetter"/>
      <w:start w:val="13"/>
    </w:lvl>
  </w:abstractNum>
  <w:abstractNum w:abstractNumId="11">
    <w:nsid w:val="79838CB2"/>
    <w:multiLevelType w:val="hybridMultilevel"/>
    <w:lvl w:ilvl="0">
      <w:lvlJc w:val="left"/>
      <w:lvlText w:val="(%1)"/>
      <w:numFmt w:val="lowerLetter"/>
      <w:start w:val="20"/>
    </w:lvl>
  </w:abstractNum>
  <w:abstractNum w:abstractNumId="12">
    <w:nsid w:val="4353D0CD"/>
    <w:multiLevelType w:val="hybridMultilevel"/>
    <w:lvl w:ilvl="0">
      <w:lvlJc w:val="left"/>
      <w:lvlText w:val="(%1)"/>
      <w:numFmt w:val="lowerLetter"/>
      <w:start w:val="27"/>
    </w:lvl>
  </w:abstractNum>
  <w:abstractNum w:abstractNumId="13">
    <w:nsid w:val="B03E0C6"/>
    <w:multiLevelType w:val="hybridMultilevel"/>
    <w:lvl w:ilvl="0">
      <w:lvlJc w:val="left"/>
      <w:lvlText w:val="%1"/>
      <w:numFmt w:val="lowerLetter"/>
      <w:start w:val="1"/>
    </w:lvl>
    <w:lvl w:ilvl="1">
      <w:lvlJc w:val="left"/>
      <w:lvlText w:val="(%2)"/>
      <w:numFmt w:val="lowerLetter"/>
      <w:start w:val="2"/>
    </w:lvl>
  </w:abstractNum>
  <w:abstractNum w:abstractNumId="14">
    <w:nsid w:val="189A769B"/>
    <w:multiLevelType w:val="hybridMultilevel"/>
    <w:lvl w:ilvl="0">
      <w:lvlJc w:val="left"/>
      <w:lvlText w:val="(%1)"/>
      <w:numFmt w:val="lowerLetter"/>
      <w:start w:val="28"/>
    </w:lvl>
    <w:lvl w:ilvl="1">
      <w:lvlJc w:val="left"/>
      <w:lvlText w:val="%2"/>
      <w:numFmt w:val="lowerLetter"/>
      <w:start w:val="1"/>
    </w:lvl>
  </w:abstractNum>
  <w:abstractNum w:abstractNumId="15">
    <w:nsid w:val="54E49EB4"/>
    <w:multiLevelType w:val="hybridMultilevel"/>
    <w:lvl w:ilvl="0">
      <w:lvlJc w:val="left"/>
      <w:lvlText w:val="(%1)"/>
      <w:numFmt w:val="lowerLetter"/>
      <w:start w:val="29"/>
    </w:lvl>
  </w:abstractNum>
  <w:abstractNum w:abstractNumId="16">
    <w:nsid w:val="71F32454"/>
    <w:multiLevelType w:val="hybridMultilevel"/>
    <w:lvl w:ilvl="0">
      <w:lvlJc w:val="left"/>
      <w:lvlText w:val="(%1)"/>
      <w:numFmt w:val="lowerLetter"/>
      <w:start w:val="34"/>
    </w:lvl>
  </w:abstractNum>
  <w:abstractNum w:abstractNumId="17">
    <w:nsid w:val="2CA88611"/>
    <w:multiLevelType w:val="hybridMultilevel"/>
    <w:lvl w:ilvl="0">
      <w:lvlJc w:val="left"/>
      <w:lvlText w:val="(%1)"/>
      <w:numFmt w:val="lowerLetter"/>
      <w:start w:val="37"/>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lvl w:ilvl="1">
      <w:lvlJc w:val="left"/>
      <w:lvlText w:val="(%2)"/>
      <w:numFmt w:val="lowerLetter"/>
      <w:start w:val="3"/>
    </w:lvl>
  </w:abstractNum>
  <w:abstractNum w:abstractNumId="20">
    <w:nsid w:val="3A95F874"/>
    <w:multiLevelType w:val="hybridMultilevel"/>
    <w:lvl w:ilvl="0">
      <w:lvlJc w:val="left"/>
      <w:lvlText w:val="(%1)"/>
      <w:numFmt w:val="lowerLetter"/>
      <w:start w:val="39"/>
    </w:lvl>
    <w:lvl w:ilvl="1">
      <w:lvlJc w:val="left"/>
      <w:lvlText w:val="%2"/>
      <w:numFmt w:val="lowerLetter"/>
      <w:start w:val="1"/>
    </w:lvl>
  </w:abstractNum>
  <w:abstractNum w:abstractNumId="21">
    <w:nsid w:val="8138641"/>
    <w:multiLevelType w:val="hybridMultilevel"/>
    <w:lvl w:ilvl="0">
      <w:lvlJc w:val="left"/>
      <w:lvlText w:val="(%1)"/>
      <w:numFmt w:val="lowerLetter"/>
      <w:start w:val="42"/>
    </w:lvl>
  </w:abstractNum>
  <w:abstractNum w:abstractNumId="22">
    <w:nsid w:val="1E7FF521"/>
    <w:multiLevelType w:val="hybridMultilevel"/>
    <w:lvl w:ilvl="0">
      <w:lvlJc w:val="left"/>
      <w:lvlText w:val="(%1)"/>
      <w:numFmt w:val="lowerLetter"/>
      <w:start w:val="45"/>
    </w:lvl>
  </w:abstractNum>
  <w:abstractNum w:abstractNumId="23">
    <w:nsid w:val="7C3DBD3D"/>
    <w:multiLevelType w:val="hybridMultilevel"/>
    <w:lvl w:ilvl="0">
      <w:lvlJc w:val="left"/>
      <w:lvlText w:val="(%1)"/>
      <w:numFmt w:val="lowerLetter"/>
      <w:start w:val="47"/>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53"/>
    </w:lvl>
  </w:abstractNum>
  <w:abstractNum w:abstractNumId="26">
    <w:nsid w:val="22221A70"/>
    <w:multiLevelType w:val="hybridMultilevel"/>
    <w:lvl w:ilvl="0">
      <w:lvlJc w:val="left"/>
      <w:lvlText w:val="(%1)"/>
      <w:numFmt w:val="lowerLetter"/>
      <w:start w:val="54"/>
    </w:lvl>
  </w:abstractNum>
  <w:abstractNum w:abstractNumId="27">
    <w:nsid w:val="4516DDE9"/>
    <w:multiLevelType w:val="hybridMultilevel"/>
    <w:lvl w:ilvl="0">
      <w:lvlJc w:val="left"/>
      <w:lvlText w:val="(%1)"/>
      <w:numFmt w:val="lowerLetter"/>
      <w:start w:val="61"/>
    </w:lvl>
  </w:abstractNum>
  <w:abstractNum w:abstractNumId="28">
    <w:nsid w:val="3006C83E"/>
    <w:multiLevelType w:val="hybridMultilevel"/>
    <w:lvl w:ilvl="0">
      <w:lvlJc w:val="left"/>
      <w:lvlText w:val="(%1)"/>
      <w:numFmt w:val="lowerLetter"/>
      <w:start w:val="63"/>
    </w:lvl>
  </w:abstractNum>
  <w:abstractNum w:abstractNumId="29">
    <w:nsid w:val="614FD4A1"/>
    <w:multiLevelType w:val="hybridMultilevel"/>
    <w:lvl w:ilvl="0">
      <w:lvlJc w:val="left"/>
      <w:lvlText w:val="(%1)"/>
      <w:numFmt w:val="lowerLetter"/>
      <w:start w:val="65"/>
    </w:lvl>
  </w:abstractNum>
  <w:abstractNum w:abstractNumId="30">
    <w:nsid w:val="419AC241"/>
    <w:multiLevelType w:val="hybridMultilevel"/>
    <w:lvl w:ilvl="0">
      <w:lvlJc w:val="left"/>
      <w:lvlText w:val="(%1)"/>
      <w:numFmt w:val="lowerLetter"/>
      <w:start w:val="66"/>
    </w:lvl>
  </w:abstractNum>
  <w:abstractNum w:abstractNumId="31">
    <w:nsid w:val="5577F8E1"/>
    <w:multiLevelType w:val="hybridMultilevel"/>
    <w:lvl w:ilvl="0">
      <w:lvlJc w:val="left"/>
      <w:lvlText w:val="%1"/>
      <w:numFmt w:val="decimal"/>
      <w:start w:val="1"/>
    </w:lvl>
    <w:lvl w:ilvl="1">
      <w:lvlJc w:val="left"/>
      <w:lvlText w:val="(%2)"/>
      <w:numFmt w:val="lowerLetter"/>
      <w:start w:val="67"/>
    </w:lvl>
  </w:abstractNum>
  <w:abstractNum w:abstractNumId="32">
    <w:nsid w:val="440BADFC"/>
    <w:multiLevelType w:val="hybridMultilevel"/>
    <w:lvl w:ilvl="0">
      <w:lvlJc w:val="left"/>
      <w:lvlText w:val="%1."/>
      <w:numFmt w:val="decimal"/>
      <w:start w:val="2"/>
    </w:lvl>
    <w:lvl w:ilvl="1">
      <w:lvlJc w:val="left"/>
      <w:lvlText w:val="(%2)"/>
      <w:numFmt w:val="lowerLetter"/>
      <w:start w:val="1"/>
    </w:lvl>
  </w:abstractNum>
  <w:abstractNum w:abstractNumId="33">
    <w:nsid w:val="5072367"/>
    <w:multiLevelType w:val="hybridMultilevel"/>
    <w:lvl w:ilvl="0">
      <w:lvlJc w:val="left"/>
      <w:lvlText w:val="%1"/>
      <w:numFmt w:val="decimal"/>
      <w:start w:val="1"/>
    </w:lvl>
    <w:lvl w:ilvl="1">
      <w:lvlJc w:val="left"/>
      <w:lvlText w:val="(%2)"/>
      <w:numFmt w:val="lowerLetter"/>
      <w:start w:val="2"/>
    </w:lvl>
  </w:abstractNum>
  <w:abstractNum w:abstractNumId="34">
    <w:nsid w:val="3804823E"/>
    <w:multiLevelType w:val="hybridMultilevel"/>
    <w:lvl w:ilvl="0">
      <w:lvlJc w:val="left"/>
      <w:lvlText w:val="%1."/>
      <w:numFmt w:val="decimal"/>
      <w:start w:val="3"/>
    </w:lvl>
    <w:lvl w:ilvl="1">
      <w:lvlJc w:val="left"/>
      <w:lvlText w:val="%2"/>
      <w:numFmt w:val="lowerLetter"/>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2022-11-29T07:32:44Z</dcterms:created>
  <dcterms:modified xsi:type="dcterms:W3CDTF">2022-11-29T07:32:44Z</dcterms:modified>
</cp:coreProperties>
</file>