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Date of Report (Date of earliest event reported): May 7, 2026</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20"/>
          </w:cols>
          <w:pgMar w:left="320" w:top="983" w:right="359" w:bottom="1440" w:gutter="0" w:footer="0" w:header="0"/>
        </w:sectPr>
      </w:pPr>
    </w:p>
    <w:p>
      <w:pPr>
        <w:spacing w:after="0" w:line="228"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16"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21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6" w:lineRule="exact"/>
        <w:rPr>
          <w:sz w:val="24"/>
          <w:szCs w:val="24"/>
          <w:color w:val="auto"/>
        </w:rPr>
      </w:pPr>
    </w:p>
    <w:p>
      <w:pPr>
        <w:sectPr>
          <w:pgSz w:w="11900" w:h="16838" w:orient="portrait"/>
          <w:cols w:equalWidth="0" w:num="3">
            <w:col w:w="4380" w:space="720"/>
            <w:col w:w="1800" w:space="720"/>
            <w:col w:w="3600"/>
          </w:cols>
          <w:pgMar w:left="320" w:top="983" w:right="359" w:bottom="1440" w:gutter="0" w:footer="0" w:header="0"/>
          <w:type w:val="continuous"/>
        </w:sectPr>
      </w:pP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(724) 514-1800</w:t>
      </w:r>
    </w:p>
    <w:p>
      <w:pPr>
        <w:spacing w:after="0" w:line="327" w:lineRule="exact"/>
        <w:rPr>
          <w:sz w:val="24"/>
          <w:szCs w:val="24"/>
          <w:color w:val="auto"/>
        </w:rPr>
      </w:pPr>
    </w:p>
    <w:p>
      <w:pPr>
        <w:ind w:right="340" w:firstLine="324"/>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03" w:lineRule="exact"/>
        <w:rPr>
          <w:rFonts w:ascii="MS PGothic" w:cs="MS PGothic" w:eastAsia="MS PGothic" w:hAnsi="MS PGothic"/>
          <w:sz w:val="18"/>
          <w:szCs w:val="18"/>
          <w:color w:val="auto"/>
        </w:rPr>
      </w:pPr>
    </w:p>
    <w:p>
      <w:pPr>
        <w:ind w:right="2460" w:firstLine="332"/>
        <w:spacing w:after="0" w:line="386"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6"/>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36"/>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91" w:lineRule="exact"/>
        <w:rPr>
          <w:sz w:val="24"/>
          <w:szCs w:val="24"/>
          <w:color w:val="auto"/>
        </w:rPr>
      </w:pPr>
    </w:p>
    <w:p>
      <w:pPr>
        <w:ind w:right="160" w:firstLine="324"/>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ind w:left="340"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7, 2026, Viatris Inc. (“Viatris” or the “Company”) issued a press release reporting the Company's financial results for the period ended March 31, 2026. A copy of the press release is attached hereto as Exhibit 99.1 and is incorporated herein by reference.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previously announced, Viatris will host a conference call and live webcast today at 8:30 a.m. ET to review the Company's financial results for the period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500" w:hanging="1474"/>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 w:type="dxa"/>
            <w:vAlign w:val="bottom"/>
          </w:tcPr>
          <w:p>
            <w:pPr>
              <w:spacing w:after="0"/>
              <w:rPr>
                <w:sz w:val="16"/>
                <w:szCs w:val="16"/>
                <w:color w:val="auto"/>
              </w:rPr>
            </w:pPr>
          </w:p>
        </w:tc>
        <w:tc>
          <w:tcPr>
            <w:tcW w:w="1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Press release announcing the Company's financial results for the first quarter of 2026, dated May 7, 2026.</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1"/>
                <w:szCs w:val="21"/>
                <w:color w:val="auto"/>
              </w:rPr>
            </w:pP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Times New Roman" w:cs="Times New Roman" w:eastAsia="Times New Roman" w:hAnsi="Times New Roman"/>
          <w:sz w:val="18"/>
          <w:szCs w:val="18"/>
          <w:color w:val="auto"/>
        </w:rPr>
        <w:t>Date:</w:t>
        <w:tab/>
        <w:t>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Matthew Maletta</w:t>
      </w:r>
    </w:p>
    <w:p>
      <w:pPr>
        <w:ind w:left="728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0720"/>
          </w:cols>
          <w:pgMar w:left="320" w:top="1211"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637030"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Viatris Reports First-Quarter 2026 Financial Results</w:t>
      </w:r>
    </w:p>
    <w:p>
      <w:pPr>
        <w:spacing w:after="0" w:line="245" w:lineRule="exact"/>
        <w:rPr>
          <w:sz w:val="20"/>
          <w:szCs w:val="20"/>
          <w:color w:val="auto"/>
        </w:rPr>
      </w:pPr>
    </w:p>
    <w:p>
      <w:pPr>
        <w:ind w:left="660" w:right="260" w:hanging="328"/>
        <w:spacing w:after="0" w:line="286" w:lineRule="auto"/>
        <w:tabs>
          <w:tab w:leader="none" w:pos="648"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Delivers Total Revenues of $3.5 Billion, Representing 8% Reported Growth Compared to First Quarter 2025, and U.S. GAAP Net Earnings of $176 Million</w:t>
      </w:r>
    </w:p>
    <w:p>
      <w:pPr>
        <w:spacing w:after="0" w:line="167" w:lineRule="exact"/>
        <w:rPr>
          <w:rFonts w:ascii="Arial" w:cs="Arial" w:eastAsia="Arial" w:hAnsi="Arial"/>
          <w:sz w:val="20"/>
          <w:szCs w:val="20"/>
          <w:i w:val="1"/>
          <w:iCs w:val="1"/>
          <w:color w:val="auto"/>
        </w:rPr>
      </w:pPr>
    </w:p>
    <w:p>
      <w:pPr>
        <w:ind w:left="640" w:hanging="308"/>
        <w:spacing w:after="0"/>
        <w:tabs>
          <w:tab w:leader="none" w:pos="64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Total Revenues Were Up 3% Operationally Compared to First Quarter 2025</w:t>
      </w:r>
    </w:p>
    <w:p>
      <w:pPr>
        <w:spacing w:after="0" w:line="242" w:lineRule="exact"/>
        <w:rPr>
          <w:rFonts w:ascii="Arial" w:cs="Arial" w:eastAsia="Arial" w:hAnsi="Arial"/>
          <w:sz w:val="20"/>
          <w:szCs w:val="20"/>
          <w:i w:val="1"/>
          <w:iCs w:val="1"/>
          <w:color w:val="auto"/>
        </w:rPr>
      </w:pPr>
    </w:p>
    <w:p>
      <w:pPr>
        <w:ind w:left="660" w:right="880" w:hanging="328"/>
        <w:spacing w:after="0" w:line="271" w:lineRule="auto"/>
        <w:tabs>
          <w:tab w:leader="none" w:pos="648"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Adjusted EBITDA was $1.0 Billion Up 10% Operationally Compared to First Quarter 2025, Demonstrating Solid Operating Leverage</w:t>
      </w:r>
    </w:p>
    <w:p>
      <w:pPr>
        <w:spacing w:after="0" w:line="196" w:lineRule="exact"/>
        <w:rPr>
          <w:rFonts w:ascii="Arial" w:cs="Arial" w:eastAsia="Arial" w:hAnsi="Arial"/>
          <w:sz w:val="20"/>
          <w:szCs w:val="20"/>
          <w:i w:val="1"/>
          <w:iCs w:val="1"/>
          <w:color w:val="auto"/>
        </w:rPr>
      </w:pPr>
    </w:p>
    <w:p>
      <w:pPr>
        <w:ind w:left="660" w:right="660" w:hanging="328"/>
        <w:spacing w:after="0" w:line="22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Progresses Key Launches and Pipeline Milestones Across Multiple Products, Including the Launch of Effexor</w:t>
      </w:r>
      <w:r>
        <w:rPr>
          <w:rFonts w:ascii="Arial" w:cs="Arial" w:eastAsia="Arial" w:hAnsi="Arial"/>
          <w:sz w:val="25"/>
          <w:szCs w:val="25"/>
          <w:i w:val="1"/>
          <w:iCs w:val="1"/>
          <w:color w:val="auto"/>
          <w:vertAlign w:val="superscript"/>
        </w:rPr>
        <w:t>®</w:t>
      </w:r>
      <w:r>
        <w:rPr>
          <w:rFonts w:ascii="Arial" w:cs="Arial" w:eastAsia="Arial" w:hAnsi="Arial"/>
          <w:sz w:val="20"/>
          <w:szCs w:val="20"/>
          <w:i w:val="1"/>
          <w:iCs w:val="1"/>
          <w:color w:val="auto"/>
        </w:rPr>
        <w:t xml:space="preserve"> for Generalized Anxiety Disorder in Japan</w:t>
      </w:r>
    </w:p>
    <w:p>
      <w:pPr>
        <w:spacing w:after="0" w:line="22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i w:val="1"/>
          <w:iCs w:val="1"/>
          <w:color w:val="auto"/>
        </w:rPr>
      </w:pPr>
      <w:r>
        <w:rPr>
          <w:rFonts w:ascii="Arial" w:cs="Arial" w:eastAsia="Arial" w:hAnsi="Arial"/>
          <w:sz w:val="20"/>
          <w:szCs w:val="20"/>
          <w:i w:val="1"/>
          <w:iCs w:val="1"/>
          <w:color w:val="auto"/>
        </w:rPr>
        <w:t>Continues to Expect More Than $2.5 Billion of Cash Available for Deployment in 2026</w:t>
      </w:r>
    </w:p>
    <w:p>
      <w:pPr>
        <w:spacing w:after="0" w:line="246" w:lineRule="exact"/>
        <w:rPr>
          <w:rFonts w:ascii="Arial" w:cs="Arial" w:eastAsia="Arial" w:hAnsi="Arial"/>
          <w:sz w:val="22"/>
          <w:szCs w:val="22"/>
          <w:i w:val="1"/>
          <w:iCs w:val="1"/>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 xml:space="preserve">Reaffirms 2026 Financial Guidance </w:t>
      </w:r>
      <w:r>
        <w:rPr>
          <w:rFonts w:ascii="Arial" w:cs="Arial" w:eastAsia="Arial" w:hAnsi="Arial"/>
          <w:sz w:val="20"/>
          <w:szCs w:val="20"/>
          <w:color w:val="auto"/>
        </w:rPr>
        <w:t>[1]</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PITTSBURGH – May 7, 2026 </w:t>
      </w:r>
      <w:r>
        <w:rPr>
          <w:rFonts w:ascii="Arial" w:cs="Arial" w:eastAsia="Arial" w:hAnsi="Arial"/>
          <w:sz w:val="20"/>
          <w:szCs w:val="20"/>
          <w:color w:val="auto"/>
        </w:rPr>
        <w:t>– Viatris Inc. (Nasdaq: VTRS) today announced its first-quarter 2026 financial results.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Executive Commentary</w:t>
      </w:r>
    </w:p>
    <w:p>
      <w:pPr>
        <w:spacing w:after="0" w:line="24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 xml:space="preserve">“We delivered a strong first quarter, reflecting disciplined execution across our global businesses,” said </w:t>
      </w:r>
      <w:r>
        <w:rPr>
          <w:rFonts w:ascii="Arial" w:cs="Arial" w:eastAsia="Arial" w:hAnsi="Arial"/>
          <w:sz w:val="20"/>
          <w:szCs w:val="20"/>
          <w:b w:val="1"/>
          <w:bCs w:val="1"/>
          <w:color w:val="7030A0"/>
        </w:rPr>
        <w:t>Scott A. Smith, CEO,</w:t>
      </w:r>
      <w:r>
        <w:rPr>
          <w:rFonts w:ascii="Arial" w:cs="Arial" w:eastAsia="Arial" w:hAnsi="Arial"/>
          <w:sz w:val="20"/>
          <w:szCs w:val="20"/>
          <w:color w:val="auto"/>
        </w:rPr>
        <w:t xml:space="preserve"> </w:t>
      </w:r>
      <w:r>
        <w:rPr>
          <w:rFonts w:ascii="Arial" w:cs="Arial" w:eastAsia="Arial" w:hAnsi="Arial"/>
          <w:sz w:val="20"/>
          <w:szCs w:val="20"/>
          <w:b w:val="1"/>
          <w:bCs w:val="1"/>
          <w:color w:val="7030A0"/>
        </w:rPr>
        <w:t>Viatris</w:t>
      </w:r>
      <w:r>
        <w:rPr>
          <w:rFonts w:ascii="Arial" w:cs="Arial" w:eastAsia="Arial" w:hAnsi="Arial"/>
          <w:sz w:val="20"/>
          <w:szCs w:val="20"/>
          <w:color w:val="000000"/>
        </w:rPr>
        <w:t>. “Our performance reinforces the growth trajectory we outlined at our Investor Event in March. We saw continued</w:t>
      </w:r>
      <w:r>
        <w:rPr>
          <w:rFonts w:ascii="Arial" w:cs="Arial" w:eastAsia="Arial" w:hAnsi="Arial"/>
          <w:sz w:val="20"/>
          <w:szCs w:val="20"/>
          <w:b w:val="1"/>
          <w:bCs w:val="1"/>
          <w:color w:val="7030A0"/>
        </w:rPr>
        <w:t xml:space="preserve"> </w:t>
      </w:r>
      <w:r>
        <w:rPr>
          <w:rFonts w:ascii="Arial" w:cs="Arial" w:eastAsia="Arial" w:hAnsi="Arial"/>
          <w:sz w:val="20"/>
          <w:szCs w:val="20"/>
          <w:color w:val="000000"/>
        </w:rPr>
        <w:t>momentum in key markets like Greater China and North America, progressed on launches and advanced our pipeline with multiple near-term catalysts. We expect to generate significant cash in 2026, providing flexibility to execute against our balanced capital allocation framework. Based on our strong start, we believe we are well positioned to deliver on our full-year guidance, and we remain focused on building a more durable, higher-quality growth profile for Viatris.”</w:t>
      </w:r>
    </w:p>
    <w:p>
      <w:pPr>
        <w:spacing w:after="0" w:line="216" w:lineRule="exact"/>
        <w:rPr>
          <w:sz w:val="20"/>
          <w:szCs w:val="20"/>
          <w:color w:val="auto"/>
        </w:rPr>
      </w:pPr>
    </w:p>
    <w:p>
      <w:pPr>
        <w:ind w:right="20" w:firstLine="8"/>
        <w:spacing w:after="0" w:line="270" w:lineRule="auto"/>
        <w:tabs>
          <w:tab w:leader="none" w:pos="275" w:val="left"/>
        </w:tabs>
        <w:numPr>
          <w:ilvl w:val="0"/>
          <w:numId w:val="4"/>
        </w:numPr>
        <w:rPr>
          <w:rFonts w:ascii="Arial" w:cs="Arial" w:eastAsia="Arial" w:hAnsi="Arial"/>
          <w:sz w:val="19"/>
          <w:szCs w:val="19"/>
          <w:color w:val="auto"/>
        </w:rPr>
      </w:pPr>
      <w:r>
        <w:rPr>
          <w:rFonts w:ascii="Arial" w:cs="Arial" w:eastAsia="Arial" w:hAnsi="Arial"/>
          <w:sz w:val="19"/>
          <w:szCs w:val="19"/>
          <w:i w:val="1"/>
          <w:iCs w:val="1"/>
          <w:color w:val="auto"/>
        </w:rPr>
        <w:t>Viatris is not providing forward-looking guidance for U.S. GAAP net earnings (loss) or U.S. GAAP diluted EPS (loss) or a quantitative reconciliation of its 2026 Adjusted EBITDA or Adjusted EPS guidance. U.S. GAAP net cash provided by operating activities for 2026 is estimated to be between $1.7 billion and $2.0 billion, with a midpoint of approximately $1.85 billion. 2026 financial guidance ranges as provided on February 26, 2026, and reaffirmed on May 7, 2026, exclude the impact of any transaction-related and restructuring-related costs (as defined below) and acquired IPR&amp;D for unsigned deals as they cannot be reasonably forecasted. Please see “2026 Financial Guidance” and “Non-GAAP Financial Measures” for additional information.</w:t>
      </w:r>
    </w:p>
    <w:p>
      <w:pPr>
        <w:sectPr>
          <w:pgSz w:w="11900" w:h="16838" w:orient="portrait"/>
          <w:cols w:equalWidth="0" w:num="1">
            <w:col w:w="11220"/>
          </w:cols>
          <w:pgMar w:left="320" w:top="1440"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7030A0"/>
        </w:rPr>
        <w:t>First-Quarter Results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left="38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1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300" w:type="dxa"/>
            <w:vAlign w:val="bottom"/>
          </w:tcPr>
          <w:p>
            <w:pPr>
              <w:spacing w:after="0"/>
              <w:rPr>
                <w:sz w:val="13"/>
                <w:szCs w:val="13"/>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3"/>
                <w:szCs w:val="13"/>
                <w:color w:val="auto"/>
              </w:rPr>
            </w:pPr>
          </w:p>
        </w:tc>
        <w:tc>
          <w:tcPr>
            <w:tcW w:w="1100" w:type="dxa"/>
            <w:vAlign w:val="bottom"/>
          </w:tcPr>
          <w:p>
            <w:pPr>
              <w:ind w:left="140"/>
              <w:spacing w:after="0" w:line="157"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89"/>
        </w:trPr>
        <w:tc>
          <w:tcPr>
            <w:tcW w:w="61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160"/>
              <w:spacing w:after="0" w:line="189" w:lineRule="exact"/>
              <w:rPr>
                <w:sz w:val="20"/>
                <w:szCs w:val="20"/>
                <w:color w:val="auto"/>
              </w:rPr>
            </w:pPr>
            <w:r>
              <w:rPr>
                <w:rFonts w:ascii="Arial" w:cs="Arial" w:eastAsia="Arial" w:hAnsi="Arial"/>
                <w:sz w:val="14"/>
                <w:szCs w:val="14"/>
                <w:b w:val="1"/>
                <w:bCs w:val="1"/>
                <w:color w:val="auto"/>
              </w:rPr>
              <w:t>Change</w:t>
            </w:r>
            <w:r>
              <w:rPr>
                <w:rFonts w:ascii="Arial" w:cs="Arial" w:eastAsia="Arial" w:hAnsi="Arial"/>
                <w:sz w:val="18"/>
                <w:szCs w:val="18"/>
                <w:b w:val="1"/>
                <w:bCs w:val="1"/>
                <w:color w:val="auto"/>
                <w:vertAlign w:val="superscript"/>
              </w:rPr>
              <w:t>(1) (2)</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3,517.0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3,254.3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Total Net Sales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3,509.7</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3,243.2</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8%</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Markets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2,020.8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1,891.7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6180" w:type="dxa"/>
            <w:vAlign w:val="bottom"/>
          </w:tcPr>
          <w:p>
            <w:pPr>
              <w:ind w:left="220"/>
              <w:spacing w:after="0"/>
              <w:rPr>
                <w:sz w:val="20"/>
                <w:szCs w:val="20"/>
                <w:color w:val="auto"/>
              </w:rPr>
            </w:pPr>
            <w:r>
              <w:rPr>
                <w:rFonts w:ascii="Arial" w:cs="Arial" w:eastAsia="Arial" w:hAnsi="Arial"/>
                <w:sz w:val="16"/>
                <w:szCs w:val="16"/>
                <w:color w:val="auto"/>
              </w:rPr>
              <w:t>Emerging Markets</w:t>
            </w:r>
          </w:p>
        </w:tc>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535.4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519.9</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JANZ</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276.1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2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6180" w:type="dxa"/>
            <w:vAlign w:val="bottom"/>
          </w:tcPr>
          <w:p>
            <w:pPr>
              <w:ind w:left="220"/>
              <w:spacing w:after="0"/>
              <w:rPr>
                <w:sz w:val="20"/>
                <w:szCs w:val="20"/>
                <w:color w:val="auto"/>
              </w:rPr>
            </w:pPr>
            <w:r>
              <w:rPr>
                <w:rFonts w:ascii="Arial" w:cs="Arial" w:eastAsia="Arial" w:hAnsi="Arial"/>
                <w:sz w:val="16"/>
                <w:szCs w:val="16"/>
                <w:color w:val="auto"/>
              </w:rPr>
              <w:t>Greater China</w:t>
            </w:r>
          </w:p>
        </w:tc>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680.1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555.5</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22%</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18%</w:t>
            </w: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Net Sales by Product Category</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Brands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2,332.5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2,116.9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6180" w:type="dxa"/>
            <w:vAlign w:val="bottom"/>
          </w:tcPr>
          <w:p>
            <w:pPr>
              <w:ind w:left="220"/>
              <w:spacing w:after="0"/>
              <w:rPr>
                <w:sz w:val="20"/>
                <w:szCs w:val="20"/>
                <w:color w:val="auto"/>
              </w:rPr>
            </w:pPr>
            <w:r>
              <w:rPr>
                <w:rFonts w:ascii="Arial" w:cs="Arial" w:eastAsia="Arial" w:hAnsi="Arial"/>
                <w:sz w:val="16"/>
                <w:szCs w:val="16"/>
                <w:color w:val="auto"/>
              </w:rPr>
              <w:t>Generics</w:t>
            </w:r>
          </w:p>
        </w:tc>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1,177.2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1,126.3</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5%</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1,157.2</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1,161.2</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1,970.3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1,819.6</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8%</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U.S. GAAP Net Earnings (Loss) </w:t>
            </w:r>
            <w:r>
              <w:rPr>
                <w:rFonts w:ascii="Arial" w:cs="Arial" w:eastAsia="Arial" w:hAnsi="Arial"/>
                <w:sz w:val="21"/>
                <w:szCs w:val="21"/>
                <w:color w:val="auto"/>
                <w:vertAlign w:val="superscript"/>
              </w:rPr>
              <w:t>(3)</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(3,042.0)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U.S. GAAP Earnings (Loss) Per Share </w:t>
            </w:r>
            <w:r>
              <w:rPr>
                <w:rFonts w:ascii="Arial" w:cs="Arial" w:eastAsia="Arial" w:hAnsi="Arial"/>
                <w:sz w:val="21"/>
                <w:szCs w:val="21"/>
                <w:color w:val="auto"/>
                <w:vertAlign w:val="superscript"/>
              </w:rPr>
              <w:t>(3)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NM</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600.3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16%</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18%</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548.9</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(2,316.8)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NM</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1,049.5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923.5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535.5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(27)%</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(2)(4)</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492.9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(29)%</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98"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See “Certain Key Terms and Presentation Matters” in this release for more information.</w:t>
      </w:r>
    </w:p>
    <w:p>
      <w:pPr>
        <w:spacing w:after="0" w:line="53" w:lineRule="exact"/>
        <w:rPr>
          <w:rFonts w:ascii="Arial" w:cs="Arial" w:eastAsia="Arial" w:hAnsi="Arial"/>
          <w:sz w:val="19"/>
          <w:szCs w:val="19"/>
          <w:color w:val="auto"/>
          <w:vertAlign w:val="superscript"/>
        </w:rPr>
      </w:pPr>
    </w:p>
    <w:p>
      <w:pPr>
        <w:ind w:left="540" w:hanging="208"/>
        <w:spacing w:after="0" w:line="193" w:lineRule="auto"/>
        <w:tabs>
          <w:tab w:leader="none" w:pos="54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53" w:lineRule="exact"/>
        <w:rPr>
          <w:rFonts w:ascii="Arial" w:cs="Arial" w:eastAsia="Arial" w:hAnsi="Arial"/>
          <w:sz w:val="19"/>
          <w:szCs w:val="19"/>
          <w:color w:val="auto"/>
          <w:vertAlign w:val="superscript"/>
        </w:rPr>
      </w:pPr>
    </w:p>
    <w:p>
      <w:pPr>
        <w:ind w:left="660" w:hanging="328"/>
        <w:spacing w:after="0" w:line="213" w:lineRule="auto"/>
        <w:tabs>
          <w:tab w:leader="none" w:pos="567"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2025, includes the previously disclosed goodwill impairment charge of $2.9 billion as a result of the interim goodwill impairment test performed as of March 31, 2025.</w:t>
      </w:r>
    </w:p>
    <w:p>
      <w:pPr>
        <w:spacing w:after="0" w:line="40" w:lineRule="exact"/>
        <w:rPr>
          <w:rFonts w:ascii="Arial" w:cs="Arial" w:eastAsia="Arial" w:hAnsi="Arial"/>
          <w:sz w:val="19"/>
          <w:szCs w:val="19"/>
          <w:color w:val="auto"/>
          <w:vertAlign w:val="superscript"/>
        </w:rPr>
      </w:pPr>
    </w:p>
    <w:p>
      <w:pPr>
        <w:jc w:val="both"/>
        <w:ind w:left="660" w:hanging="328"/>
        <w:spacing w:after="0"/>
        <w:tabs>
          <w:tab w:leader="none" w:pos="614"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transaction-related and restructuring-related costs of $111 million, free cash flow for the three months ended March 31, 2026, was $459 million. Excluding the impact of transaction-related costs and taxes primarily related to the divestitures of $43 million, free cash flow for the three months ended March 31, 2025, was $535 million.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Financial Highlights for the First Quarter of 2026</w:t>
      </w:r>
    </w:p>
    <w:p>
      <w:pPr>
        <w:spacing w:after="0" w:line="272" w:lineRule="exact"/>
        <w:rPr>
          <w:sz w:val="20"/>
          <w:szCs w:val="20"/>
          <w:color w:val="auto"/>
        </w:rPr>
      </w:pPr>
    </w:p>
    <w:p>
      <w:pPr>
        <w:ind w:left="340" w:right="400" w:hanging="332"/>
        <w:spacing w:after="0" w:line="262" w:lineRule="auto"/>
        <w:tabs>
          <w:tab w:leader="none" w:pos="335" w:val="left"/>
        </w:tabs>
        <w:numPr>
          <w:ilvl w:val="0"/>
          <w:numId w:val="6"/>
        </w:numPr>
        <w:rPr>
          <w:rFonts w:ascii="Arial" w:cs="Arial" w:eastAsia="Arial" w:hAnsi="Arial"/>
          <w:sz w:val="22"/>
          <w:szCs w:val="22"/>
          <w:b w:val="1"/>
          <w:bCs w:val="1"/>
          <w:color w:val="auto"/>
        </w:rPr>
      </w:pPr>
      <w:r>
        <w:rPr>
          <w:rFonts w:ascii="Arial" w:cs="Arial" w:eastAsia="Arial" w:hAnsi="Arial"/>
          <w:sz w:val="20"/>
          <w:szCs w:val="20"/>
          <w:color w:val="auto"/>
        </w:rPr>
        <w:t>Total revenues were $3.5 billion, up 8% on a reported basis and up 3% on an operational basis compared to first-quarter 2025 results, primarily driven by strong growth in Greater China.</w:t>
      </w:r>
    </w:p>
    <w:p>
      <w:pPr>
        <w:spacing w:after="0" w:line="215" w:lineRule="exact"/>
        <w:rPr>
          <w:rFonts w:ascii="Arial" w:cs="Arial" w:eastAsia="Arial" w:hAnsi="Arial"/>
          <w:sz w:val="22"/>
          <w:szCs w:val="22"/>
          <w:b w:val="1"/>
          <w:bCs w:val="1"/>
          <w:color w:val="auto"/>
        </w:rPr>
      </w:pPr>
    </w:p>
    <w:p>
      <w:pPr>
        <w:ind w:left="320" w:hanging="312"/>
        <w:spacing w:after="0"/>
        <w:tabs>
          <w:tab w:leader="none" w:pos="320" w:val="left"/>
        </w:tabs>
        <w:numPr>
          <w:ilvl w:val="0"/>
          <w:numId w:val="6"/>
        </w:numPr>
        <w:rPr>
          <w:rFonts w:ascii="Arial" w:cs="Arial" w:eastAsia="Arial" w:hAnsi="Arial"/>
          <w:sz w:val="22"/>
          <w:szCs w:val="22"/>
          <w:b w:val="1"/>
          <w:bCs w:val="1"/>
          <w:color w:val="auto"/>
        </w:rPr>
      </w:pPr>
      <w:r>
        <w:rPr>
          <w:rFonts w:ascii="Arial" w:cs="Arial" w:eastAsia="Arial" w:hAnsi="Arial"/>
          <w:sz w:val="20"/>
          <w:szCs w:val="20"/>
          <w:color w:val="auto"/>
        </w:rPr>
        <w:t>Brands net sales reflect accelerated growth in Greater China and continued strength in Emerging Markets.</w:t>
      </w:r>
    </w:p>
    <w:p>
      <w:pPr>
        <w:spacing w:after="0" w:line="260" w:lineRule="exact"/>
        <w:rPr>
          <w:rFonts w:ascii="Arial" w:cs="Arial" w:eastAsia="Arial" w:hAnsi="Arial"/>
          <w:sz w:val="22"/>
          <w:szCs w:val="22"/>
          <w:b w:val="1"/>
          <w:bCs w:val="1"/>
          <w:color w:val="auto"/>
        </w:rPr>
      </w:pPr>
    </w:p>
    <w:p>
      <w:pPr>
        <w:ind w:left="340" w:right="760" w:hanging="332"/>
        <w:spacing w:after="0" w:line="247" w:lineRule="auto"/>
        <w:tabs>
          <w:tab w:leader="none" w:pos="335" w:val="left"/>
        </w:tabs>
        <w:numPr>
          <w:ilvl w:val="0"/>
          <w:numId w:val="6"/>
        </w:numPr>
        <w:rPr>
          <w:rFonts w:ascii="Arial" w:cs="Arial" w:eastAsia="Arial" w:hAnsi="Arial"/>
          <w:sz w:val="22"/>
          <w:szCs w:val="22"/>
          <w:b w:val="1"/>
          <w:bCs w:val="1"/>
          <w:color w:val="auto"/>
        </w:rPr>
      </w:pPr>
      <w:r>
        <w:rPr>
          <w:rFonts w:ascii="Arial" w:cs="Arial" w:eastAsia="Arial" w:hAnsi="Arial"/>
          <w:sz w:val="20"/>
          <w:szCs w:val="20"/>
          <w:color w:val="auto"/>
        </w:rPr>
        <w:t>Generics net sales reflect contributions from new product launches, in addition to growth of certain products in North America, partially offset by supply constraints in our ARV business within Emerging Markets.</w:t>
      </w:r>
    </w:p>
    <w:p>
      <w:pPr>
        <w:sectPr>
          <w:pgSz w:w="11900" w:h="16838" w:orient="portrait"/>
          <w:cols w:equalWidth="0" w:num="1">
            <w:col w:w="11240"/>
          </w:cols>
          <w:pgMar w:left="320" w:top="1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101" w:right="339" w:bottom="1440" w:gutter="0" w:footer="0" w:header="0"/>
          <w:type w:val="continuous"/>
        </w:sectPr>
      </w:pPr>
    </w:p>
    <w:bookmarkStart w:id="6" w:name="page7"/>
    <w:bookmarkEnd w:id="6"/>
    <w:p>
      <w:pPr>
        <w:ind w:left="340" w:right="640" w:hanging="332"/>
        <w:spacing w:after="0" w:line="262" w:lineRule="auto"/>
        <w:tabs>
          <w:tab w:leader="none" w:pos="335" w:val="left"/>
        </w:tabs>
        <w:numPr>
          <w:ilvl w:val="0"/>
          <w:numId w:val="7"/>
        </w:numPr>
        <w:rPr>
          <w:rFonts w:ascii="Arial" w:cs="Arial" w:eastAsia="Arial" w:hAnsi="Arial"/>
          <w:sz w:val="22"/>
          <w:szCs w:val="22"/>
          <w:b w:val="1"/>
          <w:bCs w:val="1"/>
          <w:color w:val="auto"/>
        </w:rPr>
      </w:pPr>
      <w:r>
        <w:rPr>
          <w:rFonts w:ascii="Arial" w:cs="Arial" w:eastAsia="Arial" w:hAnsi="Arial"/>
          <w:sz w:val="20"/>
          <w:szCs w:val="20"/>
          <w:color w:val="auto"/>
        </w:rPr>
        <w:t>The Company generated approximately $71 million in new product revenues in the quarter and continues to expect to deliver approximately $450 million to $550 million in new product revenues in 2026.</w:t>
      </w:r>
    </w:p>
    <w:p>
      <w:pPr>
        <w:spacing w:after="0" w:line="215" w:lineRule="exact"/>
        <w:rPr>
          <w:rFonts w:ascii="Arial" w:cs="Arial" w:eastAsia="Arial" w:hAnsi="Arial"/>
          <w:sz w:val="22"/>
          <w:szCs w:val="22"/>
          <w:b w:val="1"/>
          <w:bCs w:val="1"/>
          <w:color w:val="auto"/>
        </w:rPr>
      </w:pPr>
    </w:p>
    <w:p>
      <w:pPr>
        <w:ind w:left="340" w:right="40" w:hanging="332"/>
        <w:spacing w:after="0" w:line="268" w:lineRule="auto"/>
        <w:tabs>
          <w:tab w:leader="none" w:pos="335" w:val="left"/>
        </w:tabs>
        <w:numPr>
          <w:ilvl w:val="0"/>
          <w:numId w:val="7"/>
        </w:numPr>
        <w:rPr>
          <w:rFonts w:ascii="Arial" w:cs="Arial" w:eastAsia="Arial" w:hAnsi="Arial"/>
          <w:sz w:val="21"/>
          <w:szCs w:val="21"/>
          <w:b w:val="1"/>
          <w:bCs w:val="1"/>
          <w:color w:val="auto"/>
        </w:rPr>
      </w:pPr>
      <w:r>
        <w:rPr>
          <w:rFonts w:ascii="Arial" w:cs="Arial" w:eastAsia="Arial" w:hAnsi="Arial"/>
          <w:sz w:val="19"/>
          <w:szCs w:val="19"/>
          <w:color w:val="auto"/>
        </w:rPr>
        <w:t>U.S. GAAP net earnings were $176 million compared to U.S. GAAP net loss of $3.0 billion in the first quarter of 2025 and U.S. GAAP diluted EPS was $0.15 per share compared to a loss per share of $(2.55) in the first quarter of 2025. The loss in the first quarter of 2025 was primarily driven by the previously disclosed non-cash goodwill impairment charge of $2.9 billion.</w:t>
      </w:r>
    </w:p>
    <w:p>
      <w:pPr>
        <w:spacing w:after="0" w:line="227" w:lineRule="exact"/>
        <w:rPr>
          <w:rFonts w:ascii="Arial" w:cs="Arial" w:eastAsia="Arial" w:hAnsi="Arial"/>
          <w:sz w:val="21"/>
          <w:szCs w:val="21"/>
          <w:b w:val="1"/>
          <w:bCs w:val="1"/>
          <w:color w:val="auto"/>
        </w:rPr>
      </w:pPr>
    </w:p>
    <w:p>
      <w:pPr>
        <w:ind w:left="340" w:right="280" w:hanging="332"/>
        <w:spacing w:after="0" w:line="250" w:lineRule="auto"/>
        <w:tabs>
          <w:tab w:leader="none" w:pos="335" w:val="left"/>
        </w:tabs>
        <w:numPr>
          <w:ilvl w:val="0"/>
          <w:numId w:val="7"/>
        </w:numPr>
        <w:rPr>
          <w:rFonts w:ascii="Arial" w:cs="Arial" w:eastAsia="Arial" w:hAnsi="Arial"/>
          <w:sz w:val="22"/>
          <w:szCs w:val="22"/>
          <w:b w:val="1"/>
          <w:bCs w:val="1"/>
          <w:color w:val="auto"/>
        </w:rPr>
      </w:pPr>
      <w:r>
        <w:rPr>
          <w:rFonts w:ascii="Arial" w:cs="Arial" w:eastAsia="Arial" w:hAnsi="Arial"/>
          <w:sz w:val="20"/>
          <w:szCs w:val="20"/>
          <w:color w:val="auto"/>
        </w:rPr>
        <w:t>Adjusted EBITDA was $1.0 billion, up 14% on a reported basis and up 10% on an operational basis compared to the first quarter of 2025, and adjusted EPS was $0.59 per share, up 18% on a reported basis and up 14% on an operational basis compared to the first quarter of 2025.</w:t>
      </w:r>
    </w:p>
    <w:p>
      <w:pPr>
        <w:spacing w:after="0" w:line="242" w:lineRule="exact"/>
        <w:rPr>
          <w:rFonts w:ascii="Arial" w:cs="Arial" w:eastAsia="Arial" w:hAnsi="Arial"/>
          <w:sz w:val="22"/>
          <w:szCs w:val="22"/>
          <w:b w:val="1"/>
          <w:bCs w:val="1"/>
          <w:color w:val="auto"/>
        </w:rPr>
      </w:pPr>
    </w:p>
    <w:p>
      <w:pPr>
        <w:ind w:left="340" w:right="300" w:hanging="332"/>
        <w:spacing w:after="0" w:line="247" w:lineRule="auto"/>
        <w:tabs>
          <w:tab w:leader="none" w:pos="335" w:val="left"/>
        </w:tabs>
        <w:numPr>
          <w:ilvl w:val="0"/>
          <w:numId w:val="7"/>
        </w:numPr>
        <w:rPr>
          <w:rFonts w:ascii="Arial" w:cs="Arial" w:eastAsia="Arial" w:hAnsi="Arial"/>
          <w:sz w:val="22"/>
          <w:szCs w:val="22"/>
          <w:b w:val="1"/>
          <w:bCs w:val="1"/>
          <w:color w:val="auto"/>
        </w:rPr>
      </w:pPr>
      <w:r>
        <w:rPr>
          <w:rFonts w:ascii="Arial" w:cs="Arial" w:eastAsia="Arial" w:hAnsi="Arial"/>
          <w:sz w:val="20"/>
          <w:szCs w:val="20"/>
          <w:color w:val="auto"/>
        </w:rPr>
        <w:t>The Company generated U.S. GAAP net cash provided by operating activities of $388 million in the quarter and free cash flow, excluding the impact of transaction-related and restructuring-related costs, of $459 million.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Additional Highlights</w:t>
      </w:r>
    </w:p>
    <w:p>
      <w:pPr>
        <w:spacing w:after="0" w:line="231" w:lineRule="exact"/>
        <w:rPr>
          <w:sz w:val="20"/>
          <w:szCs w:val="20"/>
          <w:color w:val="auto"/>
        </w:rPr>
      </w:pPr>
    </w:p>
    <w:p>
      <w:pPr>
        <w:ind w:left="340" w:right="40" w:hanging="332"/>
        <w:spacing w:after="0" w:line="254" w:lineRule="auto"/>
        <w:tabs>
          <w:tab w:leader="none" w:pos="328" w:val="left"/>
        </w:tabs>
        <w:numPr>
          <w:ilvl w:val="0"/>
          <w:numId w:val="8"/>
        </w:numPr>
        <w:rPr>
          <w:rFonts w:ascii="Arial" w:cs="Arial" w:eastAsia="Arial" w:hAnsi="Arial"/>
          <w:sz w:val="20"/>
          <w:szCs w:val="20"/>
          <w:b w:val="1"/>
          <w:bCs w:val="1"/>
          <w:color w:val="7030A0"/>
        </w:rPr>
      </w:pPr>
      <w:r>
        <w:rPr>
          <w:rFonts w:ascii="Arial" w:cs="Arial" w:eastAsia="Arial" w:hAnsi="Arial"/>
          <w:sz w:val="20"/>
          <w:szCs w:val="20"/>
          <w:color w:val="auto"/>
        </w:rPr>
        <w:t>In May 2026, the Company announced that six abstracts on its investigational low dose estrogen weekly patch (150 mcg norelgestromin and 17.5 mcg ethinyl estradiol) for contraception were presented at the 2026 American College of Obstetricians and Gynecologists Annual Clinical &amp; Scientific Meeting in Washington, D.C., May 1-3, 2026. The presentations included positive results from the previously announced Phase 3 study evaluating the contraceptive efficacy and safety of the Company's investigational low dose estrogen weekly patch and new data on the patch’s adhesion profile under normal and under extreme conditions, as well as pharmacokinetic data and data on cycle control.</w:t>
      </w:r>
    </w:p>
    <w:p>
      <w:pPr>
        <w:spacing w:after="0" w:line="200" w:lineRule="exact"/>
        <w:rPr>
          <w:rFonts w:ascii="Arial" w:cs="Arial" w:eastAsia="Arial" w:hAnsi="Arial"/>
          <w:sz w:val="20"/>
          <w:szCs w:val="20"/>
          <w:b w:val="1"/>
          <w:bCs w:val="1"/>
          <w:color w:val="7030A0"/>
        </w:rPr>
      </w:pPr>
    </w:p>
    <w:p>
      <w:pPr>
        <w:ind w:left="340" w:right="160" w:hanging="332"/>
        <w:spacing w:after="0" w:line="259" w:lineRule="auto"/>
        <w:tabs>
          <w:tab w:leader="none" w:pos="328"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In April 2026, the Company announced that four abstracts were presented at the American Society of Cataract and Refractive Surgery Annual Meeting in Washington, D.C., April 10-13, 2026. The presentations included data across various areas of ophthalmology, including full results from VEGA-3, a Phase 3 study evaluating MR-141 (phentolamine ophthalmic solution 0.75%) for presbyopia.</w:t>
      </w:r>
    </w:p>
    <w:p>
      <w:pPr>
        <w:spacing w:after="0" w:line="195" w:lineRule="exact"/>
        <w:rPr>
          <w:rFonts w:ascii="Arial" w:cs="Arial" w:eastAsia="Arial" w:hAnsi="Arial"/>
          <w:sz w:val="20"/>
          <w:szCs w:val="20"/>
          <w:b w:val="1"/>
          <w:bCs w:val="1"/>
          <w:color w:val="auto"/>
        </w:rPr>
      </w:pPr>
    </w:p>
    <w:p>
      <w:pPr>
        <w:jc w:val="both"/>
        <w:ind w:left="340" w:right="320" w:hanging="332"/>
        <w:spacing w:after="0" w:line="269" w:lineRule="auto"/>
        <w:tabs>
          <w:tab w:leader="none" w:pos="328"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In March 2026, the Company announced that Japan's Ministry of Health, Labour and Welfare approved Effexor® SR 37.5 mg / 75 mg capsules (venlafaxine hydrochloride), a serotonin-noradrenaline reuptake inhibitor, for the treatment of adults with generalized anxiety disorder.</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2026 Financial Guidance</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Viatris is reaffirming its 2026 financial guidance ranges, as set forth below. The Company is not providing forward-looking guidance for U.S. GAAP net earnings (loss) or U.S. GAAP diluted earnings (loss) per share (EPS) or a quantitative reconciliation of its 2026 adjusted EBITDA or adjusted EPS guidance to the most directly comparable U.S. GAAP measures, U.S. GAAP net earnings (loss) or U.S. GAAP diluted EPS, respectively, because it is unable to predict with reasonable certainty the ultimate outcome of certain significant items, including integration, acquisition and divestiture-related expenses, restructuring expenses, asset impairments, litigation settlements, future share repurchases, and other contingencies, such as changes to contingent consideration, acquired IPR&amp;D and certain other gains or losses, including for the fair value accounting impact for equity investments, as well as related income tax accounting, because certain of these items have not occurred, are out of the Company’s control and/or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14" w:right="339" w:bottom="1440" w:gutter="0" w:footer="0" w:header="0"/>
        </w:sectPr>
      </w:pPr>
    </w:p>
    <w:bookmarkStart w:id="7" w:name="page8"/>
    <w:bookmarkEnd w:id="7"/>
    <w:p>
      <w:pPr>
        <w:ind w:right="160"/>
        <w:spacing w:after="0" w:line="259" w:lineRule="auto"/>
        <w:rPr>
          <w:sz w:val="20"/>
          <w:szCs w:val="20"/>
          <w:color w:val="auto"/>
        </w:rPr>
      </w:pPr>
      <w:r>
        <w:rPr>
          <w:rFonts w:ascii="Arial" w:cs="Arial" w:eastAsia="Arial" w:hAnsi="Arial"/>
          <w:sz w:val="20"/>
          <w:szCs w:val="20"/>
          <w:color w:val="auto"/>
        </w:rPr>
        <w:t>cannot be reasonably predicted without unreasonable effort. These items are uncertain, depend on various factors, and could have a material impact on U.S. GAAP reported results for the guidance period. With respect to the Estimated Ranges provided on February 26, 2026, and reaffirmed on May 7, 2026, U.S. GAAP net cash provided by operating activities for 2026 is estimated to be between $1.7 billion and $2.0 billion, with a midpoint of approximately $1.85 billion.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19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Estimated Guidance</w:t>
            </w:r>
          </w:p>
        </w:tc>
        <w:tc>
          <w:tcPr>
            <w:tcW w:w="1200" w:type="dxa"/>
            <w:vAlign w:val="bottom"/>
          </w:tcPr>
          <w:p>
            <w:pPr>
              <w:ind w:left="220"/>
              <w:spacing w:after="0"/>
              <w:rPr>
                <w:sz w:val="20"/>
                <w:szCs w:val="20"/>
                <w:color w:val="auto"/>
              </w:rPr>
            </w:pPr>
            <w:r>
              <w:rPr>
                <w:rFonts w:ascii="Arial" w:cs="Arial" w:eastAsia="Arial" w:hAnsi="Arial"/>
                <w:sz w:val="14"/>
                <w:szCs w:val="14"/>
                <w:b w:val="1"/>
                <w:bCs w:val="1"/>
                <w:color w:val="auto"/>
              </w:rPr>
              <w:t xml:space="preserve">Midpoint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44"/>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Adjusted EPS)</w:t>
            </w:r>
          </w:p>
        </w:tc>
        <w:tc>
          <w:tcPr>
            <w:tcW w:w="1920" w:type="dxa"/>
            <w:vAlign w:val="bottom"/>
            <w:gridSpan w:val="3"/>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5060" w:type="dxa"/>
            <w:vAlign w:val="bottom"/>
            <w:vMerge w:val="continue"/>
          </w:tcPr>
          <w:p>
            <w:pPr>
              <w:spacing w:after="0"/>
              <w:rPr>
                <w:sz w:val="17"/>
                <w:szCs w:val="17"/>
                <w:color w:val="auto"/>
              </w:rPr>
            </w:pPr>
          </w:p>
        </w:tc>
        <w:tc>
          <w:tcPr>
            <w:tcW w:w="1920" w:type="dxa"/>
            <w:vAlign w:val="bottom"/>
            <w:gridSpan w:val="3"/>
          </w:tcPr>
          <w:p>
            <w:pPr>
              <w:jc w:val="center"/>
              <w:ind w:right="80"/>
              <w:spacing w:after="0" w:line="201" w:lineRule="exact"/>
              <w:rPr>
                <w:sz w:val="20"/>
                <w:szCs w:val="20"/>
                <w:color w:val="auto"/>
              </w:rPr>
            </w:pPr>
            <w:r>
              <w:rPr>
                <w:rFonts w:ascii="Arial" w:cs="Arial" w:eastAsia="Arial" w:hAnsi="Arial"/>
                <w:sz w:val="14"/>
                <w:szCs w:val="14"/>
                <w:b w:val="1"/>
                <w:bCs w:val="1"/>
                <w:color w:val="auto"/>
                <w:w w:val="98"/>
              </w:rPr>
              <w:t xml:space="preserve">Ranges </w:t>
            </w:r>
            <w:r>
              <w:rPr>
                <w:rFonts w:ascii="Arial" w:cs="Arial" w:eastAsia="Arial" w:hAnsi="Arial"/>
                <w:sz w:val="18"/>
                <w:szCs w:val="18"/>
                <w:b w:val="1"/>
                <w:bCs w:val="1"/>
                <w:color w:val="auto"/>
                <w:w w:val="98"/>
                <w:vertAlign w:val="superscript"/>
              </w:rPr>
              <w:t>(2)</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$14,450</w:t>
            </w: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$14,950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$14,700</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6"/>
                <w:szCs w:val="16"/>
                <w:color w:val="auto"/>
              </w:rPr>
              <w:t>$4,150</w:t>
            </w:r>
          </w:p>
        </w:tc>
        <w:tc>
          <w:tcPr>
            <w:tcW w:w="980" w:type="dxa"/>
            <w:vAlign w:val="bottom"/>
          </w:tcPr>
          <w:p>
            <w:pPr>
              <w:ind w:left="20"/>
              <w:spacing w:after="0"/>
              <w:rPr>
                <w:sz w:val="20"/>
                <w:szCs w:val="20"/>
                <w:color w:val="auto"/>
              </w:rPr>
            </w:pPr>
            <w:r>
              <w:rPr>
                <w:rFonts w:ascii="Arial" w:cs="Arial" w:eastAsia="Arial" w:hAnsi="Arial"/>
                <w:sz w:val="16"/>
                <w:szCs w:val="16"/>
                <w:color w:val="auto"/>
              </w:rPr>
              <w:t>- $4,450</w:t>
            </w: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8"/>
              </w:rPr>
              <w:t>$4,300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$2.47</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$2.40</w:t>
            </w:r>
          </w:p>
        </w:tc>
        <w:tc>
          <w:tcPr>
            <w:tcW w:w="0" w:type="dxa"/>
            <w:vAlign w:val="bottom"/>
          </w:tcPr>
          <w:p>
            <w:pPr>
              <w:spacing w:after="0"/>
              <w:rPr>
                <w:sz w:val="1"/>
                <w:szCs w:val="1"/>
                <w:color w:val="auto"/>
              </w:rPr>
            </w:pPr>
          </w:p>
        </w:tc>
      </w:tr>
      <w:tr>
        <w:trPr>
          <w:trHeight w:val="166"/>
        </w:trPr>
        <w:tc>
          <w:tcPr>
            <w:tcW w:w="5060" w:type="dxa"/>
            <w:vAlign w:val="bottom"/>
          </w:tcPr>
          <w:p>
            <w:pPr>
              <w:ind w:left="20"/>
              <w:spacing w:after="0" w:line="166" w:lineRule="exact"/>
              <w:rPr>
                <w:sz w:val="20"/>
                <w:szCs w:val="20"/>
                <w:color w:val="auto"/>
              </w:rPr>
            </w:pPr>
            <w:r>
              <w:rPr>
                <w:rFonts w:ascii="Arial" w:cs="Arial" w:eastAsia="Arial" w:hAnsi="Arial"/>
                <w:sz w:val="15"/>
                <w:szCs w:val="15"/>
                <w:color w:val="auto"/>
              </w:rPr>
              <w:t xml:space="preserve">Free Cash Flow </w:t>
            </w:r>
            <w:r>
              <w:rPr>
                <w:rFonts w:ascii="Arial" w:cs="Arial" w:eastAsia="Arial" w:hAnsi="Arial"/>
                <w:sz w:val="19"/>
                <w:szCs w:val="19"/>
                <w:color w:val="auto"/>
                <w:vertAlign w:val="superscript"/>
              </w:rPr>
              <w:t>(1)</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$1,950</w:t>
            </w:r>
          </w:p>
        </w:tc>
        <w:tc>
          <w:tcPr>
            <w:tcW w:w="980" w:type="dxa"/>
            <w:vAlign w:val="bottom"/>
            <w:vMerge w:val="restart"/>
          </w:tcPr>
          <w:p>
            <w:pPr>
              <w:ind w:left="20"/>
              <w:spacing w:after="0"/>
              <w:rPr>
                <w:sz w:val="20"/>
                <w:szCs w:val="20"/>
                <w:color w:val="auto"/>
              </w:rPr>
            </w:pPr>
            <w:r>
              <w:rPr>
                <w:rFonts w:ascii="Arial" w:cs="Arial" w:eastAsia="Arial" w:hAnsi="Arial"/>
                <w:sz w:val="16"/>
                <w:szCs w:val="16"/>
                <w:color w:val="auto"/>
              </w:rPr>
              <w:t>- $2,350</w:t>
            </w:r>
          </w:p>
        </w:tc>
        <w:tc>
          <w:tcPr>
            <w:tcW w:w="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98"/>
              </w:rPr>
              <w:t>$2,150</w:t>
            </w:r>
          </w:p>
        </w:tc>
        <w:tc>
          <w:tcPr>
            <w:tcW w:w="0" w:type="dxa"/>
            <w:vAlign w:val="bottom"/>
          </w:tcPr>
          <w:p>
            <w:pPr>
              <w:spacing w:after="0"/>
              <w:rPr>
                <w:sz w:val="1"/>
                <w:szCs w:val="1"/>
                <w:color w:val="auto"/>
              </w:rPr>
            </w:pPr>
          </w:p>
        </w:tc>
      </w:tr>
      <w:tr>
        <w:trPr>
          <w:trHeight w:val="115"/>
        </w:trPr>
        <w:tc>
          <w:tcPr>
            <w:tcW w:w="5060" w:type="dxa"/>
            <w:vAlign w:val="bottom"/>
            <w:vMerge w:val="restart"/>
          </w:tcPr>
          <w:p>
            <w:pPr>
              <w:ind w:left="20"/>
              <w:spacing w:after="0"/>
              <w:rPr>
                <w:sz w:val="20"/>
                <w:szCs w:val="20"/>
                <w:color w:val="auto"/>
              </w:rPr>
            </w:pPr>
            <w:r>
              <w:rPr>
                <w:rFonts w:ascii="Arial" w:cs="Arial" w:eastAsia="Arial" w:hAnsi="Arial"/>
                <w:sz w:val="14"/>
                <w:szCs w:val="14"/>
                <w:color w:val="auto"/>
              </w:rPr>
              <w:t>Excluding Transaction-related and Restructuring-related Costs</w:t>
            </w: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50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540" w:hanging="208"/>
        <w:spacing w:after="0"/>
        <w:tabs>
          <w:tab w:leader="none" w:pos="54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39" w:lineRule="exact"/>
        <w:rPr>
          <w:rFonts w:ascii="Arial" w:cs="Arial" w:eastAsia="Arial" w:hAnsi="Arial"/>
          <w:sz w:val="19"/>
          <w:szCs w:val="19"/>
          <w:color w:val="auto"/>
          <w:vertAlign w:val="superscript"/>
        </w:rPr>
      </w:pPr>
    </w:p>
    <w:p>
      <w:pPr>
        <w:ind w:left="660" w:hanging="328"/>
        <w:spacing w:after="0" w:line="213" w:lineRule="auto"/>
        <w:tabs>
          <w:tab w:leader="none" w:pos="594"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2026 Financial Guidance as provided on February 26, 2026, and reaffirmed on May 7, 2026, excludes any acquired IPR&amp;D for unsigned deals to be incurred in any future period as it cannot be reasonably forecasted.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Conference Call and Earnings Materials</w:t>
      </w:r>
    </w:p>
    <w:p>
      <w:pPr>
        <w:spacing w:after="0" w:line="204" w:lineRule="exact"/>
        <w:rPr>
          <w:sz w:val="20"/>
          <w:szCs w:val="20"/>
          <w:color w:val="auto"/>
        </w:rPr>
      </w:pPr>
    </w:p>
    <w:p>
      <w:pPr>
        <w:ind w:right="140"/>
        <w:spacing w:after="0" w:line="258" w:lineRule="auto"/>
        <w:rPr>
          <w:sz w:val="20"/>
          <w:szCs w:val="20"/>
          <w:color w:val="auto"/>
        </w:rPr>
      </w:pPr>
      <w:r>
        <w:rPr>
          <w:rFonts w:ascii="Arial" w:cs="Arial" w:eastAsia="Arial" w:hAnsi="Arial"/>
          <w:sz w:val="20"/>
          <w:szCs w:val="20"/>
          <w:color w:val="auto"/>
        </w:rPr>
        <w:t>As previously announced, Viatris will host a conference call and live webcast, today at 8:30 a.m. ET, to review the Company’s first-quarter 2026 financial results. Investors and the general public are invited to listen to a live webcast of the call at investor.viatris.com or by calling 844.308.3344 or 412.317.1896 for international callers. The “Viatris Q1 2026 Earnings Presentation,” which will be referenced during the call, can be found at investor.viatris.com. A replay of the webcast also will be available on the website.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About Viatris</w:t>
      </w:r>
    </w:p>
    <w:p>
      <w:pPr>
        <w:spacing w:after="0" w:line="231"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Viatris Inc. (Nasdaq: VTRS) is a global healthcare company whose mission is to empower people worldwide to live healthier at every stage of life. We meet the needs of patients around the world by acting decisively with ingenuity and resolve. Whether we’re developing new medicines, working to maintain a resilient supply of needed therapies, or pursuing bold innovation, we strive to deliver solutions that are effective at scale and built to endure. We’re purpose-built to make an impact with a dynamic portfolio that spans generics, established brands and innovative medicines that address areas of significant unmet need. We are headquartered in the U.S., with global centers in Pittsburgh, Shanghai, China, and Hyderabad, India. Learn more at viatris.com and investor.viatris.com, and connect with us on LinkedIn, Instagram, YouTube and X.</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Non-GAAP Financial Measures</w:t>
      </w:r>
    </w:p>
    <w:p>
      <w:pPr>
        <w:spacing w:after="0" w:line="218" w:lineRule="exact"/>
        <w:rPr>
          <w:sz w:val="20"/>
          <w:szCs w:val="20"/>
          <w:color w:val="auto"/>
        </w:rPr>
      </w:pPr>
    </w:p>
    <w:p>
      <w:pPr>
        <w:ind w:right="140"/>
        <w:spacing w:after="0" w:line="252" w:lineRule="auto"/>
        <w:rPr>
          <w:sz w:val="20"/>
          <w:szCs w:val="20"/>
          <w:color w:val="auto"/>
        </w:rPr>
      </w:pPr>
      <w:r>
        <w:rPr>
          <w:rFonts w:ascii="Arial" w:cs="Arial" w:eastAsia="Arial" w:hAnsi="Arial"/>
          <w:sz w:val="20"/>
          <w:szCs w:val="20"/>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adjusted EPS, EBITDA, adjusted EBITDA, free cash flow, free cash flow excluding the impact of transaction-related and restructuring-related costs, adjusted R&amp;D and as a % of total revenues, adjusted SG&amp;A and as a % of total revenues, adjusted earnings from operations, adjusted interest expense, adjusted other income, net, adjusted effective tax rate, constant currency total revenues, constant currency net sales, constant currency adjusted EBITDA, and constant currency adjusted EPS,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87" w:right="339" w:bottom="1440" w:gutter="0" w:footer="0" w:header="0"/>
        </w:sectPr>
      </w:pPr>
    </w:p>
    <w:bookmarkStart w:id="8" w:name="page9"/>
    <w:bookmarkEnd w:id="8"/>
    <w:p>
      <w:pPr>
        <w:spacing w:after="0" w:line="262" w:lineRule="auto"/>
        <w:rPr>
          <w:sz w:val="20"/>
          <w:szCs w:val="20"/>
          <w:color w:val="auto"/>
        </w:rPr>
      </w:pPr>
      <w:r>
        <w:rPr>
          <w:rFonts w:ascii="Arial" w:cs="Arial" w:eastAsia="Arial" w:hAnsi="Arial"/>
          <w:sz w:val="19"/>
          <w:szCs w:val="19"/>
          <w:color w:val="auto"/>
        </w:rPr>
        <w:t>based awards. Primarily due to acquisitions, divestitures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adjusted EBITDA, and adjusted EPS. These measures provide information on the change in total revenues, net sales, adjusted EBITDA, and adjusted EPS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adjusted EBITDA, and adjusted EPS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The "Summary of Total Revenues by Segment" table below compares total revenues and net sales on an actual and constant currency basis for each reportable segment for the three months ended March 31, 2026 and 2025.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Quarterly Report on Form 10-Q for the three months ended March 31, 2026.</w:t>
      </w:r>
    </w:p>
    <w:p>
      <w:pPr>
        <w:spacing w:after="0" w:line="200" w:lineRule="exact"/>
        <w:rPr>
          <w:sz w:val="20"/>
          <w:szCs w:val="20"/>
          <w:color w:val="auto"/>
        </w:rPr>
      </w:pPr>
    </w:p>
    <w:p>
      <w:pPr>
        <w:spacing w:after="0" w:line="250"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With respect to the guidance ranges as provided on February 26, 2026, at that time the Company did not provide forward-looking guidance for U.S. GAAP net earnings (loss) or U.S. GAAP diluted EPS or a quantitative reconciliation of its 2026 adjusted EBITDA or adjusted EPS guidance to the most directly comparable U.S. GAAP measures, U.S. GAAP net earnings (loss) or U.S. GAAP diluted EPS, respectively, because it was unable to predict with reasonable certainty the ultimate outcome of certain significant items, including integration, acquisition and divestiture-related expenses, restructuring expenses, asset impairments, litigation settlements, future share repurchases, and other contingencies, such as changes to contingent consideration, acquired IPR&amp;D and certain other gains or losses, including for the fair value accounting impact for equity investments, as well as related income tax accounting, because certain of these items had not occurred, were out of the Company’s control, and/or could not be reasonably predicted without unreasonable effort. These items were uncertain, depended on various factors, and could have had a material impact on U.S. GAAP reported results for the guidance period. As previously disclosed, such guidance ranges excluded the impact of transaction-related and restructuring-related costs as well as any acquired IPR&amp;D for unsigned deals to be incurred in any future period as it could not be reasonably forecasted. With respect to the Estimated Ranges provided as of</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87" w:right="339" w:bottom="1440" w:gutter="0" w:footer="0" w:header="0"/>
        </w:sectPr>
      </w:pPr>
    </w:p>
    <w:bookmarkStart w:id="9" w:name="page10"/>
    <w:bookmarkEnd w:id="9"/>
    <w:p>
      <w:pPr>
        <w:ind w:right="160"/>
        <w:spacing w:after="0" w:line="286" w:lineRule="auto"/>
        <w:rPr>
          <w:sz w:val="20"/>
          <w:szCs w:val="20"/>
          <w:color w:val="auto"/>
        </w:rPr>
      </w:pPr>
      <w:r>
        <w:rPr>
          <w:rFonts w:ascii="Arial" w:cs="Arial" w:eastAsia="Arial" w:hAnsi="Arial"/>
          <w:sz w:val="20"/>
          <w:szCs w:val="20"/>
          <w:color w:val="auto"/>
        </w:rPr>
        <w:t>February 26, 2026, U.S. GAAP net cash provided by operating activities for 2026 was estimated to be between $1.7 billion and $2.0 billion, with a midpoint of approximately $1.85 billion.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Certain Key Terms and Presentation Matters</w:t>
      </w:r>
    </w:p>
    <w:p>
      <w:pPr>
        <w:spacing w:after="0" w:line="231"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u w:val="single" w:color="auto"/>
          <w:color w:val="auto"/>
        </w:rPr>
        <w:t>New product sales, new product launches or new product revenues:</w:t>
      </w:r>
      <w:r>
        <w:rPr>
          <w:rFonts w:ascii="Arial" w:cs="Arial" w:eastAsia="Arial" w:hAnsi="Arial"/>
          <w:sz w:val="20"/>
          <w:szCs w:val="20"/>
          <w:color w:val="auto"/>
        </w:rPr>
        <w:t xml:space="preserve"> Refers to revenue from new products launched in 2026 and the carryover impact of new products, including business development, launched within the last 12 months.</w:t>
      </w:r>
    </w:p>
    <w:p>
      <w:pPr>
        <w:spacing w:after="0" w:line="169" w:lineRule="exact"/>
        <w:rPr>
          <w:sz w:val="20"/>
          <w:szCs w:val="20"/>
          <w:color w:val="auto"/>
        </w:rPr>
      </w:pPr>
    </w:p>
    <w:p>
      <w:pPr>
        <w:jc w:val="both"/>
        <w:ind w:right="500"/>
        <w:spacing w:after="0" w:line="282" w:lineRule="auto"/>
        <w:rPr>
          <w:sz w:val="20"/>
          <w:szCs w:val="20"/>
          <w:color w:val="auto"/>
        </w:rPr>
      </w:pPr>
      <w:r>
        <w:rPr>
          <w:rFonts w:ascii="Arial" w:cs="Arial" w:eastAsia="Arial" w:hAnsi="Arial"/>
          <w:sz w:val="19"/>
          <w:szCs w:val="19"/>
          <w:u w:val="single" w:color="auto"/>
          <w:color w:val="auto"/>
        </w:rPr>
        <w:t>Operational change:</w:t>
      </w:r>
      <w:r>
        <w:rPr>
          <w:rFonts w:ascii="Arial" w:cs="Arial" w:eastAsia="Arial" w:hAnsi="Arial"/>
          <w:sz w:val="19"/>
          <w:szCs w:val="19"/>
          <w:color w:val="auto"/>
        </w:rPr>
        <w:t xml:space="preserve"> Refers to constant currency percentage changes and is derived by translating amounts for the current period at prior year comparative period exchange rates and in doing so shows the percentage change from 2026 constant currency net sales, total revenues, adjusted EBITDA, and adjusted EPS to the corresponding amount in the prior year.</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Transaction-related costs:</w:t>
      </w:r>
      <w:r>
        <w:rPr>
          <w:rFonts w:ascii="Arial" w:cs="Arial" w:eastAsia="Arial" w:hAnsi="Arial"/>
          <w:sz w:val="20"/>
          <w:szCs w:val="20"/>
          <w:color w:val="auto"/>
        </w:rPr>
        <w:t xml:space="preserve"> Refers to the impact of any acquisition and divestiture-related transaction costs, including taxes.</w:t>
      </w:r>
    </w:p>
    <w:p>
      <w:pPr>
        <w:spacing w:after="0" w:line="243"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u w:val="single" w:color="auto"/>
          <w:color w:val="auto"/>
        </w:rPr>
        <w:t>Restructuring-related costs:</w:t>
      </w:r>
      <w:r>
        <w:rPr>
          <w:rFonts w:ascii="Arial" w:cs="Arial" w:eastAsia="Arial" w:hAnsi="Arial"/>
          <w:sz w:val="20"/>
          <w:szCs w:val="20"/>
          <w:color w:val="auto"/>
        </w:rPr>
        <w:t xml:space="preserve"> Refers to the impact of any cash costs associated with the restructuring activities of the enterprise-wide strategic review, which are expected to be primarily related to severance and employee benefits expense, as well as other costs, including those related to contract terminations, vendor consolidations, product transfer costs and network related simplification and modernization costs.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Forward-Looking Statements</w:t>
      </w:r>
    </w:p>
    <w:p>
      <w:pPr>
        <w:spacing w:after="0" w:line="218"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This press release contains “forward-looking statements”. These statements are made pursuant to the safe harbor provisions of the Private Securities Litigation Reform Act of 1995. Such forward-looking statements may include, without limitation, statements about our 2026 financial guidance; demonstrating solid operating leverage; progresses key launches and pipeline milestones across multiple products, including the launch of Effexor® for generalized anxiety disorder in Japan; continues to expect more than $2.5 billion of cash available for deployment in 2026; reaffirms 2026 guidance; delivered a strong first quarter, reflecting disciplined execution across our global businesses; our performance reinforces the growth trajectory we outlined at our Investor Event in March; we saw continued momentum in key markets like Greater China and North America, progressed on launches and advanced our pipeline with multiple near-term catalysts; we expect to generate significant cash in 2026, providing flexibility to execute against our balanced capital allocation framework; based on our strong start, we believe we are well positioned to deliver on our full-year guidance, and we remain focused on building a more durable, higher-quality growth profile for Viatris; continues to expect to deliver approximately $450 million to $550 million in new product revenues in 2026; the goals or outlooks with respect to the Company’s strategic initiatives and priorities, including but not limited to divestitures, acquisitions, strategic alliances, collaborations, or other potential transactions; the anticipated benefits of such strategic initiatives or priorities or restructuring activities; future opportunities for the Company and its products; the outcomes of clinical trials and research studies; R&amp;D and new product development;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not realize the intended benefits of, or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7" w:right="339" w:bottom="1440" w:gutter="0" w:footer="0" w:header="0"/>
        </w:sectPr>
      </w:pPr>
    </w:p>
    <w:bookmarkStart w:id="10" w:name="page11"/>
    <w:bookmarkEnd w:id="10"/>
    <w:p>
      <w:pPr>
        <w:spacing w:after="0" w:line="262" w:lineRule="auto"/>
        <w:rPr>
          <w:sz w:val="20"/>
          <w:szCs w:val="20"/>
          <w:color w:val="auto"/>
        </w:rPr>
      </w:pPr>
      <w:r>
        <w:rPr>
          <w:rFonts w:ascii="Arial" w:cs="Arial" w:eastAsia="Arial" w:hAnsi="Arial"/>
          <w:sz w:val="19"/>
          <w:szCs w:val="19"/>
          <w:color w:val="auto"/>
        </w:rPr>
        <w:t>achieve the intended goals or outlooks with respect to, its strategic initiatives and priorities; the possibility that the Company may be unable to achieve the intended or expected benefits of its enterprise-wide strategic review and related cost-saving and restructuring activities within the expected timeframe or at all; the possibility that the Company may be unable to achieve intended or expected benefits in connection with divestitures, acquisitions, strategic alliances, collaborations, or other transactions, or restructuring programs, within the expected timeframes or at all; goodwill or impairment charges or other losses; success of clinical trials and the Company’s or its partners’ ability to execute on new product opportunities and develop, manufacture and commercialize products; any changes in or difficulties with the Company’s manufacturing facilities, including with respect to short- or long-term shutdowns, inspections, remediation and restructuring activities, supply chain continuity, inventory management, or the ability to meet anticipated demand; the Company’s failure to achieve expected or targeted future financial and operating performance and results; the potential impact of natural or man-made disasters, public health outbreaks, fires, accidents, weather, unrest or other emergencies in regions where we or our partners or suppliers operate;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the Company’s liquidity, capital resources and ability to obtain financing; any regulatory, legal or other impediments to the Company’s ability to bring new products to market; products in development that receive regulatory approval may not achieve expected levels of market acceptance, efficacy or safety; longer review, response and approval times as a result of evolving regulatory priorities and reductions in personnel at health agencies; the scope, timing and outcome of any ongoing legal proceedings, including government inquiries or investigations, and the impact of any such proceedings on the Company; any significant breach of data security or data privacy or disruptions to our IT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adverse regulatory action,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wars or other conflicts, potential for adverse impacts from future tariffs and trade restrictions,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Viatris, see the risks described in Part I, Item 1A of the Company’s Annual Report on Form 10-K for the year ended December 31, 2025,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press release or our filings with the SEC. Viatris undertakes no obligation to update any statements herein for revisions or changes after the date of this press release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887" w:right="35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7030A0"/>
        </w:rPr>
        <w:t>Contacts</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Media:</w:t>
      </w:r>
    </w:p>
    <w:p>
      <w:pPr>
        <w:spacing w:after="0" w:line="31" w:lineRule="exact"/>
        <w:rPr>
          <w:sz w:val="20"/>
          <w:szCs w:val="20"/>
          <w:color w:val="auto"/>
        </w:rPr>
      </w:pPr>
    </w:p>
    <w:p>
      <w:pPr>
        <w:ind w:left="280" w:hanging="254"/>
        <w:spacing w:after="0"/>
        <w:tabs>
          <w:tab w:leader="none" w:pos="2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1.724.514.1968</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Communications@viatris.com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 Mauer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Jennifer.Mauer@viatris.com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 Klein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Matthew.Klein@viatris.com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Investors:</w:t>
      </w:r>
    </w:p>
    <w:p>
      <w:pPr>
        <w:spacing w:after="0" w:line="31" w:lineRule="exact"/>
        <w:rPr>
          <w:sz w:val="20"/>
          <w:szCs w:val="20"/>
          <w:color w:val="auto"/>
        </w:rPr>
      </w:pPr>
    </w:p>
    <w:p>
      <w:pPr>
        <w:ind w:left="280" w:hanging="254"/>
        <w:spacing w:after="0"/>
        <w:tabs>
          <w:tab w:leader="none" w:pos="2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1.724.514.1813</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InvestorRelations@viatris.com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Bill Szablewski</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William.Szablewski@viatris.com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39"/>
          </w:cols>
          <w:pgMar w:left="320" w:top="885" w:right="1440"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4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3,509.7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3,243.2</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9"/>
        </w:trPr>
        <w:tc>
          <w:tcPr>
            <w:tcW w:w="86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3,517.0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3,254.3</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2,359.8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2,093.1</w:t>
            </w:r>
          </w:p>
        </w:tc>
        <w:tc>
          <w:tcPr>
            <w:tcW w:w="0" w:type="dxa"/>
            <w:vAlign w:val="bottom"/>
          </w:tcPr>
          <w:p>
            <w:pPr>
              <w:spacing w:after="0"/>
              <w:rPr>
                <w:sz w:val="1"/>
                <w:szCs w:val="1"/>
                <w:color w:val="auto"/>
              </w:rPr>
            </w:pPr>
          </w:p>
        </w:tc>
      </w:tr>
      <w:tr>
        <w:trPr>
          <w:trHeight w:val="20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1,161.2</w:t>
            </w: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4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222.0</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Acquired IPR&amp;D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864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948.1</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2,936.8</w:t>
            </w:r>
          </w:p>
        </w:tc>
        <w:tc>
          <w:tcPr>
            <w:tcW w:w="0" w:type="dxa"/>
            <w:vAlign w:val="bottom"/>
          </w:tcPr>
          <w:p>
            <w:pPr>
              <w:spacing w:after="0"/>
              <w:rPr>
                <w:sz w:val="1"/>
                <w:szCs w:val="1"/>
                <w:color w:val="auto"/>
              </w:rPr>
            </w:pPr>
          </w:p>
        </w:tc>
      </w:tr>
      <w:tr>
        <w:trPr>
          <w:trHeight w:val="215"/>
        </w:trPr>
        <w:tc>
          <w:tcPr>
            <w:tcW w:w="8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4,043.4</w:t>
            </w:r>
          </w:p>
        </w:tc>
        <w:tc>
          <w:tcPr>
            <w:tcW w:w="0" w:type="dxa"/>
            <w:vAlign w:val="bottom"/>
          </w:tcPr>
          <w:p>
            <w:pPr>
              <w:spacing w:after="0"/>
              <w:rPr>
                <w:sz w:val="1"/>
                <w:szCs w:val="1"/>
                <w:color w:val="auto"/>
              </w:rPr>
            </w:pPr>
          </w:p>
        </w:tc>
      </w:tr>
      <w:tr>
        <w:trPr>
          <w:trHeight w:val="209"/>
        </w:trPr>
        <w:tc>
          <w:tcPr>
            <w:tcW w:w="86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(2,882.2)</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15"/>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(3,097.0)</w:t>
            </w:r>
          </w:p>
        </w:tc>
        <w:tc>
          <w:tcPr>
            <w:tcW w:w="0" w:type="dxa"/>
            <w:vAlign w:val="bottom"/>
          </w:tcPr>
          <w:p>
            <w:pPr>
              <w:spacing w:after="0"/>
              <w:rPr>
                <w:sz w:val="1"/>
                <w:szCs w:val="1"/>
                <w:color w:val="auto"/>
              </w:rPr>
            </w:pPr>
          </w:p>
        </w:tc>
      </w:tr>
      <w:tr>
        <w:trPr>
          <w:trHeight w:val="215"/>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3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(3,042.0)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(loss)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8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40" w:type="dxa"/>
            <w:vAlign w:val="bottom"/>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1,192.4</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60" w:top="890"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3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8340" w:type="dxa"/>
            <w:vAlign w:val="bottom"/>
            <w:shd w:val="clear" w:color="auto" w:fill="CCEEFF"/>
          </w:tcPr>
          <w:p>
            <w:pPr>
              <w:ind w:left="528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46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1,804.2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1,322.4</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3,031.3</w:t>
            </w:r>
          </w:p>
        </w:tc>
        <w:tc>
          <w:tcPr>
            <w:tcW w:w="0" w:type="dxa"/>
            <w:vAlign w:val="bottom"/>
          </w:tcPr>
          <w:p>
            <w:pPr>
              <w:spacing w:after="0"/>
              <w:rPr>
                <w:sz w:val="1"/>
                <w:szCs w:val="1"/>
                <w:color w:val="auto"/>
              </w:rPr>
            </w:pPr>
          </w:p>
        </w:tc>
      </w:tr>
      <w:tr>
        <w:trPr>
          <w:trHeight w:val="215"/>
        </w:trPr>
        <w:tc>
          <w:tcPr>
            <w:tcW w:w="834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3,927.0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3,999.2</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1,436.3</w:t>
            </w:r>
          </w:p>
        </w:tc>
        <w:tc>
          <w:tcPr>
            <w:tcW w:w="0" w:type="dxa"/>
            <w:vAlign w:val="bottom"/>
          </w:tcPr>
          <w:p>
            <w:pPr>
              <w:spacing w:after="0"/>
              <w:rPr>
                <w:sz w:val="1"/>
                <w:szCs w:val="1"/>
                <w:color w:val="auto"/>
              </w:rPr>
            </w:pPr>
          </w:p>
        </w:tc>
      </w:tr>
      <w:tr>
        <w:trPr>
          <w:trHeight w:val="209"/>
        </w:trPr>
        <w:tc>
          <w:tcPr>
            <w:tcW w:w="834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10,916.8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9,789.2</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15,102.1</w:t>
            </w:r>
          </w:p>
        </w:tc>
        <w:tc>
          <w:tcPr>
            <w:tcW w:w="0" w:type="dxa"/>
            <w:vAlign w:val="bottom"/>
          </w:tcPr>
          <w:p>
            <w:pPr>
              <w:spacing w:after="0"/>
              <w:rPr>
                <w:sz w:val="1"/>
                <w:szCs w:val="1"/>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6,692.4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6,754.7</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5,547.1</w:t>
            </w:r>
          </w:p>
        </w:tc>
        <w:tc>
          <w:tcPr>
            <w:tcW w:w="0" w:type="dxa"/>
            <w:vAlign w:val="bottom"/>
          </w:tcPr>
          <w:p>
            <w:pPr>
              <w:spacing w:after="0"/>
              <w:rPr>
                <w:sz w:val="1"/>
                <w:szCs w:val="1"/>
                <w:color w:val="auto"/>
              </w:rPr>
            </w:pPr>
          </w:p>
        </w:tc>
      </w:tr>
      <w:tr>
        <w:trPr>
          <w:trHeight w:val="210"/>
        </w:trPr>
        <w:tc>
          <w:tcPr>
            <w:tcW w:w="83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36,834.6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37,193.1</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shd w:val="clear" w:color="auto" w:fill="CCEEFF"/>
          </w:tcPr>
          <w:p>
            <w:pPr>
              <w:ind w:left="46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1,933.3</w:t>
            </w:r>
          </w:p>
        </w:tc>
        <w:tc>
          <w:tcPr>
            <w:tcW w:w="0" w:type="dxa"/>
            <w:vAlign w:val="bottom"/>
          </w:tcPr>
          <w:p>
            <w:pPr>
              <w:spacing w:after="0"/>
              <w:rPr>
                <w:sz w:val="1"/>
                <w:szCs w:val="1"/>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4,879.2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5,161.0</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12,480.6</w:t>
            </w:r>
          </w:p>
        </w:tc>
        <w:tc>
          <w:tcPr>
            <w:tcW w:w="0" w:type="dxa"/>
            <w:vAlign w:val="bottom"/>
          </w:tcPr>
          <w:p>
            <w:pPr>
              <w:spacing w:after="0"/>
              <w:rPr>
                <w:sz w:val="1"/>
                <w:szCs w:val="1"/>
                <w:color w:val="auto"/>
              </w:rPr>
            </w:pPr>
          </w:p>
        </w:tc>
      </w:tr>
      <w:tr>
        <w:trPr>
          <w:trHeight w:val="215"/>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2,953.1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2,906.9</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22,481.8</w:t>
            </w:r>
          </w:p>
        </w:tc>
        <w:tc>
          <w:tcPr>
            <w:tcW w:w="0" w:type="dxa"/>
            <w:vAlign w:val="bottom"/>
          </w:tcPr>
          <w:p>
            <w:pPr>
              <w:spacing w:after="0"/>
              <w:rPr>
                <w:sz w:val="1"/>
                <w:szCs w:val="1"/>
                <w:color w:val="auto"/>
              </w:rPr>
            </w:pPr>
          </w:p>
        </w:tc>
      </w:tr>
      <w:tr>
        <w:trPr>
          <w:trHeight w:val="21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14,711.3</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36,834.6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37,193.1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40" w:top="890"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r>
      <w:tr>
        <w:trPr>
          <w:trHeight w:val="19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Select Key Global Products</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Lipitor ®</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462.0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388.0</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Norvasc ®</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w:t>
            </w: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Lyrica ®</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112.6</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EpiPen® Auto-Injectors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Creon ®</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82.4</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Viagra ®</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Zoloft ®</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Celebrex ®</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Effexor ®</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Xalabrands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16"/>
        </w:trPr>
        <w:tc>
          <w:tcPr>
            <w:tcW w:w="8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Select Key Segment Products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Yupelri ®</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Dymista ®</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Xanax ®</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Amitiza ®</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7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 does not disclose net sales for any products considered competitively sensitive.</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Products disclosed may change in future periods, including as a result of seasonality, competition or new product launches.</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Amounts include the impact of foreign currency fluctuations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3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6"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Reconciliation of U.S. GAAP Net Earnings (Loss) to Adjusted Net Earnings and U.S. GAAP Earnings (Loss) Per Share to Adjusted EPS</w:t>
      </w:r>
    </w:p>
    <w:p>
      <w:pPr>
        <w:spacing w:after="0" w:line="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Below is a reconciliation of U.S. GAAP net earnings (loss) and diluted earnings (loss) per share to adjusted net earnings and adjusted EPS for the three months ended March 31, 2026,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97"/>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2026</w:t>
            </w: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211"/>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 (loss) and U.S. GAAP diluted earnings (loss) per share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Purchase accounting amortization (primarily included in cost of sales)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Litigation settlements and other contingencies, net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(primarily amortization of premiums and discounts on long term debt)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Loss on divestitures of businesses (included in other expense, net)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74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Acquisition and divestiture-related costs (primarily included in cost of sales and SG&amp;A) </w:t>
            </w:r>
            <w:r>
              <w:rPr>
                <w:rFonts w:ascii="Arial" w:cs="Arial" w:eastAsia="Arial" w:hAnsi="Arial"/>
                <w:sz w:val="21"/>
                <w:szCs w:val="21"/>
                <w:color w:val="auto"/>
                <w:vertAlign w:val="superscript"/>
              </w:rPr>
              <w:t>(a)</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Restructuring costs </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Other special items included in:</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744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1"/>
                <w:szCs w:val="21"/>
                <w:color w:val="auto"/>
                <w:vertAlign w:val="superscript"/>
              </w:rPr>
              <w:t>(c)</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5"/>
        </w:trPr>
        <w:tc>
          <w:tcPr>
            <w:tcW w:w="7440" w:type="dxa"/>
            <w:vAlign w:val="bottom"/>
          </w:tcPr>
          <w:p>
            <w:pPr>
              <w:ind w:left="220"/>
              <w:spacing w:after="0"/>
              <w:rPr>
                <w:sz w:val="20"/>
                <w:szCs w:val="20"/>
                <w:color w:val="auto"/>
              </w:rPr>
            </w:pPr>
            <w:r>
              <w:rPr>
                <w:rFonts w:ascii="Arial" w:cs="Arial" w:eastAsia="Arial" w:hAnsi="Arial"/>
                <w:sz w:val="16"/>
                <w:szCs w:val="16"/>
                <w:color w:val="auto"/>
              </w:rPr>
              <w:t>Research and development expense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744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Other expense, net </w:t>
            </w:r>
            <w:r>
              <w:rPr>
                <w:rFonts w:ascii="Arial" w:cs="Arial" w:eastAsia="Arial" w:hAnsi="Arial"/>
                <w:sz w:val="21"/>
                <w:szCs w:val="21"/>
                <w:color w:val="auto"/>
                <w:vertAlign w:val="superscript"/>
              </w:rPr>
              <w:t>(d)</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effect of the above items and other income tax related items </w:t>
            </w:r>
            <w:r>
              <w:rPr>
                <w:rFonts w:ascii="Arial" w:cs="Arial" w:eastAsia="Arial" w:hAnsi="Arial"/>
                <w:sz w:val="21"/>
                <w:szCs w:val="21"/>
                <w:color w:val="auto"/>
                <w:vertAlign w:val="superscript"/>
              </w:rPr>
              <w:t>(e)</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0"/>
        </w:trPr>
        <w:tc>
          <w:tcPr>
            <w:tcW w:w="7440" w:type="dxa"/>
            <w:vAlign w:val="bottom"/>
          </w:tcPr>
          <w:p>
            <w:pPr>
              <w:ind w:left="20"/>
              <w:spacing w:after="0"/>
              <w:rPr>
                <w:sz w:val="20"/>
                <w:szCs w:val="20"/>
                <w:color w:val="auto"/>
              </w:rPr>
            </w:pPr>
            <w:r>
              <w:rPr>
                <w:rFonts w:ascii="Arial" w:cs="Arial" w:eastAsia="Arial" w:hAnsi="Arial"/>
                <w:sz w:val="16"/>
                <w:szCs w:val="16"/>
                <w:color w:val="auto"/>
              </w:rPr>
              <w:t>Adjusted net earnings and adjusted EPS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600.3</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0.50</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r>
      <w:tr>
        <w:trPr>
          <w:trHeight w:val="23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diluted shares outstanding</w:t>
            </w: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include the following:</w:t>
      </w:r>
    </w:p>
    <w:p>
      <w:pPr>
        <w:spacing w:after="0" w:line="73" w:lineRule="exact"/>
        <w:rPr>
          <w:sz w:val="20"/>
          <w:szCs w:val="20"/>
          <w:color w:val="auto"/>
        </w:rPr>
      </w:pPr>
    </w:p>
    <w:p>
      <w:pPr>
        <w:ind w:left="660" w:right="20" w:hanging="328"/>
        <w:spacing w:after="0" w:line="227" w:lineRule="auto"/>
        <w:tabs>
          <w:tab w:leader="none" w:pos="65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Acquisition and divestiture-related costs consist primarily of contractual obligations related to divestitures, transaction costs including legal and consulting fees, and integration activities.</w:t>
      </w:r>
    </w:p>
    <w:p>
      <w:pPr>
        <w:spacing w:after="0" w:line="29" w:lineRule="exact"/>
        <w:rPr>
          <w:rFonts w:ascii="Arial" w:cs="Arial" w:eastAsia="Arial" w:hAnsi="Arial"/>
          <w:sz w:val="21"/>
          <w:szCs w:val="21"/>
          <w:color w:val="auto"/>
          <w:vertAlign w:val="superscript"/>
        </w:rPr>
      </w:pPr>
    </w:p>
    <w:p>
      <w:pPr>
        <w:ind w:left="660" w:hanging="328"/>
        <w:spacing w:after="0" w:line="235" w:lineRule="auto"/>
        <w:tabs>
          <w:tab w:leader="none" w:pos="65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2026, charges include approximately $49.8 million in cost of sales, approximately $0.6 million in R&amp;D, and approximately $42.0 million in SG&amp;A, primarily relating to the 2026 restructuring program.</w:t>
      </w:r>
    </w:p>
    <w:p>
      <w:pPr>
        <w:spacing w:after="0" w:line="28" w:lineRule="exact"/>
        <w:rPr>
          <w:rFonts w:ascii="Arial" w:cs="Arial" w:eastAsia="Arial" w:hAnsi="Arial"/>
          <w:sz w:val="21"/>
          <w:szCs w:val="21"/>
          <w:color w:val="auto"/>
          <w:vertAlign w:val="superscript"/>
        </w:rPr>
      </w:pPr>
    </w:p>
    <w:p>
      <w:pPr>
        <w:jc w:val="both"/>
        <w:ind w:left="660" w:hanging="328"/>
        <w:spacing w:after="0"/>
        <w:tabs>
          <w:tab w:leader="none" w:pos="64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2026, includes certain asset impairments, contractual termination costs, and incremental manufacturing variances and certain remediation costs at plants slated for sale or closure or undergoing remediation activities of approximately $130.7 million, including $71.9 million related to the write off inventory and fixed assets damaged in the fire at the Nashik manufacturing facility and incremental manufacturing variances.</w:t>
      </w:r>
    </w:p>
    <w:p>
      <w:pPr>
        <w:spacing w:after="0" w:line="43" w:lineRule="exact"/>
        <w:rPr>
          <w:rFonts w:ascii="Arial" w:cs="Arial" w:eastAsia="Arial" w:hAnsi="Arial"/>
          <w:sz w:val="21"/>
          <w:szCs w:val="21"/>
          <w:color w:val="auto"/>
          <w:vertAlign w:val="superscript"/>
        </w:rPr>
      </w:pPr>
    </w:p>
    <w:p>
      <w:pPr>
        <w:ind w:left="660" w:hanging="328"/>
        <w:spacing w:after="0" w:line="227" w:lineRule="auto"/>
        <w:tabs>
          <w:tab w:leader="none" w:pos="65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2026, charges include a loss of approximately $64.9 million as a result of changes in the fair value of the Biocon Limited equity shares.</w:t>
      </w:r>
    </w:p>
    <w:p>
      <w:pPr>
        <w:spacing w:after="0" w:line="16"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Reconciliation of U.S. GAAP Net Earnings (Loss) to EBITDA and Adjusted EBITDA</w:t>
      </w:r>
    </w:p>
    <w:p>
      <w:pPr>
        <w:spacing w:after="0" w:line="30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Below is a reconciliation of U.S. GAAP net earnings (loss) to EBITDA and adjusted EBITDA for the three months ended March 31, 2026,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197"/>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r>
      <w:tr>
        <w:trPr>
          <w:trHeight w:val="210"/>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 (loss)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(3,042.0)</w:t>
            </w:r>
          </w:p>
        </w:tc>
      </w:tr>
      <w:tr>
        <w:trPr>
          <w:trHeight w:val="215"/>
        </w:trPr>
        <w:tc>
          <w:tcPr>
            <w:tcW w:w="870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benefit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6"/>
        </w:trPr>
        <w:tc>
          <w:tcPr>
            <w:tcW w:w="870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115.5</w:t>
            </w:r>
          </w:p>
        </w:tc>
      </w:tr>
      <w:tr>
        <w:trPr>
          <w:trHeight w:val="216"/>
        </w:trPr>
        <w:tc>
          <w:tcPr>
            <w:tcW w:w="870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676.1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w:t>
            </w:r>
          </w:p>
        </w:tc>
      </w:tr>
      <w:tr>
        <w:trPr>
          <w:trHeight w:val="209"/>
        </w:trPr>
        <w:tc>
          <w:tcPr>
            <w:tcW w:w="8700" w:type="dxa"/>
            <w:vAlign w:val="bottom"/>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548.9</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(2,316.8)</w:t>
            </w:r>
          </w:p>
        </w:tc>
      </w:tr>
      <w:tr>
        <w:trPr>
          <w:trHeight w:val="217"/>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8700" w:type="dxa"/>
            <w:vAlign w:val="bottom"/>
          </w:tcPr>
          <w:p>
            <w:pPr>
              <w:ind w:left="2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7"/>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r>
      <w:tr>
        <w:trPr>
          <w:trHeight w:val="215"/>
        </w:trPr>
        <w:tc>
          <w:tcPr>
            <w:tcW w:w="8700" w:type="dxa"/>
            <w:vAlign w:val="bottom"/>
          </w:tcPr>
          <w:p>
            <w:pPr>
              <w:ind w:left="220"/>
              <w:spacing w:after="0"/>
              <w:rPr>
                <w:sz w:val="20"/>
                <w:szCs w:val="20"/>
                <w:color w:val="auto"/>
              </w:rPr>
            </w:pPr>
            <w:r>
              <w:rPr>
                <w:rFonts w:ascii="Arial" w:cs="Arial" w:eastAsia="Arial" w:hAnsi="Arial"/>
                <w:sz w:val="16"/>
                <w:szCs w:val="16"/>
                <w:color w:val="auto"/>
              </w:rPr>
              <w:t>Loss on divestitures of businesses</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7"/>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2,936.8</w:t>
            </w:r>
          </w:p>
        </w:tc>
      </w:tr>
      <w:tr>
        <w:trPr>
          <w:trHeight w:val="216"/>
        </w:trPr>
        <w:tc>
          <w:tcPr>
            <w:tcW w:w="870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 xml:space="preserve">Restructuring, acquisition and divestiture-related and other special items </w:t>
            </w:r>
            <w:r>
              <w:rPr>
                <w:rFonts w:ascii="Arial" w:cs="Arial" w:eastAsia="Arial" w:hAnsi="Arial"/>
                <w:sz w:val="21"/>
                <w:szCs w:val="21"/>
                <w:color w:val="auto"/>
                <w:vertAlign w:val="superscript"/>
              </w:rPr>
              <w:t>(c)</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284.9</w:t>
            </w:r>
          </w:p>
        </w:tc>
      </w:tr>
      <w:tr>
        <w:trPr>
          <w:trHeight w:val="235"/>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1,049.5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premiums and discounts on long-term debt.</w:t>
      </w:r>
    </w:p>
    <w:p>
      <w:pPr>
        <w:spacing w:after="0" w:line="57"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Includes purchase accounting related amortization.</w:t>
      </w:r>
    </w:p>
    <w:p>
      <w:pPr>
        <w:spacing w:after="0" w:line="44"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See items detailed in the Reconciliation of U.S. GAAP Net Earnings (Loss) to Adjusted Net Earnings.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5"/>
          </w:tcPr>
          <w:p>
            <w:pPr>
              <w:jc w:val="center"/>
              <w:ind w:left="12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jc w:val="center"/>
              <w:ind w:left="128"/>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18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2"/>
                <w:szCs w:val="12"/>
                <w:color w:val="auto"/>
              </w:rPr>
            </w:pPr>
          </w:p>
        </w:tc>
        <w:tc>
          <w:tcPr>
            <w:tcW w:w="82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Currency %</w:t>
            </w:r>
          </w:p>
        </w:tc>
        <w:tc>
          <w:tcPr>
            <w:tcW w:w="0" w:type="dxa"/>
            <w:vAlign w:val="bottom"/>
          </w:tcPr>
          <w:p>
            <w:pPr>
              <w:spacing w:after="0"/>
              <w:rPr>
                <w:sz w:val="1"/>
                <w:szCs w:val="1"/>
                <w:color w:val="auto"/>
              </w:rPr>
            </w:pPr>
          </w:p>
        </w:tc>
      </w:tr>
      <w:tr>
        <w:trPr>
          <w:trHeight w:val="189"/>
        </w:trPr>
        <w:tc>
          <w:tcPr>
            <w:tcW w:w="5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line="189" w:lineRule="exact"/>
              <w:rPr>
                <w:sz w:val="20"/>
                <w:szCs w:val="20"/>
                <w:color w:val="auto"/>
              </w:rPr>
            </w:pPr>
            <w:r>
              <w:rPr>
                <w:rFonts w:ascii="Arial" w:cs="Arial" w:eastAsia="Arial" w:hAnsi="Arial"/>
                <w:sz w:val="14"/>
                <w:szCs w:val="14"/>
                <w:b w:val="1"/>
                <w:bCs w:val="1"/>
                <w:color w:val="auto"/>
                <w:w w:val="94"/>
              </w:rPr>
              <w:t xml:space="preserve">Impact </w:t>
            </w:r>
            <w:r>
              <w:rPr>
                <w:rFonts w:ascii="Arial" w:cs="Arial" w:eastAsia="Arial" w:hAnsi="Arial"/>
                <w:sz w:val="18"/>
                <w:szCs w:val="18"/>
                <w:b w:val="1"/>
                <w:bCs w:val="1"/>
                <w:color w:val="auto"/>
                <w:w w:val="94"/>
                <w:vertAlign w:val="superscript"/>
              </w:rPr>
              <w:t>(1)</w:t>
            </w:r>
          </w:p>
        </w:tc>
        <w:tc>
          <w:tcPr>
            <w:tcW w:w="120" w:type="dxa"/>
            <w:vAlign w:val="bottom"/>
          </w:tcPr>
          <w:p>
            <w:pPr>
              <w:spacing w:after="0"/>
              <w:rPr>
                <w:sz w:val="16"/>
                <w:szCs w:val="16"/>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83"/>
        </w:trPr>
        <w:tc>
          <w:tcPr>
            <w:tcW w:w="5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2,020.8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1,891.7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1,903.1</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99"/>
        </w:trPr>
        <w:tc>
          <w:tcPr>
            <w:tcW w:w="5220" w:type="dxa"/>
            <w:vAlign w:val="bottom"/>
          </w:tcPr>
          <w:p>
            <w:pPr>
              <w:ind w:left="220"/>
              <w:spacing w:after="0"/>
              <w:rPr>
                <w:sz w:val="20"/>
                <w:szCs w:val="20"/>
                <w:color w:val="auto"/>
              </w:rPr>
            </w:pPr>
            <w:r>
              <w:rPr>
                <w:rFonts w:ascii="Arial" w:cs="Arial" w:eastAsia="Arial" w:hAnsi="Arial"/>
                <w:sz w:val="14"/>
                <w:szCs w:val="14"/>
                <w:color w:val="auto"/>
              </w:rPr>
              <w:t>JANZ</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276.1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269.5</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5220" w:type="dxa"/>
            <w:vAlign w:val="bottom"/>
          </w:tcPr>
          <w:p>
            <w:pPr>
              <w:ind w:left="480"/>
              <w:spacing w:after="0"/>
              <w:rPr>
                <w:sz w:val="20"/>
                <w:szCs w:val="20"/>
                <w:color w:val="auto"/>
              </w:rPr>
            </w:pPr>
            <w:r>
              <w:rPr>
                <w:rFonts w:ascii="Arial" w:cs="Arial" w:eastAsia="Arial" w:hAnsi="Arial"/>
                <w:sz w:val="14"/>
                <w:szCs w:val="14"/>
                <w:color w:val="auto"/>
              </w:rPr>
              <w:t>Total net sales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3,509.7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3,243.2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8 %</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(161.8)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3,347.9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12"/>
        </w:trPr>
        <w:tc>
          <w:tcPr>
            <w:tcW w:w="5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 xml:space="preserve">Other revenues </w:t>
            </w:r>
            <w:r>
              <w:rPr>
                <w:rFonts w:ascii="Arial" w:cs="Arial" w:eastAsia="Arial" w:hAnsi="Arial"/>
                <w:sz w:val="9"/>
                <w:szCs w:val="9"/>
                <w:color w:val="auto"/>
              </w:rPr>
              <w:t>(3)</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gridSpan w:val="2"/>
          </w:tcPr>
          <w:p>
            <w:pPr>
              <w:ind w:left="660"/>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 xml:space="preserve">Consolidated total revenues </w:t>
            </w:r>
            <w:r>
              <w:rPr>
                <w:rFonts w:ascii="Arial" w:cs="Arial" w:eastAsia="Arial" w:hAnsi="Arial"/>
                <w:sz w:val="9"/>
                <w:szCs w:val="9"/>
                <w:color w:val="auto"/>
              </w:rPr>
              <w:t>(4)</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3,254.3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3,355.0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4" w:lineRule="exact"/>
        <w:rPr>
          <w:sz w:val="20"/>
          <w:szCs w:val="20"/>
          <w:color w:val="auto"/>
        </w:rPr>
      </w:pPr>
    </w:p>
    <w:p>
      <w:pPr>
        <w:ind w:left="580" w:hanging="248"/>
        <w:spacing w:after="0"/>
        <w:tabs>
          <w:tab w:leader="none" w:pos="5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Currency impact is shown as unfavorable (favorable).</w:t>
      </w:r>
    </w:p>
    <w:p>
      <w:pPr>
        <w:spacing w:after="0" w:line="57" w:lineRule="exact"/>
        <w:rPr>
          <w:rFonts w:ascii="Arial" w:cs="Arial" w:eastAsia="Arial" w:hAnsi="Arial"/>
          <w:sz w:val="21"/>
          <w:szCs w:val="21"/>
          <w:color w:val="auto"/>
          <w:vertAlign w:val="superscript"/>
        </w:rPr>
      </w:pPr>
    </w:p>
    <w:p>
      <w:pPr>
        <w:jc w:val="both"/>
        <w:ind w:left="660" w:hanging="328"/>
        <w:spacing w:after="0" w:line="227" w:lineRule="auto"/>
        <w:tabs>
          <w:tab w:leader="none" w:pos="636"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The constant currency percentage change is derived by translating net sales or revenues for the current period at prior year comparative period exchange rates, and in doing so shows the percentage change from 2026 constant currency net sales or revenues to the corresponding amount in the prior year.</w:t>
      </w:r>
    </w:p>
    <w:p>
      <w:pPr>
        <w:spacing w:after="0" w:line="42" w:lineRule="exact"/>
        <w:rPr>
          <w:rFonts w:ascii="Arial" w:cs="Arial" w:eastAsia="Arial" w:hAnsi="Arial"/>
          <w:sz w:val="21"/>
          <w:szCs w:val="21"/>
          <w:color w:val="auto"/>
          <w:vertAlign w:val="superscript"/>
        </w:rPr>
      </w:pPr>
    </w:p>
    <w:p>
      <w:pPr>
        <w:ind w:left="660" w:right="20" w:hanging="328"/>
        <w:spacing w:after="0" w:line="227"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2026, other revenues in Developed Markets, JANZ, and Emerging Markets were approximately $5.2 million, $0.1 million, and $2.0 million, respectively.</w:t>
      </w:r>
    </w:p>
    <w:p>
      <w:pPr>
        <w:spacing w:after="0" w:line="2"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Amounts exclude intersegment revenue which eliminates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9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Reconciliation of Statements of Operations Line Items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5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5"/>
                <w:szCs w:val="15"/>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09"/>
        </w:trPr>
        <w:tc>
          <w:tcPr>
            <w:tcW w:w="85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2,359.8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2,093.1</w:t>
            </w: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(591.5)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(583.5)</w:t>
            </w:r>
          </w:p>
        </w:tc>
        <w:tc>
          <w:tcPr>
            <w:tcW w:w="0" w:type="dxa"/>
            <w:vAlign w:val="bottom"/>
          </w:tcPr>
          <w:p>
            <w:pPr>
              <w:spacing w:after="0"/>
              <w:rPr>
                <w:sz w:val="1"/>
                <w:szCs w:val="1"/>
                <w:color w:val="auto"/>
              </w:rPr>
            </w:pPr>
          </w:p>
        </w:tc>
      </w:tr>
      <w:tr>
        <w:trPr>
          <w:trHeight w:val="198"/>
        </w:trPr>
        <w:tc>
          <w:tcPr>
            <w:tcW w:w="8520" w:type="dxa"/>
            <w:vAlign w:val="bottom"/>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costs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98"/>
        </w:trPr>
        <w:tc>
          <w:tcPr>
            <w:tcW w:w="852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 including restructuring related costs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(142.4)</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00"/>
        </w:trPr>
        <w:tc>
          <w:tcPr>
            <w:tcW w:w="852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1,546.7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1,434.7</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1,970.3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1,819.6</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90805</wp:posOffset>
            </wp:positionV>
            <wp:extent cx="71151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GAAP R&amp;D</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Acquisition and divestiture-related costs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Share-based compensation expense</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special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160655</wp:posOffset>
            </wp:positionV>
            <wp:extent cx="711517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R&amp;D as % of 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90805</wp:posOffset>
            </wp:positionV>
            <wp:extent cx="709803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U.S. GAAP SG&amp;A</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09803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Acquisition and divestiture-related costs</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09803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Share-based compensation expense</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special items and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09803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color w:val="auto"/>
        </w:rPr>
        <w:t>Adjusted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160655</wp:posOffset>
            </wp:positionV>
            <wp:extent cx="709803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265" w:lineRule="exact"/>
        <w:rPr>
          <w:sz w:val="20"/>
          <w:szCs w:val="20"/>
          <w:color w:val="auto"/>
        </w:rPr>
      </w:pPr>
    </w:p>
    <w:p>
      <w:pPr>
        <w:ind w:left="60"/>
        <w:spacing w:after="0"/>
        <w:rPr>
          <w:sz w:val="20"/>
          <w:szCs w:val="20"/>
          <w:color w:val="auto"/>
        </w:rPr>
      </w:pPr>
      <w:r>
        <w:rPr>
          <w:rFonts w:ascii="Arial" w:cs="Arial" w:eastAsia="Arial" w:hAnsi="Arial"/>
          <w:sz w:val="14"/>
          <w:szCs w:val="14"/>
          <w:color w:val="auto"/>
        </w:rPr>
        <w:t>Adjusted SG&amp;A as % of total revenues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17316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r>
      <w:tr>
        <w:trPr>
          <w:trHeight w:val="189"/>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248.6</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222.0</w:t>
            </w:r>
          </w:p>
        </w:tc>
      </w:tr>
      <w:tr>
        <w:trPr>
          <w:trHeight w:val="405"/>
        </w:trPr>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(0.7)</w:t>
            </w:r>
          </w:p>
        </w:tc>
      </w:tr>
      <w:tr>
        <w:trPr>
          <w:trHeight w:val="203"/>
        </w:trPr>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(0.8)</w:t>
            </w:r>
          </w:p>
        </w:tc>
      </w:tr>
      <w:tr>
        <w:trPr>
          <w:trHeight w:val="203"/>
        </w:trPr>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w:t>
            </w:r>
          </w:p>
        </w:tc>
      </w:tr>
      <w:tr>
        <w:trPr>
          <w:trHeight w:val="206"/>
        </w:trPr>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w:t>
            </w:r>
          </w:p>
        </w:tc>
      </w:tr>
      <w:tr>
        <w:trPr>
          <w:trHeight w:val="196"/>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240.5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217.5</w:t>
            </w:r>
          </w:p>
        </w:tc>
      </w:tr>
      <w:tr>
        <w:trPr>
          <w:trHeight w:val="25"/>
        </w:trPr>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81"/>
        </w:trPr>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r>
      <w:tr>
        <w:trPr>
          <w:trHeight w:val="25"/>
        </w:trPr>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17316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r>
      <w:tr>
        <w:trPr>
          <w:trHeight w:val="189"/>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928.8</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948.1</w:t>
            </w:r>
          </w:p>
        </w:tc>
      </w:tr>
      <w:tr>
        <w:trPr>
          <w:trHeight w:val="405"/>
        </w:trPr>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(27.8)</w:t>
            </w:r>
          </w:p>
        </w:tc>
      </w:tr>
      <w:tr>
        <w:trPr>
          <w:trHeight w:val="203"/>
        </w:trPr>
        <w:tc>
          <w:tcPr>
            <w:tcW w:w="30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(72.3)</w:t>
            </w:r>
          </w:p>
        </w:tc>
      </w:tr>
      <w:tr>
        <w:trPr>
          <w:trHeight w:val="203"/>
        </w:trPr>
        <w:tc>
          <w:tcPr>
            <w:tcW w:w="30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(51.7)</w:t>
            </w:r>
          </w:p>
        </w:tc>
      </w:tr>
      <w:tr>
        <w:trPr>
          <w:trHeight w:val="207"/>
        </w:trPr>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(17.6)</w:t>
            </w:r>
          </w:p>
        </w:tc>
      </w:tr>
      <w:tr>
        <w:trPr>
          <w:trHeight w:val="196"/>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774.9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778.7</w:t>
            </w:r>
          </w:p>
        </w:tc>
      </w:tr>
      <w:tr>
        <w:trPr>
          <w:trHeight w:val="25"/>
        </w:trPr>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81"/>
        </w:trPr>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r>
      <w:tr>
        <w:trPr>
          <w:trHeight w:val="24"/>
        </w:trPr>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60" w:space="720"/>
            <w:col w:w="2760"/>
          </w:cols>
          <w:pgMar w:left="320" w:top="890" w:right="33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890" w:right="339" w:bottom="1440" w:gutter="0" w:footer="0" w:header="0"/>
          <w:type w:val="continuous"/>
        </w:sectPr>
      </w:pPr>
    </w:p>
    <w:bookmarkStart w:id="18" w:name="page19"/>
    <w:bookmarkEnd w:id="18"/>
    <w:tbl>
      <w:tblPr>
        <w:tblLayout w:type="fixed"/>
        <w:tblInd w:w="60" w:type="dxa"/>
        <w:tblCellMar>
          <w:top w:w="0" w:type="dxa"/>
          <w:left w:w="0" w:type="dxa"/>
          <w:bottom w:w="0" w:type="dxa"/>
          <w:right w:w="0" w:type="dxa"/>
        </w:tblCellMar>
      </w:tblPr>
      <w:tr>
        <w:trPr>
          <w:trHeight w:val="196"/>
        </w:trPr>
        <w:tc>
          <w:tcPr>
            <w:tcW w:w="8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5"/>
                <w:szCs w:val="15"/>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09"/>
        </w:trPr>
        <w:tc>
          <w:tcPr>
            <w:tcW w:w="86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4,043.4</w:t>
            </w:r>
          </w:p>
        </w:tc>
        <w:tc>
          <w:tcPr>
            <w:tcW w:w="0" w:type="dxa"/>
            <w:vAlign w:val="bottom"/>
          </w:tcPr>
          <w:p>
            <w:pPr>
              <w:spacing w:after="0"/>
              <w:rPr>
                <w:sz w:val="1"/>
                <w:szCs w:val="1"/>
                <w:color w:val="auto"/>
              </w:rPr>
            </w:pPr>
          </w:p>
        </w:tc>
      </w:tr>
      <w:tr>
        <w:trPr>
          <w:trHeight w:val="198"/>
        </w:trPr>
        <w:tc>
          <w:tcPr>
            <w:tcW w:w="862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98"/>
        </w:trPr>
        <w:tc>
          <w:tcPr>
            <w:tcW w:w="8620" w:type="dxa"/>
            <w:vAlign w:val="bottom"/>
          </w:tcPr>
          <w:p>
            <w:pPr>
              <w:ind w:left="220"/>
              <w:spacing w:after="0"/>
              <w:rPr>
                <w:sz w:val="20"/>
                <w:szCs w:val="20"/>
                <w:color w:val="auto"/>
              </w:rPr>
            </w:pPr>
            <w:r>
              <w:rPr>
                <w:rFonts w:ascii="Arial" w:cs="Arial" w:eastAsia="Arial" w:hAnsi="Arial"/>
                <w:sz w:val="14"/>
                <w:szCs w:val="14"/>
                <w:color w:val="auto"/>
              </w:rPr>
              <w:t>R&amp;D adjustments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7"/>
        </w:trPr>
        <w:tc>
          <w:tcPr>
            <w:tcW w:w="8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SG&amp;A adjustments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w:t>
            </w:r>
          </w:p>
        </w:tc>
        <w:tc>
          <w:tcPr>
            <w:tcW w:w="0" w:type="dxa"/>
            <w:vAlign w:val="bottom"/>
          </w:tcPr>
          <w:p>
            <w:pPr>
              <w:spacing w:after="0"/>
              <w:rPr>
                <w:sz w:val="1"/>
                <w:szCs w:val="1"/>
                <w:color w:val="auto"/>
              </w:rPr>
            </w:pPr>
          </w:p>
        </w:tc>
      </w:tr>
      <w:tr>
        <w:trPr>
          <w:trHeight w:val="198"/>
        </w:trPr>
        <w:tc>
          <w:tcPr>
            <w:tcW w:w="8620" w:type="dxa"/>
            <w:vAlign w:val="bottom"/>
          </w:tcPr>
          <w:p>
            <w:pPr>
              <w:ind w:left="220"/>
              <w:spacing w:after="0"/>
              <w:rPr>
                <w:sz w:val="20"/>
                <w:szCs w:val="20"/>
                <w:color w:val="auto"/>
              </w:rPr>
            </w:pPr>
            <w:r>
              <w:rPr>
                <w:rFonts w:ascii="Arial" w:cs="Arial" w:eastAsia="Arial" w:hAnsi="Arial"/>
                <w:sz w:val="14"/>
                <w:szCs w:val="14"/>
                <w:color w:val="auto"/>
              </w:rPr>
              <w:t>Impairment of goodwill adjustments</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(2,936.8)</w:t>
            </w:r>
          </w:p>
        </w:tc>
        <w:tc>
          <w:tcPr>
            <w:tcW w:w="0" w:type="dxa"/>
            <w:vAlign w:val="bottom"/>
          </w:tcPr>
          <w:p>
            <w:pPr>
              <w:spacing w:after="0"/>
              <w:rPr>
                <w:sz w:val="1"/>
                <w:szCs w:val="1"/>
                <w:color w:val="auto"/>
              </w:rPr>
            </w:pPr>
          </w:p>
        </w:tc>
      </w:tr>
      <w:tr>
        <w:trPr>
          <w:trHeight w:val="225"/>
        </w:trPr>
        <w:tc>
          <w:tcPr>
            <w:tcW w:w="8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total operating expenses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1,006.2</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6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(b)</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813.4</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90805</wp:posOffset>
            </wp:positionV>
            <wp:extent cx="709803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U.S. GAAP interest expense</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Add / (Deduct):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09803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Accretion of contingent consideration liability</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Amortization of premiums and discounts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09803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special items</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4"/>
          <w:szCs w:val="14"/>
          <w:color w:val="auto"/>
        </w:rPr>
        <w:t>Adjusted interest expense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07199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GAAP other expense, net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 (Deduct):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7199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Fair value adjustments on non-marketable equity investments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Fair value adjustments on marketable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7199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Loss on divestitures of businesses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7199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23495</wp:posOffset>
            </wp:positionV>
            <wp:extent cx="1594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r>
      <w:tr>
        <w:trPr>
          <w:trHeight w:val="189"/>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120.1</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115.5</w:t>
            </w:r>
          </w:p>
        </w:tc>
      </w:tr>
      <w:tr>
        <w:trPr>
          <w:trHeight w:val="405"/>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3"/>
        </w:trPr>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11.0</w:t>
            </w:r>
          </w:p>
        </w:tc>
      </w:tr>
      <w:tr>
        <w:trPr>
          <w:trHeight w:val="207"/>
        </w:trPr>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r>
      <w:tr>
        <w:trPr>
          <w:trHeight w:val="196"/>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124.7</w:t>
            </w:r>
          </w:p>
        </w:tc>
      </w:tr>
      <w:tr>
        <w:trPr>
          <w:trHeight w:val="25"/>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15944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r>
      <w:tr>
        <w:trPr>
          <w:trHeight w:val="189"/>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99.3</w:t>
            </w:r>
          </w:p>
        </w:tc>
      </w:tr>
      <w:tr>
        <w:trPr>
          <w:trHeight w:val="405"/>
        </w:trPr>
        <w:tc>
          <w:tcPr>
            <w:tcW w:w="26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(115.8)</w:t>
            </w:r>
          </w:p>
        </w:tc>
      </w:tr>
      <w:tr>
        <w:trPr>
          <w:trHeight w:val="203"/>
        </w:trPr>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(36.9)</w:t>
            </w:r>
          </w:p>
        </w:tc>
      </w:tr>
      <w:tr>
        <w:trPr>
          <w:trHeight w:val="207"/>
        </w:trPr>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r>
      <w:tr>
        <w:trPr>
          <w:trHeight w:val="196"/>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r>
      <w:tr>
        <w:trPr>
          <w:trHeight w:val="25"/>
        </w:trPr>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4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23495</wp:posOffset>
            </wp:positionV>
            <wp:extent cx="1731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30" w:lineRule="exact"/>
        <w:rPr>
          <w:sz w:val="20"/>
          <w:szCs w:val="20"/>
          <w:color w:val="auto"/>
        </w:rPr>
      </w:pPr>
    </w:p>
    <w:p>
      <w:pPr>
        <w:ind w:left="360"/>
        <w:spacing w:after="0"/>
        <w:tabs>
          <w:tab w:leader="none" w:pos="176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35" w:lineRule="exact"/>
        <w:rPr>
          <w:sz w:val="20"/>
          <w:szCs w:val="20"/>
          <w:color w:val="auto"/>
        </w:rPr>
      </w:pPr>
    </w:p>
    <w:p>
      <w:pPr>
        <w:sectPr>
          <w:pgSz w:w="11900" w:h="16838" w:orient="portrait"/>
          <w:cols w:equalWidth="0" w:num="2">
            <w:col w:w="7920" w:space="720"/>
            <w:col w:w="2600"/>
          </w:cols>
          <w:pgMar w:left="320" w:top="9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loss before income taxes</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(247.3)</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(3,097.0)</w:t>
            </w:r>
          </w:p>
        </w:tc>
        <w:tc>
          <w:tcPr>
            <w:tcW w:w="0" w:type="dxa"/>
            <w:vAlign w:val="bottom"/>
          </w:tcPr>
          <w:p>
            <w:pPr>
              <w:spacing w:after="0"/>
              <w:rPr>
                <w:sz w:val="1"/>
                <w:szCs w:val="1"/>
                <w:color w:val="auto"/>
              </w:rPr>
            </w:pPr>
          </w:p>
        </w:tc>
      </w:tr>
      <w:tr>
        <w:trPr>
          <w:trHeight w:val="198"/>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1,093.7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3,824.7</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846.4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727.7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benefit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(423.7)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98"/>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576.0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182.3</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152.3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660" w:hanging="328"/>
        <w:spacing w:after="0"/>
        <w:tabs>
          <w:tab w:leader="none" w:pos="653"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26" w:lineRule="exact"/>
        <w:rPr>
          <w:rFonts w:ascii="Arial" w:cs="Arial" w:eastAsia="Arial" w:hAnsi="Arial"/>
          <w:sz w:val="19"/>
          <w:szCs w:val="19"/>
          <w:color w:val="auto"/>
          <w:vertAlign w:val="superscript"/>
        </w:rPr>
      </w:pPr>
    </w:p>
    <w:p>
      <w:pPr>
        <w:ind w:left="660" w:hanging="328"/>
        <w:spacing w:after="0" w:line="305" w:lineRule="auto"/>
        <w:tabs>
          <w:tab w:leader="none" w:pos="653" w:val="left"/>
        </w:tabs>
        <w:numPr>
          <w:ilvl w:val="0"/>
          <w:numId w:val="16"/>
        </w:numPr>
        <w:rPr>
          <w:rFonts w:ascii="Arial" w:cs="Arial" w:eastAsia="Arial" w:hAnsi="Arial"/>
          <w:sz w:val="9"/>
          <w:szCs w:val="9"/>
          <w:color w:val="auto"/>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ectPr>
          <w:pgSz w:w="11900" w:h="16838" w:orient="portrait"/>
          <w:cols w:equalWidth="0" w:num="1">
            <w:col w:w="11240"/>
          </w:cols>
          <w:pgMar w:left="320" w:top="9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940" w:right="339" w:bottom="1440" w:gutter="0" w:footer="0" w:header="0"/>
          <w:type w:val="continuous"/>
        </w:sectPr>
      </w:pPr>
    </w:p>
    <w:bookmarkStart w:id="19" w:name="page20"/>
    <w:bookmarkEnd w:id="19"/>
    <w:p>
      <w:pPr>
        <w:ind w:right="100"/>
        <w:spacing w:after="0" w:line="281" w:lineRule="auto"/>
        <w:rPr>
          <w:sz w:val="20"/>
          <w:szCs w:val="20"/>
          <w:color w:val="auto"/>
        </w:rPr>
      </w:pPr>
      <w:r>
        <w:rPr>
          <w:rFonts w:ascii="Arial" w:cs="Arial" w:eastAsia="Arial" w:hAnsi="Arial"/>
          <w:sz w:val="18"/>
          <w:szCs w:val="18"/>
          <w:b w:val="1"/>
          <w:bCs w:val="1"/>
          <w:color w:val="auto"/>
        </w:rPr>
        <w:t>Reconciliation of Estimated 2026 U.S. GAAP Net Cash Provided by Operating Activities to Free Cash Flow as of February 26, 2026, and May 7, 2026</w:t>
      </w:r>
    </w:p>
    <w:p>
      <w:pPr>
        <w:spacing w:after="0" w:line="4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2026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U.S. GAAP Net Cash provided by Operating Activities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$2,000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$(450)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$1,650</w:t>
            </w:r>
          </w:p>
        </w:tc>
      </w:tr>
      <w:tr>
        <w:trPr>
          <w:trHeight w:val="216"/>
        </w:trPr>
        <w:tc>
          <w:tcPr>
            <w:tcW w:w="8720" w:type="dxa"/>
            <w:vAlign w:val="bottom"/>
          </w:tcPr>
          <w:p>
            <w:pPr>
              <w:spacing w:after="0"/>
              <w:rPr>
                <w:sz w:val="18"/>
                <w:szCs w:val="18"/>
                <w:color w:val="auto"/>
              </w:rPr>
            </w:pPr>
          </w:p>
        </w:tc>
        <w:tc>
          <w:tcPr>
            <w:tcW w:w="2520" w:type="dxa"/>
            <w:vAlign w:val="bottom"/>
            <w:gridSpan w:val="2"/>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Estimated Transaction-related and Restructuring-related Costs</w:t>
            </w:r>
          </w:p>
        </w:tc>
        <w:tc>
          <w:tcPr>
            <w:tcW w:w="2520" w:type="dxa"/>
            <w:vAlign w:val="bottom"/>
            <w:tcBorders>
              <w:bottom w:val="single" w:sz="8" w:color="auto"/>
            </w:tcBorders>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~$700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 Excluding Transaction-related and Restructuring-related Costs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$2,350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2026-05-07T06:49:49Z</dcterms:created>
  <dcterms:modified xsi:type="dcterms:W3CDTF">2026-05-07T06:49:49Z</dcterms:modified>
</cp:coreProperties>
</file>