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10-K </w:t>
      </w:r>
    </w:p>
    <w:tbl>
      <w:tblPr>
        <w:tblW w:w="7076" w:type="dxa"/>
        <w:jc w:val="left"/>
        <w:tblInd w:w="0" w:type="dxa"/>
        <w:tblLayout w:type="fixed"/>
        <w:tblCellMar>
          <w:top w:w="28" w:type="dxa"/>
          <w:left w:w="28" w:type="dxa"/>
          <w:bottom w:w="28" w:type="dxa"/>
          <w:right w:w="28" w:type="dxa"/>
        </w:tblCellMar>
      </w:tblPr>
      <w:tblGrid>
        <w:gridCol w:w="124"/>
        <w:gridCol w:w="109"/>
        <w:gridCol w:w="109"/>
        <w:gridCol w:w="1967"/>
        <w:gridCol w:w="1967"/>
        <w:gridCol w:w="2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Fiscal Year Ended December 31, 2025</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7302" w:type="dxa"/>
        <w:jc w:val="left"/>
        <w:tblInd w:w="0" w:type="dxa"/>
        <w:tblLayout w:type="fixed"/>
        <w:tblCellMar>
          <w:top w:w="28" w:type="dxa"/>
          <w:left w:w="28" w:type="dxa"/>
          <w:bottom w:w="28" w:type="dxa"/>
          <w:right w:w="28" w:type="dxa"/>
        </w:tblCellMar>
      </w:tblPr>
      <w:tblGrid>
        <w:gridCol w:w="124"/>
        <w:gridCol w:w="109"/>
        <w:gridCol w:w="109"/>
        <w:gridCol w:w="2035"/>
        <w:gridCol w:w="2035"/>
        <w:gridCol w:w="2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For the transition period from              to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001-39695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VIATRIS INC.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(Exact name of registrant as specified in its charter)</w:t>
      </w:r>
    </w:p>
    <w:tbl>
      <w:tblPr>
        <w:tblW w:w="7271" w:type="dxa"/>
        <w:jc w:val="left"/>
        <w:tblInd w:w="0" w:type="dxa"/>
        <w:tblLayout w:type="fixed"/>
        <w:tblCellMar>
          <w:top w:w="28" w:type="dxa"/>
          <w:left w:w="28" w:type="dxa"/>
          <w:bottom w:w="28" w:type="dxa"/>
          <w:right w:w="28" w:type="dxa"/>
        </w:tblCellMar>
      </w:tblPr>
      <w:tblGrid>
        <w:gridCol w:w="1562"/>
        <w:gridCol w:w="1371"/>
        <w:gridCol w:w="1387"/>
        <w:gridCol w:w="109"/>
        <w:gridCol w:w="109"/>
        <w:gridCol w:w="109"/>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bl>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6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(724) 514-1800 </w:t>
      </w:r>
    </w:p>
    <w:p>
      <w:pPr>
        <w:pStyle w:val="TextBody"/>
        <w:bidi w:val="0"/>
        <w:spacing w:lineRule="auto" w:line="288" w:before="0" w:after="6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053" w:type="dxa"/>
        <w:jc w:val="left"/>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0" w:after="20"/>
        <w:jc w:val="left"/>
        <w:rPr>
          <w:rFonts w:ascii="Times New Roman;serif" w:hAnsi="Times New Roman;serif"/>
          <w:b/>
          <w:color w:val="000000"/>
          <w:sz w:val="18"/>
        </w:rPr>
      </w:pPr>
      <w:r>
        <w:rPr>
          <w:rFonts w:ascii="Times New Roman;serif" w:hAnsi="Times New Roman;serif"/>
          <w:b/>
          <w:color w:val="000000"/>
          <w:sz w:val="18"/>
        </w:rPr>
        <w:t>Securities registered pursuant to Section 12(g) of the Act: None</w:t>
      </w:r>
    </w:p>
    <w:p>
      <w:pPr>
        <w:pStyle w:val="TextBody"/>
        <w:bidi w:val="0"/>
        <w:spacing w:lineRule="auto" w:line="288" w:before="0" w:after="40"/>
        <w:ind w:left="0" w:right="0" w:firstLine="495"/>
        <w:jc w:val="both"/>
        <w:rPr/>
      </w:pPr>
      <w:r>
        <w:rPr>
          <w:rFonts w:ascii="Times New Roman;serif" w:hAnsi="Times New Roman;serif"/>
          <w:b w:val="false"/>
          <w:color w:val="000000"/>
          <w:sz w:val="18"/>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40"/>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171"/>
        <w:gridCol w:w="936"/>
        <w:gridCol w:w="883"/>
        <w:gridCol w:w="211"/>
        <w:gridCol w:w="211"/>
        <w:gridCol w:w="211"/>
        <w:gridCol w:w="211"/>
        <w:gridCol w:w="211"/>
        <w:gridCol w:w="211"/>
        <w:gridCol w:w="211"/>
        <w:gridCol w:w="211"/>
        <w:gridCol w:w="211"/>
        <w:gridCol w:w="1314"/>
        <w:gridCol w:w="1314"/>
        <w:gridCol w:w="1323"/>
        <w:gridCol w:w="211"/>
        <w:gridCol w:w="211"/>
        <w:gridCol w:w="211"/>
        <w:gridCol w:w="211"/>
        <w:gridCol w:w="211"/>
        <w:gridCol w:w="310"/>
      </w:tblGrid>
      <w:tr>
        <w:trPr/>
        <w:tc>
          <w:tcPr>
            <w:tcW w:w="117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c>
      </w:tr>
    </w:tbl>
    <w:p>
      <w:pPr>
        <w:pStyle w:val="TextBody"/>
        <w:bidi w:val="0"/>
        <w:spacing w:lineRule="auto" w:line="288" w:before="0" w:after="6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6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6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60"/>
        <w:ind w:left="0" w:right="0" w:firstLine="495"/>
        <w:jc w:val="both"/>
        <w:rPr/>
      </w:pP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76" w:before="0" w:after="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The aggregate market value of the voting and non-voting common equity held by non-affiliates of the registrant as of June 30, 2025, the last business day of the registrant’s most recently completed second fiscal quarter, was approximately $10,384,706,269. </w:t>
      </w:r>
    </w:p>
    <w:p>
      <w:pPr>
        <w:pStyle w:val="TextBody"/>
        <w:bidi w:val="0"/>
        <w:spacing w:lineRule="auto" w:line="276" w:before="0" w:after="24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The number of shares of common stock outstanding, par value $0.01 per share, of the registrant as of February 23, 2026 was 1,151,392,922.</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INCORPORATED BY REFERENCE</w:t>
      </w:r>
    </w:p>
    <w:tbl>
      <w:tblPr>
        <w:tblW w:w="10205" w:type="dxa"/>
        <w:jc w:val="center"/>
        <w:tblInd w:w="0" w:type="dxa"/>
        <w:tblLayout w:type="fixed"/>
        <w:tblCellMar>
          <w:top w:w="28" w:type="dxa"/>
          <w:left w:w="28" w:type="dxa"/>
          <w:bottom w:w="28" w:type="dxa"/>
          <w:right w:w="28" w:type="dxa"/>
        </w:tblCellMar>
      </w:tblPr>
      <w:tblGrid>
        <w:gridCol w:w="2929"/>
        <w:gridCol w:w="2572"/>
        <w:gridCol w:w="2603"/>
        <w:gridCol w:w="614"/>
        <w:gridCol w:w="614"/>
        <w:gridCol w:w="873"/>
      </w:tblGrid>
      <w:tr>
        <w:trPr/>
        <w:tc>
          <w:tcPr>
            <w:tcW w:w="292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8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Document</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 of Form 10-K into Which</w:t>
              <w:br/>
              <w:t>Document is Incorporated</w:t>
            </w:r>
          </w:p>
        </w:tc>
      </w:tr>
      <w:tr>
        <w:trPr/>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definitive proxy statement for the registrant’s 2026 annual meeting of shareholders will be filed no later than 120 days after the close of the registrant’s fiscal year.</w:t>
            </w:r>
          </w:p>
        </w:tc>
        <w:tc>
          <w:tcPr>
            <w:tcW w:w="2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III</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VIATRIS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37"/>
        <w:gridCol w:w="296"/>
        <w:gridCol w:w="298"/>
        <w:gridCol w:w="2887"/>
        <w:gridCol w:w="2873"/>
        <w:gridCol w:w="3002"/>
        <w:gridCol w:w="149"/>
        <w:gridCol w:w="149"/>
        <w:gridCol w:w="21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6">
              <w:r>
                <w:rPr>
                  <w:rStyle w:val="InternetLink"/>
                  <w:rFonts w:ascii="Times New Roman;serif" w:hAnsi="Times New Roman;serif"/>
                  <w:b w:val="false"/>
                  <w:color w:val="0000FF"/>
                  <w:sz w:val="20"/>
                  <w:u w:val="single"/>
                </w:rPr>
                <w:t>Business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6">
              <w:r>
                <w:rPr>
                  <w:rStyle w:val="InternetLink"/>
                  <w:rFonts w:ascii="Times New Roman;serif" w:hAnsi="Times New Roman;serif"/>
                  <w:b w:val="false"/>
                  <w:color w:val="0000FF"/>
                  <w:sz w:val="20"/>
                  <w:u w:val="single"/>
                </w:rPr>
                <w:t>8</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55">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55">
              <w:r>
                <w:rPr>
                  <w:rStyle w:val="InternetLink"/>
                  <w:rFonts w:ascii="Times New Roman;serif" w:hAnsi="Times New Roman;serif"/>
                  <w:b w:val="false"/>
                  <w:color w:val="0000FF"/>
                  <w:sz w:val="20"/>
                  <w:u w:val="single"/>
                </w:rPr>
                <w:t>23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58">
              <w:r>
                <w:rPr>
                  <w:rStyle w:val="InternetLink"/>
                  <w:rFonts w:ascii="Times New Roman;serif" w:hAnsi="Times New Roman;serif"/>
                  <w:b w:val="false"/>
                  <w:color w:val="0000FF"/>
                  <w:sz w:val="20"/>
                  <w:u w:val="single"/>
                </w:rPr>
                <w:t>Unresolved Staff Comments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58">
              <w:r>
                <w:rPr>
                  <w:rStyle w:val="InternetLink"/>
                  <w:rFonts w:ascii="Times New Roman;serif" w:hAnsi="Times New Roman;serif"/>
                  <w:b w:val="false"/>
                  <w:color w:val="0000FF"/>
                  <w:sz w:val="20"/>
                  <w:u w:val="single"/>
                </w:rPr>
                <w:t>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61">
              <w:r>
                <w:rPr>
                  <w:rStyle w:val="InternetLink"/>
                  <w:rFonts w:ascii="Times New Roman;serif" w:hAnsi="Times New Roman;serif"/>
                  <w:b w:val="false"/>
                  <w:color w:val="0000FF"/>
                  <w:sz w:val="20"/>
                  <w:u w:val="single"/>
                </w:rPr>
                <w:t>Cybersecurity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61">
              <w:r>
                <w:rPr>
                  <w:rStyle w:val="InternetLink"/>
                  <w:rFonts w:ascii="Times New Roman;serif" w:hAnsi="Times New Roman;serif"/>
                  <w:b w:val="false"/>
                  <w:color w:val="0000FF"/>
                  <w:sz w:val="20"/>
                  <w:u w:val="single"/>
                </w:rPr>
                <w:t>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64">
              <w:r>
                <w:rPr>
                  <w:rStyle w:val="InternetLink"/>
                  <w:rFonts w:ascii="Times New Roman;serif" w:hAnsi="Times New Roman;serif"/>
                  <w:b w:val="false"/>
                  <w:color w:val="0000FF"/>
                  <w:sz w:val="20"/>
                  <w:u w:val="single"/>
                </w:rPr>
                <w:t>Properties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64">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67">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67">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70">
              <w:r>
                <w:rPr>
                  <w:rStyle w:val="InternetLink"/>
                  <w:rFonts w:ascii="Times New Roman;serif" w:hAnsi="Times New Roman;serif"/>
                  <w:b w:val="false"/>
                  <w:color w:val="0000FF"/>
                  <w:sz w:val="20"/>
                  <w:u w:val="single"/>
                </w:rPr>
                <w:t>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70">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5bec8029254c079063330130bbea5e_76">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76">
              <w:r>
                <w:rPr>
                  <w:rStyle w:val="InternetLink"/>
                  <w:rFonts w:ascii="Times New Roman;serif" w:hAnsi="Times New Roman;serif"/>
                  <w:b w:val="false"/>
                  <w:color w:val="0000FF"/>
                  <w:sz w:val="20"/>
                  <w:u w:val="single"/>
                </w:rPr>
                <w:t>56</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79">
              <w:r>
                <w:rPr>
                  <w:rStyle w:val="InternetLink"/>
                  <w:rFonts w:ascii="Times New Roman;serif" w:hAnsi="Times New Roman;serif"/>
                  <w:b w:val="false"/>
                  <w:color w:val="0000FF"/>
                  <w:sz w:val="20"/>
                  <w:u w:val="single"/>
                </w:rPr>
                <w:t>[Reserved]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79">
              <w:r>
                <w:rPr>
                  <w:rStyle w:val="InternetLink"/>
                  <w:rFonts w:ascii="Times New Roman;serif" w:hAnsi="Times New Roman;serif"/>
                  <w:b w:val="false"/>
                  <w:color w:val="0000FF"/>
                  <w:sz w:val="20"/>
                  <w:u w:val="single"/>
                </w:rPr>
                <w:t>57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85">
              <w:r>
                <w:rPr>
                  <w:rStyle w:val="InternetLink"/>
                  <w:rFonts w:ascii="Times New Roman;serif" w:hAnsi="Times New Roman;serif"/>
                  <w:b w:val="false"/>
                  <w:color w:val="0000FF"/>
                  <w:sz w:val="20"/>
                  <w:u w:val="single"/>
                </w:rPr>
                <w:t>57</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24">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24">
              <w:r>
                <w:rPr>
                  <w:rStyle w:val="InternetLink"/>
                  <w:rFonts w:ascii="Times New Roman;serif" w:hAnsi="Times New Roman;serif"/>
                  <w:b w:val="false"/>
                  <w:color w:val="0000FF"/>
                  <w:sz w:val="20"/>
                  <w:u w:val="single"/>
                </w:rPr>
                <w:t>80</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27">
              <w:r>
                <w:rPr>
                  <w:rStyle w:val="InternetLink"/>
                  <w:rFonts w:ascii="Times New Roman;serif" w:hAnsi="Times New Roman;serif"/>
                  <w:b w:val="false"/>
                  <w:color w:val="0000FF"/>
                  <w:sz w:val="20"/>
                  <w:u w:val="single"/>
                </w:rPr>
                <w:t>Financial Statements and Supplementary Data</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27">
              <w:r>
                <w:rPr>
                  <w:rStyle w:val="InternetLink"/>
                  <w:rFonts w:ascii="Times New Roman;serif" w:hAnsi="Times New Roman;serif"/>
                  <w:b w:val="false"/>
                  <w:color w:val="0000FF"/>
                  <w:sz w:val="20"/>
                  <w:u w:val="single"/>
                </w:rPr>
                <w:t>82</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2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26">
              <w:r>
                <w:rPr>
                  <w:rStyle w:val="InternetLink"/>
                  <w:rFonts w:ascii="Times New Roman;serif" w:hAnsi="Times New Roman;serif"/>
                  <w:b w:val="false"/>
                  <w:color w:val="0000FF"/>
                  <w:sz w:val="20"/>
                  <w:u w:val="single"/>
                </w:rPr>
                <w:t>153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29">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29">
              <w:r>
                <w:rPr>
                  <w:rStyle w:val="InternetLink"/>
                  <w:rFonts w:ascii="Times New Roman;serif" w:hAnsi="Times New Roman;serif"/>
                  <w:b w:val="false"/>
                  <w:color w:val="0000FF"/>
                  <w:sz w:val="20"/>
                  <w:u w:val="single"/>
                </w:rPr>
                <w:t>153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32">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32">
              <w:r>
                <w:rPr>
                  <w:rStyle w:val="InternetLink"/>
                  <w:rFonts w:ascii="Times New Roman;serif" w:hAnsi="Times New Roman;serif"/>
                  <w:b w:val="false"/>
                  <w:color w:val="0000FF"/>
                  <w:sz w:val="20"/>
                  <w:u w:val="single"/>
                </w:rPr>
                <w:t>153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38">
              <w:r>
                <w:rPr>
                  <w:rStyle w:val="InternetLink"/>
                  <w:rFonts w:ascii="Times New Roman;serif" w:hAnsi="Times New Roman;serif"/>
                  <w:b w:val="false"/>
                  <w:color w:val="0000FF"/>
                  <w:sz w:val="20"/>
                  <w:u w:val="single"/>
                </w:rPr>
                <w:t>Disclosure Regarding Foreign Jurisdictions that Prevent Inspections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38">
              <w:r>
                <w:rPr>
                  <w:rStyle w:val="InternetLink"/>
                  <w:rFonts w:ascii="Times New Roman;serif" w:hAnsi="Times New Roman;serif"/>
                  <w:b w:val="false"/>
                  <w:color w:val="0000FF"/>
                  <w:sz w:val="20"/>
                  <w:u w:val="single"/>
                </w:rPr>
                <w:t>153</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44">
              <w:r>
                <w:rPr>
                  <w:rStyle w:val="InternetLink"/>
                  <w:rFonts w:ascii="Times New Roman;serif" w:hAnsi="Times New Roman;serif"/>
                  <w:b w:val="false"/>
                  <w:color w:val="0000FF"/>
                  <w:sz w:val="20"/>
                  <w:u w:val="single"/>
                </w:rPr>
                <w:t>Directors, Executive Officers and Corporate Governance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44">
              <w:r>
                <w:rPr>
                  <w:rStyle w:val="InternetLink"/>
                  <w:rFonts w:ascii="Times New Roman;serif" w:hAnsi="Times New Roman;serif"/>
                  <w:b w:val="false"/>
                  <w:color w:val="0000FF"/>
                  <w:sz w:val="20"/>
                  <w:u w:val="single"/>
                </w:rPr>
                <w:t>153</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47">
              <w:r>
                <w:rPr>
                  <w:rStyle w:val="InternetLink"/>
                  <w:rFonts w:ascii="Times New Roman;serif" w:hAnsi="Times New Roman;serif"/>
                  <w:b w:val="false"/>
                  <w:color w:val="0000FF"/>
                  <w:sz w:val="20"/>
                  <w:u w:val="single"/>
                </w:rPr>
                <w:t>Executive Compensation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47">
              <w:r>
                <w:rPr>
                  <w:rStyle w:val="InternetLink"/>
                  <w:rFonts w:ascii="Times New Roman;serif" w:hAnsi="Times New Roman;serif"/>
                  <w:b w:val="false"/>
                  <w:color w:val="0000FF"/>
                  <w:sz w:val="20"/>
                  <w:u w:val="single"/>
                </w:rPr>
                <w:t>154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5bec8029254c079063330130bbea5e_250">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50">
              <w:r>
                <w:rPr>
                  <w:rStyle w:val="InternetLink"/>
                  <w:rFonts w:ascii="Times New Roman;serif" w:hAnsi="Times New Roman;serif"/>
                  <w:b w:val="false"/>
                  <w:color w:val="0000FF"/>
                  <w:sz w:val="20"/>
                  <w:u w:val="single"/>
                </w:rPr>
                <w:t>154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53">
              <w:r>
                <w:rPr>
                  <w:rStyle w:val="InternetLink"/>
                  <w:rFonts w:ascii="Times New Roman;serif" w:hAnsi="Times New Roman;serif"/>
                  <w:b w:val="false"/>
                  <w:color w:val="0000FF"/>
                  <w:sz w:val="20"/>
                  <w:u w:val="single"/>
                </w:rPr>
                <w:t>Certain Relationships and Related Transactions, and Director Independence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53">
              <w:r>
                <w:rPr>
                  <w:rStyle w:val="InternetLink"/>
                  <w:rFonts w:ascii="Times New Roman;serif" w:hAnsi="Times New Roman;serif"/>
                  <w:b w:val="false"/>
                  <w:color w:val="0000FF"/>
                  <w:sz w:val="20"/>
                  <w:u w:val="single"/>
                </w:rPr>
                <w:t>154</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56">
              <w:r>
                <w:rPr>
                  <w:rStyle w:val="InternetLink"/>
                  <w:rFonts w:ascii="Times New Roman;serif" w:hAnsi="Times New Roman;serif"/>
                  <w:b w:val="false"/>
                  <w:color w:val="0000FF"/>
                  <w:sz w:val="20"/>
                  <w:u w:val="single"/>
                </w:rPr>
                <w:t>Principal Accounting Fees and Services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56">
              <w:r>
                <w:rPr>
                  <w:rStyle w:val="InternetLink"/>
                  <w:rFonts w:ascii="Times New Roman;serif" w:hAnsi="Times New Roman;serif"/>
                  <w:b w:val="false"/>
                  <w:color w:val="0000FF"/>
                  <w:sz w:val="20"/>
                  <w:u w:val="single"/>
                </w:rPr>
                <w:t>154</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7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62">
              <w:r>
                <w:rPr>
                  <w:rStyle w:val="InternetLink"/>
                  <w:rFonts w:ascii="Times New Roman;serif" w:hAnsi="Times New Roman;serif"/>
                  <w:b w:val="false"/>
                  <w:color w:val="0000FF"/>
                  <w:sz w:val="20"/>
                  <w:u w:val="single"/>
                </w:rPr>
                <w:t>Exhibits and Consolidated Financial Statement Schedules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62">
              <w:r>
                <w:rPr>
                  <w:rStyle w:val="InternetLink"/>
                  <w:rFonts w:ascii="Times New Roman;serif" w:hAnsi="Times New Roman;serif"/>
                  <w:b w:val="false"/>
                  <w:color w:val="0000FF"/>
                  <w:sz w:val="20"/>
                  <w:u w:val="single"/>
                </w:rPr>
                <w:t>155</w:t>
              </w:r>
            </w:hyperlink>
          </w:p>
        </w:tc>
      </w:tr>
      <w:tr>
        <w:trPr/>
        <w:tc>
          <w:tcPr>
            <w:tcW w:w="96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265">
              <w:r>
                <w:rPr>
                  <w:rStyle w:val="InternetLink"/>
                  <w:rFonts w:ascii="Times New Roman;serif" w:hAnsi="Times New Roman;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265">
              <w:r>
                <w:rPr>
                  <w:rStyle w:val="InternetLink"/>
                  <w:rFonts w:ascii="Times New Roman;serif" w:hAnsi="Times New Roman;serif"/>
                  <w:b w:val="false"/>
                  <w:color w:val="0000FF"/>
                  <w:sz w:val="20"/>
                  <w:u w:val="single"/>
                </w:rPr>
                <w:t>162</w:t>
              </w:r>
            </w:hyperlink>
          </w:p>
        </w:tc>
      </w:tr>
    </w:tbl>
    <w:p>
      <w:pPr>
        <w:pStyle w:val="TextBody"/>
        <w:bidi w:val="0"/>
        <w:spacing w:before="10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5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“Viatris,” “the Company,” “we,” “us” or “our” in this 2025 Form 10-K (defined below) refer to Viatris Inc. and its subsidiaries. We also have used several other terms in this 2025 Form 10-K, most of which are explained or defined below. Some amounts in this Form 10-K may not add due to rounding.</w:t>
      </w:r>
    </w:p>
    <w:tbl>
      <w:tblPr>
        <w:tblW w:w="10205" w:type="dxa"/>
        <w:jc w:val="left"/>
        <w:tblInd w:w="0" w:type="dxa"/>
        <w:tblLayout w:type="fixed"/>
        <w:tblCellMar>
          <w:top w:w="28" w:type="dxa"/>
          <w:left w:w="28" w:type="dxa"/>
          <w:bottom w:w="28" w:type="dxa"/>
          <w:right w:w="28" w:type="dxa"/>
        </w:tblCellMar>
      </w:tblPr>
      <w:tblGrid>
        <w:gridCol w:w="833"/>
        <w:gridCol w:w="489"/>
        <w:gridCol w:w="369"/>
        <w:gridCol w:w="2805"/>
        <w:gridCol w:w="2361"/>
        <w:gridCol w:w="3348"/>
      </w:tblGrid>
      <w:tr>
        <w:trPr/>
        <w:tc>
          <w:tcPr>
            <w:tcW w:w="83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2003 LTIP</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w:t>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Revolving Facility</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Proxy Statement</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definitive proxy statement for the Company’s 2026 annual meeting of shareholders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505(b)(2)</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streamlined NDA process in which the applicant relies upon one or more investigations conducted by someone other than the applicant and for which the applicant has not obtained right of reference.</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ACA</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Patient Protection and Affordable Care Act, as amended by the Health Care and Education and Reconciliation Act</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Aculys Pharma</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Aculys Pharma, Inc.</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divestiture-related and other special items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per diluted share</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Administration</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current presidential administration in the U.S.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AI</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Artificial intelligence</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AOCE</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ARV</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medicines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Limited</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Limited, a majority owned subsidiary of Biocon</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Transaction</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Agreement</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agreement between Viatris and Biocon Biologics, dated February 27, 2022, relating to the Biocon Biologics Transaction, as amended from time to time</w:t>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8514"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July 29, 2019, as amended from time to time, among Viatris, Mylan, Pfizer and certain of their affiliates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CAMT</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corporate alternative minimum tax</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Compulsory convertible preferred shares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cGMP</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Good Manufacturing Practices</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CIRP</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 Incident Response Plan</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CIRT</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 Incident Response Team</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CNS</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Central Nervous System</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U.S. Internal Revenue Code of 1986, as amended</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Combination</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Mylan combining with Pfizer's Upjohn Business in a Reverse Morris Trust transaction to form Viatris on November 16, 2020</w:t>
            </w:r>
          </w:p>
        </w:tc>
      </w:tr>
      <w:tr>
        <w:trPr/>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Program</w:t>
            </w:r>
          </w:p>
        </w:tc>
        <w:tc>
          <w:tcPr>
            <w:tcW w:w="85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COPD</w:t>
            </w:r>
          </w:p>
        </w:tc>
        <w:tc>
          <w:tcPr>
            <w:tcW w:w="85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Chronic obstructive pulmonary disease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06"/>
        <w:gridCol w:w="466"/>
        <w:gridCol w:w="470"/>
        <w:gridCol w:w="2664"/>
        <w:gridCol w:w="2357"/>
        <w:gridCol w:w="3342"/>
      </w:tblGrid>
      <w:tr>
        <w:trPr/>
        <w:tc>
          <w:tcPr>
            <w:tcW w:w="9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3342"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COSO</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Committee of Sponsoring Organizations of the Treadway Commission</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Drug Enforcement Agency</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Markets segment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North America and Europe</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DGCL</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General Corporation Law</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Pfizer's distribution to Pfizer stockholders of all the issued and outstanding shares of Upjohn Inc.</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DOJ</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Justice</w:t>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8363"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DPDP Act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Digital Personal Data Protection Act, 2023</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Eastern District of Pennsylvania</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European Medicines Agency </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 segment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8363"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EWSR</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Enterprise-wide strategic review</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Exchange Act </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Famy Life Sciences</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Famy Life Sciences Private Limited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10-K</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for the fiscal year ended December 31, 2025</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 Depot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Long-acting glatiramer acetate depot product</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GDPR</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EU’s General Data Protection Regulation </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Systemically Important Banks</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institutions that are considered systemically important by the Financial Stability Board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 segment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mainland China, Taiwan and Hong Kong</w:t>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8363"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Hatch-Waxman Act </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Drug Price Competition and Patent Term Restoration Act of 1984</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HIPAA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Insurance Portability and Accountability Act of 1996 and the Health Information Technology for Economic and Clinical Health Act</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HIV/AIDS</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immunodeficiency virus infection and acquired immune deficiency syndrome</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Pharmaceuticals Ltd.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Idorsia Transaction</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Indore Impact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negative financial impact on 2025 total revenues and (loss) earnings from operations versus the comparable 2024 periods as a result of supply disruptions and the FDA issued warning letter and import alert related to our oral finished dose manufacturing facility in Indore, India</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INN</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Nonproprietary Name</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 segment</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in the following markets: Japan, Australia and New Zealand</w:t>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Lexicon Pharmaceuticals, Inc.</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Lexicon</w:t>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8363"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LOE</w:t>
            </w:r>
          </w:p>
        </w:tc>
        <w:tc>
          <w:tcPr>
            <w:tcW w:w="836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of exclusivity</w:t>
            </w:r>
          </w:p>
        </w:tc>
      </w:tr>
      <w:tr>
        <w:trPr/>
        <w:tc>
          <w:tcPr>
            <w:tcW w:w="18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w:t>
            </w:r>
          </w:p>
        </w:tc>
        <w:tc>
          <w:tcPr>
            <w:tcW w:w="836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Mapi Pharma Ltd.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73"/>
        <w:gridCol w:w="396"/>
        <w:gridCol w:w="397"/>
        <w:gridCol w:w="2866"/>
        <w:gridCol w:w="2471"/>
        <w:gridCol w:w="3502"/>
      </w:tblGrid>
      <w:tr>
        <w:trPr/>
        <w:tc>
          <w:tcPr>
            <w:tcW w:w="5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02"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Maximum Leverage Ratio </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ML</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Machine learning</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MPI</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Pharmaceuticals Inc.</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and its subsidiaries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Inc. U.S. Dollar Notes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NCDs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Noncommunicable diseases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OECD</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Organisation for Economic Co-operation and Development</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Over-the-counter</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Business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Transaction</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2023, Viatris announced it had received an offer for the divestiture of its OTC Business. In January 2024, we exercised our option to accept the offer and entered into a definitive transaction agreement with respect to such OTC Transaction. The OTC Transaction closed in July 2024.</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 Pharma, Inc.</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PBMs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Pharmacy benefit managers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PCAOB</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Company Accounting Oversight Board</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Sharing 401(k) Plan</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401(k) retirement plan with a profit sharing component for non-union represented employees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QCE</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Quality consistency evaluation</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accounts receivable facility for up to an aggregate amount of $600 million entered into in May 2025 and expiring in April 2028</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Upjohn Notes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Respiratory Delivery Platform</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proprietary dry powder inhaler delivery platform</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and restricted stock unit awards, including PSUs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Revance</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Revance Therapeutics, Inc. </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RICO</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Racketeer Influenced and Corrupt Organizations Act</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SDNY</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Southern District of New York</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3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 Dollar Notes</w:t>
            </w:r>
          </w:p>
        </w:tc>
        <w:tc>
          <w:tcPr>
            <w:tcW w:w="88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Upjohn U.S. Dollar Notes, the Utah U.S. Dollar Notes and the Mylan Inc. U.S. Dollar Notes, collectively</w:t>
            </w:r>
          </w:p>
        </w:tc>
      </w:tr>
      <w:tr>
        <w:trPr/>
        <w:tc>
          <w:tcPr>
            <w:tcW w:w="13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w:t>
            </w:r>
          </w:p>
        </w:tc>
        <w:tc>
          <w:tcPr>
            <w:tcW w:w="88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transfer to Upjohn of substantially all the assets and liabilities comprising the Upjohn Business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21"/>
        <w:gridCol w:w="516"/>
        <w:gridCol w:w="518"/>
        <w:gridCol w:w="2680"/>
        <w:gridCol w:w="2427"/>
        <w:gridCol w:w="3443"/>
      </w:tblGrid>
      <w:tr>
        <w:trPr/>
        <w:tc>
          <w:tcPr>
            <w:tcW w:w="6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443"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between Viatris and Pfizer, dated as of July 29, 2019, as amended from time to time</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SARs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Matters Agreement</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agreement entered into by Pfizer and Viatris in connection with the Separation and the Distribution that governs the parties’ respective rights, responsibilities and obligations with respect to taxes, including taxes arising in the ordinary course of business and taxes, if any, incurred as a result of any failure of the Distribution or certain related transactions to qualify as tax-free transactions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 Industries Ltd.</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Theravance Biopharma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Theravance Biopharma,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agreements, including related distribution services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Inc., a wholly owned subsidiary of Pfizer prior to the Distribution, that combined with Mylan and was renamed Viatris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Business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off-patent branded and generic established medicines business that, in connection with the Combination, was separated from Pfizer and combined with Mylan to form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Distributor Markets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URP</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Universal reimbursement pricing</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 Inc., a Delaware corporation and an indirect wholly owned subsidiary of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Euro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3.125% Senior Notes due 2028 issued by Utah Acquisition Sub Inc., which are fully and unconditionally guaranteed on a senior unsecured basis by Mylan Inc., Viatris Inc. and Mylan II B.V.</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Department of Veterans Affairs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VBP</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Volume-based procurement</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formerly known as Upjohn Inc. prior to the completion of the Combination</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Board</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board of directors of Viatris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Bylaws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bylaws of Viatris Inc. </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Charter</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Viatris Inc., as amended</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World Health Organization</w:t>
            </w:r>
          </w:p>
        </w:tc>
      </w:tr>
      <w:tr>
        <w:trPr/>
        <w:tc>
          <w:tcPr>
            <w:tcW w:w="1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85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About Viatris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more than 30,000 employees. The Company has 27 manufacturing, packaging, and distribution sites worldwide, more than 1,400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 Strong Foundation for Performance and Impact</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Viatris’ ability to sustainably deliver high-quality medicines is grounded in its mission to empower people worldwide to live healthier at every stage of life.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has executed various strategic initiatives, transactions and business arrangements over the last few years to return its base business to growth, deliver on its pipeline, reduce debt, and return capital to shareholders. The Company has also completed certain divestiture-related transactions to simplify and streamline its business, accelerate paydown of debt and unlock value as discussed below.</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November 2022, Viatris completed a transaction to contribute its biosimilars portfolio to Biocon Biologics to create a vertically integrated global biosimilars leader, for a combination of cash and stock in the form of CCPS representing a stake of approximately 12.9% (on a fully diluted basis) in Biocon Biologics.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March 2024, the Company completed the divestiture of its women's healthcare business, primarily related to its oral and injectable contraceptives, to Insud Pharma, S.L., a leading Spanish multinational pharmaceutical company. The transaction included two manufacturing facilities in India: one in Ahmedabad and one in Sarigam.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June 2024, the Company completed the divestiture of its API business in India to Matrix Pharma Private Limited, a privately held pharmaceutical company based in India. The transaction included three manufacturing sites and an R&amp;D lab in Hyderabad, three manufacturing sites in Vizag and third-party API sales. Viatris retained some selective R&amp;D capabilities in API.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 July 2024, the Company completed the divestiture of its OTC Business to Cooper Consumer Health, a leading European OTC drug manufacturer and distributor. The transaction included two manufacturing sites located in Merignac, France, and Confienza, Italy, and an R&amp;D site in Monza, Italy. The Company retained the rights for Viagra®, Dymista® (which, in certain limited markets, are sold as OTC products) and select OTC products in certain markets.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Viatris divested its rights to women’s healthcare products Duphaston® and Femoston® in certain countries to Theramex HQ UK Limited, a leading global specialty pharmaceutical company dedicated to women's health. The transaction (other than in the U.K., which was sold to Insud Pharma, S.L. in August 2024) closed in December 2023.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divestitures of the commercialization rights in the majority of the Upjohn Distributor Markets closed during 2023 and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2025 Significant Accomplishments</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Viatris continued to reshape its business while delivering meaningful progress for shareholders, patients, and employees alike. Among this year’s achievements: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Strong Commercial Execution</w:t>
      </w:r>
      <w:r>
        <w:rPr>
          <w:rFonts w:ascii="Times New Roman;serif" w:hAnsi="Times New Roman;serif"/>
          <w:b w:val="false"/>
          <w:color w:val="000000"/>
          <w:sz w:val="20"/>
        </w:rPr>
        <w:t>: Viatris reported 2025 total revenues of $14.30 billion, despite the impact of divestitures and the Indore Impact, demonstrating renewed momentum in our base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Pipeline Progress</w:t>
      </w:r>
      <w:r>
        <w:rPr>
          <w:rFonts w:ascii="Times New Roman;serif" w:hAnsi="Times New Roman;serif"/>
          <w:b w:val="false"/>
          <w:color w:val="000000"/>
          <w:sz w:val="20"/>
        </w:rPr>
        <w:t xml:space="preserve">: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Company advanced its innovative pipeline with five positive Phase 3 data readouts: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Received positive results from the Phase 3 open-label, long-term extension study for EFFEXOR® required for approval in Japan. The Company also filed applications to the Japan Ministry of Health, Labor and Welfare for approval of EFFEXOR SR Capsules (venlafaxine hydrochloride), a serotonin-noradrenaline reuptake inhibitor to treat adults with generalized anxiety disorder, an indication for which no other treatment option is currently approved in Japan.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Announced positive top-line results from two pivotal Phase 3 studies of its novel fast-absorbing formulation of meloxicam (MR-107A-02) for the treatment of moderate-to-severe acute pain. The Phase 3 program consisted of two randomized, double-blind, placebo-(double-dummy) and active-controlled trials – one following herniorrhaphy surgery and one following bunionectomy surgery. In both Phase 3 studies, all primary and key secondary endpoints were met and MR-107A-02 demonstrated statistically significant and clinically meaningful results.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Announced positive results of its Phase 3 study evaluating the contraceptive efficacy and safety of investigational low dose estrogen weekly dermal patch with 150 mcg norelgestromin and 17.5 mcg ethinyl estradiol per day in women of childbearing potential. In this study, the patch demonstrated a favorable efficacy and safety profile with no new safety concerns identified, as well as a potential best-in-class patch performance profile. The Company’s NDA was accepted under the FDA’s 505(b)(2) regulatory pathway, and the FDA has assigned a target action date of July 30, 2026.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Announced positive top-line results from LYNX-2, a pivotal Phase 3 trial evaluating MR-142 (phentolamine ophthalmic solution 0.75%) in treating significant, chronic night driving impairment in keratorefractive patients with reduced mesopic vision.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Announced positive top-line results from VEGA-3, the second pivotal Phase 3 trial evaluating MR-141 (phentolamine ophthalmic solution 0.75%) in treating presbyopia, the age-related progressive loss of the ability to focus on close objects that results in blurred near vision and eye strain. The supplemental NDA was accepted for review by the FDA in February 2026 and the Company anticipates FDA action during the second half of 2026.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Patient enrollment for selatogrel and cenerimod clinical trials remains on track.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Company received the first approval for Inpefa® (sotagliflozin) in the United Arab Emirates, and the product was launched in early 2026 — an important milestone in our innovative brands strategy. Viatris obtained the rights to sotagliflozin for all markets outside of the U.S. and Europe in October 2024. The Company filed regulatory submissions in Saudi Arabia, Canada, Australia, and New Zealand.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launched its Iron Sucrose Injection, USP, in the U.S. The product, which is an intravenous iron replacement product used to treat iron deficiency anemia in adult and pediatric patients (2 years of age and older) with chronic kidney disease, is available in single dose vials in the following strengths: 50 mg/2.5mL, 100mg/5mL and 200mg/10mL.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Capital Return</w:t>
      </w:r>
      <w:r>
        <w:rPr>
          <w:rFonts w:ascii="Times New Roman;serif" w:hAnsi="Times New Roman;serif"/>
          <w:b w:val="false"/>
          <w:color w:val="000000"/>
          <w:sz w:val="20"/>
        </w:rPr>
        <w:t xml:space="preserve">: In 2025, Viatris returned more than $1 billion of capital to shareholders, including approximately $500 million in share repurchases and $561 million in dividends.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Operational Resilience</w:t>
      </w:r>
      <w:r>
        <w:rPr>
          <w:rFonts w:ascii="Times New Roman;serif" w:hAnsi="Times New Roman;serif"/>
          <w:b w:val="false"/>
          <w:color w:val="000000"/>
          <w:sz w:val="20"/>
        </w:rPr>
        <w:t xml:space="preserve">: Viatris made substantial progress on its initial remediation activities at its oral finished dose manufacturing facility in Indore, India, including but not limited to related personnel actions. The Company has been in regular communication with the FDA during this process and will continue to work to ensure that the FDA is satisfied with the steps taken to resolve all the points raised.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Accretive Business Development Opportunities: </w:t>
      </w:r>
      <w:r>
        <w:rPr>
          <w:rFonts w:ascii="Times New Roman;serif" w:hAnsi="Times New Roman;serif"/>
          <w:b w:val="false"/>
          <w:color w:val="000000"/>
          <w:sz w:val="20"/>
        </w:rPr>
        <w:t xml:space="preserve">Viatris continued to advance its pipeline of innovative, best-in-class, patent-protected assets in areas of unmet medical need through accretive in-market business development opportunities, including its October 2025 acquisition of Aculys Pharma, a clinical stage biopharmaceutical company focused on commercializing innovative treatments for neurological conditions primarily in Japan. As part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Viatris acquired exclusive development and commercialization rights in Japan for pitolisant, a selective/inverse agonist of the histamine H3 receptor. One indication is for the treatment of excessive daytime sleepiness or cataplexy in adult patients with narcolepsy and the second is for the treatment of excessive daytime sleepiness associated with obstructive sleep apnea syndrome. The Japanese NDAs for both indications have been submitted to the Japan Pharmaceuticals and Medical Devices Agency and are under review by the agency. The transaction also included exclusive rights in Japan and certain other markets in the Asia-Pacific region for Spydia® Nasal Spray, which was approved in Japan in June 2025 for the treatment of status epilepticus and launched in December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accomplishments reinforce the disciplined execution of Viatris’ continuing strategy and its ability to invest for the future while continuing to deliver value today.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Enterprise-Wide Strategic Review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enterprise-wide strategic review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Strategic Path Going Forward</w:t>
      </w:r>
    </w:p>
    <w:p>
      <w:pPr>
        <w:pStyle w:val="TextBody"/>
        <w:bidi w:val="0"/>
        <w:spacing w:before="0" w:after="0"/>
        <w:ind w:left="0" w:right="0" w:firstLine="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our EWSR, the Company also identified three strategic imperatives that will drive our future and position the Company for sustainable growth:</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Drive Our Base Business:</w:t>
      </w:r>
      <w:r>
        <w:rPr>
          <w:color w:val="000000"/>
        </w:rPr>
        <w:t xml:space="preserve"> </w:t>
      </w:r>
      <w:r>
        <w:rPr>
          <w:rFonts w:ascii="Times New Roman;serif" w:hAnsi="Times New Roman;serif"/>
          <w:b w:val="false"/>
          <w:color w:val="000000"/>
          <w:sz w:val="20"/>
        </w:rPr>
        <w:t>By executing successful launches, focusing on supply chain continuity, evolving our generics portfolio over time towards more profitable, higher-margin products and strengthening our established brands portfolio.</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Fuel Our Innovative Portfolio:</w:t>
      </w:r>
      <w:r>
        <w:rPr>
          <w:color w:val="000000"/>
        </w:rPr>
        <w:t xml:space="preserve"> </w:t>
      </w:r>
      <w:r>
        <w:rPr>
          <w:rFonts w:ascii="Times New Roman;serif" w:hAnsi="Times New Roman;serif"/>
          <w:b w:val="false"/>
          <w:color w:val="000000"/>
          <w:sz w:val="20"/>
        </w:rPr>
        <w:t>By advancing a pipeline of late-stage and in-market growth assets sourced both internally and externally.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Modernize for Sustainable Growth:</w:t>
      </w:r>
      <w:r>
        <w:rPr>
          <w:color w:val="000000"/>
        </w:rPr>
        <w:t xml:space="preserve"> </w:t>
      </w:r>
      <w:r>
        <w:rPr>
          <w:rFonts w:ascii="Times New Roman;serif" w:hAnsi="Times New Roman;serif"/>
          <w:b w:val="false"/>
          <w:color w:val="000000"/>
          <w:sz w:val="20"/>
        </w:rPr>
        <w:t>By strengthening our technology, data and talent capabilities to enable sustained success in a rapidly evolving healthcare environment.</w:t>
      </w:r>
    </w:p>
    <w:p>
      <w:pPr>
        <w:pStyle w:val="TextBody"/>
        <w:bidi w:val="0"/>
        <w:spacing w:before="0" w:after="0"/>
        <w:jc w:val="left"/>
        <w:rPr/>
      </w:pPr>
      <w:r>
        <w:rPr/>
      </w:r>
    </w:p>
    <w:p>
      <w:pPr>
        <w:pStyle w:val="TextBody"/>
        <w:bidi w:val="0"/>
        <w:spacing w:lineRule="auto" w:line="26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Expansive Global Reach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strong commercial infrastructure enables the Company to serve patients in almost every corner of the globe through retail and pharmacy establishments, wholesalers, governments, institutions, physicians and other customers. Viatris provides unique reach through four segments – Developed Markets, Emerging Markets, JANZ, and Greater China – across more than 165 countries and territories.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Approach to Growth and Innovation</w:t>
      </w:r>
    </w:p>
    <w:p>
      <w:pPr>
        <w:pStyle w:val="TextBody"/>
        <w:bidi w:val="0"/>
        <w:spacing w:before="0" w:after="240"/>
        <w:jc w:val="both"/>
        <w:rPr/>
      </w:pPr>
      <w:r>
        <w:rPr/>
        <w:drawing>
          <wp:inline distT="0" distB="0" distL="0" distR="0">
            <wp:extent cx="6515100" cy="220980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515100" cy="2209800"/>
                    </a:xfrm>
                    <a:prstGeom prst="rect">
                      <a:avLst/>
                    </a:prstGeom>
                  </pic:spPr>
                </pic:pic>
              </a:graphicData>
            </a:graphic>
          </wp:inline>
        </w:drawing>
      </w:r>
      <w:bookmarkStart w:id="0" w:name="i-1"/>
      <w:bookmarkEnd w:id="0"/>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confidence in the delivery of its pipeline is rooted in its strong historic development programs and list of firsts, including the first FDA approvals of the generic versions of Advair Diskus® (Wixela Inhub®), Restasis®, Symbicort® (Breyna™), and Venofer®. The Company is working on many other programs, including patent-protected, innovative assets such as selatogrel and cenerimod, 505(b)(2) products such as fast-absorbing meloxicam for acute pain and low dose estrogen weekly patch for contraception, and on the potential to be first to market for its generics of Abilify Maintena®, Injectafer®, Ozempic®, and Wegovy™.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While the Company continues to diligently pursue important generics opportunities, it has increasingly focused on limited-competition complex and novel products targeting gaps in care, all with a first-to-market emphasis and serving Viatris’ mission of patient access. Complex product categories are critical to patient health and are growing at a rapid pace. The Company’s goal is to enhance its proven scientific capabilities and current global platform, which allows partners to access Viatris’ infrastructure and many established strengths to reach patients they may not have the resources to reach on their own, to create a durable and higher-margin portfolio of products. And that means further expanding beyond the Company’s current scope into more innovative products, including innovative, best-in-class, patent-protected assets that address areas of significant unmet medical need.</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additional information, see Part I, Item 1A Risk Factors – </w:t>
      </w:r>
      <w:r>
        <w:rPr>
          <w:color w:val="000000"/>
        </w:rPr>
        <w:t>“</w:t>
      </w:r>
      <w:r>
        <w:rPr>
          <w:rFonts w:ascii="Times New Roman;serif" w:hAnsi="Times New Roman;serif"/>
          <w:b w:val="false"/>
          <w:i/>
          <w:color w:val="000000"/>
          <w:sz w:val="20"/>
        </w:rPr>
        <w:t>We may not realize the intended benefits of, or achieve the intended goals or outlooks with respect to, our strategic initiatives and priorities, including divestitures, acquisitions or other potential transactions.”</w:t>
      </w:r>
      <w:r>
        <w:rPr>
          <w:rFonts w:ascii="Times New Roman;serif" w:hAnsi="Times New Roman;serif"/>
          <w:b w:val="false"/>
          <w:color w:val="000000"/>
          <w:sz w:val="20"/>
        </w:rPr>
        <w:t xml:space="preserve">, </w:t>
      </w:r>
      <w:r>
        <w:rPr>
          <w:color w:val="000000"/>
        </w:rPr>
        <w:t>“</w:t>
      </w:r>
      <w:r>
        <w:rPr>
          <w:rFonts w:ascii="Times New Roman;serif" w:hAnsi="Times New Roman;serif"/>
          <w:b w:val="false"/>
          <w:i/>
          <w:color w:val="000000"/>
          <w:sz w:val="20"/>
        </w:rPr>
        <w:t>If we are unable to successfully introduce new products in a timely manner, our future revenue and profitability may be adversely affected.”</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We expend a significant amount of resources on R&amp;D efforts that may not lead to successful product introductions.”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industry data included in this Item 1 are sourced from IQVIA Holdings Inc. and are for the twelve months ended November 2025 and Viatris product and other company data included in this Item 1 are from internal sources and are as of November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Upjohn was incorporated in Delaware on February 14, 2019 as a wholly-owned subsidiary of Pfizer to operate the Upjohn Business. Effective as of November 16, 2020, Upjohn, Mylan and Pfizer consummated the combination of Mylan with the Upjohn Business through a Reverse Morris Trust transaction, Viatris became the parent entity of the combined Upjohn Business and Mylan business, and Upjohn changed its name to “Viatris Inc.” As a result of the Combination, Mylan ceased to exist as a separate legal entity after merging with and into Mylan II B.V., an indirect wholly owned subsidiary of Viatris.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Upjohn Business was a global, primarily off-patent branded and generic established medicines business, which included 20 primarily off-patent oral solid dose legacy brands, such as Lyrica®, Lipitor®, Celebrex® and Viagra®.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Mylan was founded in 1961 as a privately-owned company and grew over time into one of the largest manufacturers of generic medicines in the U.S. Mylan became a publicly traded company in 1973. Mylan’s strategy then led to many acquisitions which played a significant role in the evolution of that company, including Matrix Laboratories Limited (2007);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Merck KGaA’s generic and specialty pharmaceutical business (2007); Abbott Laboratories’ non-U.S. developed markets specialty and branded generics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Model and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Viatris, we have a relentless focus on delivering access at scale. Our strength is in our diversity. Our business and operating model is deliberately designed and implemented to deliver on our strategy to provide and sustain access to medicine at scale. We seek to create value for and together with our key stakeholders – the people who trust our medicines every day, the health systems who rely on us, the people who make up Viatris, our partners and the investors who believe in our ability to execute on our ambitious mission.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are convinced that patients and health systems around the world are best served by a healthcare company applying a well-rounded and long-term approach, maintaining viability while working to manage inherent risks and opportunities and continuously striving to advance sustainable operations and responsible practices in a focused way. We see healthcare not as it is, but as it should be. We act courageously and believe we are uniquely positioned to be a source of stability in a world of evolving healthcare needs. Our mission is to empower people worldwide to live healthier at every stage of life. We do so via</w:t>
      </w:r>
      <w:r>
        <w:rPr>
          <w:color w:val="000000"/>
        </w:rPr>
        <w:t xml:space="preserve"> </w:t>
      </w:r>
      <w:r>
        <w:rPr>
          <w:rFonts w:ascii="Times New Roman;serif" w:hAnsi="Times New Roman;serif"/>
          <w:b/>
          <w:color w:val="000000"/>
          <w:sz w:val="20"/>
        </w:rPr>
        <w:t>Access</w:t>
      </w:r>
      <w:r>
        <w:rPr>
          <w:rFonts w:ascii="Times New Roman;serif" w:hAnsi="Times New Roman;serif"/>
          <w:b w:val="false"/>
          <w:color w:val="000000"/>
          <w:sz w:val="20"/>
        </w:rPr>
        <w:t xml:space="preserve">, </w:t>
      </w:r>
      <w:r>
        <w:rPr>
          <w:rFonts w:ascii="Times New Roman;serif" w:hAnsi="Times New Roman;serif"/>
          <w:b/>
          <w:color w:val="000000"/>
          <w:sz w:val="20"/>
        </w:rPr>
        <w:t>Leadership</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Partnership</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drawing>
          <wp:inline distT="0" distB="0" distL="0" distR="0">
            <wp:extent cx="571500" cy="60007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571500" cy="600075"/>
                    </a:xfrm>
                    <a:prstGeom prst="rect">
                      <a:avLst/>
                    </a:prstGeom>
                  </pic:spPr>
                </pic:pic>
              </a:graphicData>
            </a:graphic>
          </wp:inline>
        </w:drawing>
      </w:r>
      <w:bookmarkStart w:id="1" w:name="i-2"/>
      <w:bookmarkEnd w:id="1"/>
    </w:p>
    <w:p>
      <w:pPr>
        <w:pStyle w:val="TextBody"/>
        <w:bidi w:val="0"/>
        <w:spacing w:lineRule="auto" w:line="288" w:before="0" w:after="240"/>
        <w:jc w:val="left"/>
        <w:rPr/>
      </w:pPr>
      <w:r>
        <w:rPr>
          <w:rFonts w:ascii="Times New Roman;serif" w:hAnsi="Times New Roman;serif"/>
          <w:b/>
          <w:color w:val="000000"/>
          <w:sz w:val="20"/>
        </w:rPr>
        <w:t>ACCESS</w:t>
      </w:r>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color w:val="000000"/>
          <w:sz w:val="20"/>
        </w:rPr>
        <w:t>Viatris provides high-quality, trusted medicines, regardless of geography or circumstance.</w:t>
      </w:r>
      <w:r>
        <w:rPr>
          <w:color w:val="000000"/>
        </w:rPr>
        <w:t xml:space="preserve"> </w:t>
      </w:r>
      <w:r>
        <w:rPr>
          <w:rFonts w:ascii="Times New Roman;serif" w:hAnsi="Times New Roman;serif"/>
          <w:b w:val="false"/>
          <w:color w:val="000000"/>
          <w:sz w:val="20"/>
        </w:rPr>
        <w:t xml:space="preserve">As noted above, access is fundamental to the Company’s mission. It is not an initiative; it is Viatris’ business model, and it is personal. It begins with Viatris’ ability to sustainably deliver quality medicines to people, regardless of geography or circumstance. The Company believes it is uniquely positioned to bridge the traditional divide between generics and brands, combining the best of both to more holistically address healthcare needs globally. Viatris is committed to improving access to high-quality medicines and maintaining a reliable supply so patients can get the treatments they need, when and where they need them. Viatris is building on its strong foundation and existing access-driven base business while pursuing increasingly complex generics and novel and innovative products targeting gaps in care, all with a first-to-market focus to leverage its scientific and development expertise to help further accelerate access. Viatris’ goal is to seek opportunities to further advance reliable access to medicine through its proven scientific capabilities and extensive global platform.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sees access as fundamental to empowering people worldwide to live healthier at every stage of life—a powerful concept in challenging times. </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company, Viatris: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Covers a broad range of therapeutic areas.</w:t>
      </w:r>
      <w:r>
        <w:rPr>
          <w:color w:val="000000"/>
        </w:rPr>
        <w:t xml:space="preserve"> </w:t>
      </w:r>
      <w:r>
        <w:rPr>
          <w:rFonts w:ascii="Times New Roman;serif" w:hAnsi="Times New Roman;serif"/>
          <w:b w:val="false"/>
          <w:color w:val="000000"/>
          <w:sz w:val="20"/>
        </w:rPr>
        <w:t>The Company produces medicines for patients across a broad range of major therapeutic areas. From cardiovascular health to oncology, Viatris offers quality treatment options across more than 10 major therapeutic areas covering a wide variety of noncommunicable and infectious diseases. It also offers support services such as diagnostic clinics, educational seminars and digital tools to help patients better manage their health. Viatris continues to seek opportunities in various therapeutic areas that move the Company forward and leverage the strength of its internal capabilities and global platform.</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Helps ease the burden of noncommunicable diseases.</w:t>
      </w:r>
      <w:r>
        <w:rPr>
          <w:color w:val="000000"/>
        </w:rPr>
        <w:t xml:space="preserve"> </w:t>
      </w:r>
      <w:r>
        <w:rPr>
          <w:rFonts w:ascii="Times New Roman;serif" w:hAnsi="Times New Roman;serif"/>
          <w:b w:val="false"/>
          <w:color w:val="000000"/>
          <w:sz w:val="20"/>
        </w:rPr>
        <w:t>According to the WHO, NCDs, such as ischemic heart disease, stroke, diabetes, certain cancers and chronic obstructive pulmonary disease, are among the leading causes of death globally. NCDs affect people of every age, gender and socioeconomic status in every corner of the world, and pose a heavy burden on individuals, families and communities. To overcome this global public health threat, patients worldwide need a partner they can trust – one that not only believes everyone deserves good health, but also has the portfolio, experience and expertise to make this belief a reality.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Helps hearts stay healthier. </w:t>
      </w:r>
      <w:r>
        <w:rPr>
          <w:rFonts w:ascii="Times New Roman;serif" w:hAnsi="Times New Roman;serif"/>
          <w:b w:val="false"/>
          <w:color w:val="000000"/>
          <w:sz w:val="20"/>
        </w:rPr>
        <w:t>According to the WHO, coronary heart disease is the number one cause of death globally. With its acquisition of selatogrel and licensing agreement for sotagliflozin, Viatris is continuing to build on its strong presence in cardiovascular disease. Viatris collaborates with many organizations to help prevent, diagnose, and treat cardiovascular illnesses. Its deep experience in emerging and developed markets affords a tried-and-true method of achieving high impact across the patient experience, from awareness to adherence. In close collaboration with governments, healthcare providers, technology partners and patients, Viatris works to nurture healthcare systems that can adapt and respond to patients’ ever-changing needs. The Company continues to collaborate with medical associations, patient advocacy groups and academia to develop innovative, integrated solutions and programs to help strengthen both the delivery and quality of healthcare.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Fights infectious disease.</w:t>
      </w:r>
      <w:r>
        <w:rPr>
          <w:color w:val="000000"/>
        </w:rPr>
        <w:t xml:space="preserve"> </w:t>
      </w:r>
      <w:r>
        <w:rPr>
          <w:rFonts w:ascii="Times New Roman;serif" w:hAnsi="Times New Roman;serif"/>
          <w:b w:val="false"/>
          <w:color w:val="000000"/>
          <w:sz w:val="20"/>
        </w:rPr>
        <w:t>Viatris has a long history in the fight against infectious diseases such as HIV/AIDS, hepatitis, and tuberculosis, and offer an extensive portfolio across these disease states. While many important strides have been made to treat these illnesses, there is still more to be done. The Company is working with global and local partners to help prevent infections, increase access to diagnosis and treatment, provide healthcare solutions and work on local manufacturing initiatives with partners to transfer technology to expand access where it is most needed. With a portfolio that includes pediatric-friendly ARV used to treat HIV-positive infants and HIV self-tests, we are innovating to help patients.</w:t>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5429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571500" cy="542925"/>
                    </a:xfrm>
                    <a:prstGeom prst="rect">
                      <a:avLst/>
                    </a:prstGeom>
                  </pic:spPr>
                </pic:pic>
              </a:graphicData>
            </a:graphic>
          </wp:inline>
        </w:drawing>
      </w:r>
      <w:bookmarkStart w:id="2" w:name="i-3"/>
      <w:bookmarkEnd w:id="2"/>
    </w:p>
    <w:p>
      <w:pPr>
        <w:pStyle w:val="TextBody"/>
        <w:bidi w:val="0"/>
        <w:spacing w:lineRule="auto" w:line="288" w:before="0" w:after="240"/>
        <w:jc w:val="left"/>
        <w:rPr/>
      </w:pPr>
      <w:r>
        <w:rPr>
          <w:rFonts w:ascii="Times New Roman;serif" w:hAnsi="Times New Roman;serif"/>
          <w:b/>
          <w:color w:val="000000"/>
          <w:sz w:val="20"/>
        </w:rPr>
        <w:t>LEADERSHIP</w:t>
      </w:r>
      <w:r>
        <w:rPr>
          <w:color w:val="000000"/>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0"/>
        </w:rPr>
        <w:t xml:space="preserve">Viatris is working to further advance sustainable operations and innovative solutions to improve patient health and support more resilient healthcare systems. </w:t>
      </w:r>
      <w:r>
        <w:rPr>
          <w:rFonts w:ascii="Times New Roman;serif" w:hAnsi="Times New Roman;serif"/>
          <w:b w:val="false"/>
          <w:color w:val="000000"/>
          <w:sz w:val="20"/>
        </w:rPr>
        <w:t>Viatris is committed to providing steady leadership in a world that is constantly evolving. The Company takes that commitment seriously and knows that advancing sustainable operations and innovative solutions to improve patient health requires strong global leadership. Viatris knows what it takes to reach more patients with more products, and believes that it is uniquely positioned to make a difference through its: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Powerful global operating platform</w:t>
      </w:r>
      <w:r>
        <w:rPr>
          <w:rFonts w:ascii="Times New Roman;serif" w:hAnsi="Times New Roman;serif"/>
          <w:b w:val="false"/>
          <w:color w:val="000000"/>
          <w:sz w:val="20"/>
        </w:rPr>
        <w:t xml:space="preserve">, which combines what it believes to be best-in-class manufacturing and supply chain capabilities. Viatris has designed its global operations and supply chain to be a reliable and flexible partner for access across the world, constantly adapting to an ever-evolving landscape. Viatris owns 27 manufacturing, packaging, and distribution sites worldwide that produce oral solid doses, injectables, and products with complex dosage forms on five different continents. Together with a global, flexible and diverse supply chain, the Company’s platform strives to mitigate risks of disruption and ensure supply reliability. Viatris’ responsive global network has helped the Company maintain a reliable supply of much needed medicines through times of significant volatility. Viatris is committed to advancing responsible and sustainable operations and work diligently to minimize its environmental footprint across the Viatris network while safeguarding access to medicine. </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Robust global technical resources</w:t>
      </w:r>
      <w:r>
        <w:rPr>
          <w:rFonts w:ascii="Times New Roman;serif" w:hAnsi="Times New Roman;serif"/>
          <w:b w:val="false"/>
          <w:color w:val="000000"/>
          <w:sz w:val="20"/>
        </w:rPr>
        <w:t>, including thousands of scientists, regulatory experts, clinical, medical and product safety professionals working around the world on innovative therapies and solutions for patients everywhere.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Strong global commercial team</w:t>
      </w:r>
      <w:r>
        <w:rPr>
          <w:rFonts w:ascii="Times New Roman;serif" w:hAnsi="Times New Roman;serif"/>
          <w:b w:val="false"/>
          <w:color w:val="000000"/>
          <w:sz w:val="20"/>
        </w:rPr>
        <w:t>, including sales team members and marketing professionals whose goal is to ensure that our products reach customers around the globe.</w:t>
      </w:r>
    </w:p>
    <w:p>
      <w:pPr>
        <w:pStyle w:val="TextBody"/>
        <w:bidi w:val="0"/>
        <w:spacing w:lineRule="auto" w:line="288" w:before="0" w:after="240"/>
        <w:ind w:left="0" w:right="0" w:hanging="360"/>
        <w:jc w:val="left"/>
        <w:rPr/>
      </w:pPr>
      <w:r>
        <w:rPr>
          <w:color w:val="000000"/>
        </w:rPr>
        <w:t>•</w:t>
      </w:r>
      <w:r>
        <w:rPr>
          <w:rFonts w:ascii="Times New Roman;serif" w:hAnsi="Times New Roman;serif"/>
          <w:b/>
          <w:color w:val="000000"/>
          <w:sz w:val="20"/>
        </w:rPr>
        <w:t>Increasingly innovative and differentiated pipeline</w:t>
      </w:r>
      <w:r>
        <w:rPr>
          <w:color w:val="000000"/>
        </w:rPr>
        <w:t xml:space="preserve"> </w:t>
      </w:r>
      <w:r>
        <w:rPr>
          <w:rFonts w:ascii="Times New Roman;serif" w:hAnsi="Times New Roman;serif"/>
          <w:b w:val="false"/>
          <w:color w:val="000000"/>
          <w:sz w:val="20"/>
        </w:rPr>
        <w:t xml:space="preserve">includes products in more than 10 major therapeutic areas, including both infectious diseases and NCDs, and medicines that help treat the top 10 leading causes of death globally, as determined by the WHO. We are a leading supplier of medicines to the HIV/AIDS community around the world, with a legacy of providing access to high-quality and affordable ARV in more than 100 countries.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believes that its global leadership in all of these areas uniquely positions the Company to efficiently and effectively serve patients regardless of geography or circumstance. Together with its commitment to provide access to a sustainable, affordable, and diverse portfolio of high-quality medicines, Viatris works to improve access and meet evolving healthcare needs around the world.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240"/>
        <w:jc w:val="left"/>
        <w:rPr/>
      </w:pPr>
      <w:r>
        <w:rPr/>
        <w:drawing>
          <wp:inline distT="0" distB="0" distL="0" distR="0">
            <wp:extent cx="571500" cy="5429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571500" cy="542925"/>
                    </a:xfrm>
                    <a:prstGeom prst="rect">
                      <a:avLst/>
                    </a:prstGeom>
                  </pic:spPr>
                </pic:pic>
              </a:graphicData>
            </a:graphic>
          </wp:inline>
        </w:drawing>
      </w:r>
      <w:bookmarkStart w:id="3" w:name="i-4"/>
      <w:bookmarkEnd w:id="3"/>
    </w:p>
    <w:p>
      <w:pPr>
        <w:pStyle w:val="TextBody"/>
        <w:bidi w:val="0"/>
        <w:spacing w:lineRule="auto" w:line="288" w:before="0" w:after="240"/>
        <w:jc w:val="left"/>
        <w:rPr/>
      </w:pPr>
      <w:r>
        <w:rPr>
          <w:rFonts w:ascii="Times New Roman;serif" w:hAnsi="Times New Roman;serif"/>
          <w:b/>
          <w:color w:val="000000"/>
          <w:sz w:val="20"/>
        </w:rPr>
        <w:t>PARTNERSHIP</w:t>
      </w:r>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color w:val="000000"/>
          <w:sz w:val="20"/>
        </w:rPr>
        <w:t xml:space="preserve">Leveraging its collective expertise to connect people to products and services. </w:t>
      </w:r>
      <w:r>
        <w:rPr>
          <w:rFonts w:ascii="Times New Roman;serif" w:hAnsi="Times New Roman;serif"/>
          <w:b w:val="false"/>
          <w:color w:val="000000"/>
          <w:sz w:val="20"/>
        </w:rPr>
        <w:t xml:space="preserve">Partnerships and collaborations are critical, as are policies and strong healthcare systems that allow for healthy competitive environments. Viatris has a strong history of playing a leading role by partnering with other pharmaceutical companies, nonprofit organizations, government agencies, policymakers, trade associations and alliances, industry researchers and patient advocacy groups to promote sustainable access to treatment, build more resilient healthcare systems and drive these issues within its industry on global, regional and local levels. Many of the Company’s collaborations focus on access to medicine; public awareness and disease screening; and healthcare professional education and support.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Building for Growth Through Partnerships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offers partners ready access to more markets and patients worldwide through the Company’s unique global infrastructure and expertise, connecting more people with even more products and services they may not have the resources to reach on their own. The Company is actively engaging with potential business partners to help them accelerate possibilities of using their own healthcare assets to reach more markets and patients by leveraging Viatris’ unique global platform – its R&amp;D, supply chain, manufacturing, regulatory, commercial and legal expertise. With the global platforms and infrastructure supporting this approach, the Company is enhancing its capital allocation approach to business development, and its organic and inorganic R&amp;D investments through a focused governance structure to ensure the highest level of strategic decision-making.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Viatris periodically enters into commercial licensing and other partner agreements with other pharmaceutical companies for the development, manufacture, marketing and/or sale of pharmaceutical products. Doing so helps the Company share risks and costs, leverage strengths and scale up commercialization, but usually requires the Company to also share future profits. The result often is that medicines become available sooner and to a significantly larger group of patients.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Company’s significant licensing and other partner agreements are focused on the development, manufacturing, supply and commercialization of multiple, high-value generic compounds, respiratory products, and other complex or innovative products. Refer to Note 19 </w:t>
      </w:r>
      <w:r>
        <w:rPr>
          <w:rFonts w:ascii="Times New Roman;serif" w:hAnsi="Times New Roman;serif"/>
          <w:b w:val="false"/>
          <w:i/>
          <w:color w:val="000000"/>
          <w:sz w:val="20"/>
        </w:rPr>
        <w:t>Licensing and Other Partner Agreements</w:t>
      </w:r>
      <w:r>
        <w:rPr>
          <w:color w:val="000000"/>
        </w:rPr>
        <w:t xml:space="preserve"> </w:t>
      </w:r>
      <w:r>
        <w:rPr>
          <w:rFonts w:ascii="Times New Roman;serif" w:hAnsi="Times New Roman;serif"/>
          <w:b w:val="false"/>
          <w:color w:val="000000"/>
          <w:sz w:val="20"/>
        </w:rPr>
        <w:t xml:space="preserve">included in Part II, Item 8 of this Form 10-K for more information. As the Company continues to expand its portfolio of more innovative, best-in-class, patent-protected assets, the Company may enter into more financial commitments in connection with agreements with its collaboration partners that provide for certain services, as well as cross manufacturing, development and licensing arrangements. For additional information, see Part I, Item 1A Risk Factors – </w:t>
      </w:r>
      <w:r>
        <w:rPr>
          <w:color w:val="000000"/>
        </w:rPr>
        <w:t>“</w:t>
      </w:r>
      <w:r>
        <w:rPr>
          <w:rFonts w:ascii="Times New Roman;serif" w:hAnsi="Times New Roman;serif"/>
          <w:b w:val="false"/>
          <w:i/>
          <w:color w:val="000000"/>
          <w:sz w:val="20"/>
        </w:rPr>
        <w:t>We may not realize the intended benefits of, or achieve the intended goals or outlooks with respect to, our strategic initiatives and priorities, including divestitures, acquisitions or other potential transactions.”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has developed an end-to-end experience across the total product life cycle, which includes global regulatory licensing, launch, growth and post-approval lifecycle management. Our research, development and medical platform seeks to maximize the impact of our existing portfolio by examining whether there is an opportunity for new indications, label extensions, formulations, and market registrations for our products. We also use our platform to determine whether there is an opportunity to integrate new products into our portfolio.</w:t>
      </w:r>
    </w:p>
    <w:p>
      <w:pPr>
        <w:pStyle w:val="TextBody"/>
        <w:bidi w:val="0"/>
        <w:spacing w:lineRule="auto" w:line="288" w:before="0" w:after="0"/>
        <w:ind w:left="0" w:right="0" w:firstLine="720"/>
        <w:jc w:val="left"/>
        <w:rPr/>
      </w:pPr>
      <w:r>
        <w:rPr>
          <w:rFonts w:ascii="Times New Roman;serif" w:hAnsi="Times New Roman;serif"/>
          <w:b w:val="false"/>
          <w:color w:val="000000"/>
          <w:sz w:val="20"/>
        </w:rPr>
        <w:t>The manufacturing of API and finished dosage forms is currently performed by a combination of internal and external manufacturing operations. After completing the divestiture of its API business in India, Viatris continues to maintain some selective R&amp;D capabilities in API and believes it has access to adequate API supplies through a manufacturing and supply agreement with the API business buyer and Viatris’ supply agreements with other manufacturers. For additional information, see Part I, Item 1A Risk Factors - “</w:t>
      </w:r>
      <w:r>
        <w:rPr>
          <w:rFonts w:ascii="Times New Roman;serif" w:hAnsi="Times New Roman;serif"/>
          <w:b w:val="false"/>
          <w:i/>
          <w:color w:val="000000"/>
          <w:sz w:val="20"/>
        </w:rPr>
        <w:t>We have a limited number of manufacturing facilities and certain third-party suppliers produce a substantial portion of our API and products, some of which require a highly exacting and complex manufacturing process.</w:t>
      </w:r>
      <w:r>
        <w:rPr>
          <w:color w:val="000000"/>
        </w:rPr>
        <w:t xml:space="preserve">” </w:t>
      </w:r>
      <w:r>
        <w:rPr>
          <w:rFonts w:ascii="Times New Roman;serif" w:hAnsi="Times New Roman;serif"/>
          <w:b w:val="false"/>
          <w:color w:val="000000"/>
          <w:sz w:val="20"/>
        </w:rPr>
        <w:t>of this Form 10-K.</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significant manufacturing, packaging, warehousing and distribution activities are located primarily in the U.S., Puerto Rico, Singapore, India, Australia, China, and certain EU countries, including Ireland. In addition, we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administrative facilities around the world. While many of these key facilities are owned, Viatris also leases certain facilities from third parties.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all its facilities are in good operating condition, the machinery and equipment are well-maintained, the facilities are suitable for their intended purposes, and they have capacities adequate for the current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Facilities and records related to our products are subject to periodic inspection by the FDA, the EMA and other regulatory authorities in jurisdictions where the Company’s products are marketed. In addition, authorities often conduct pre-approval plant inspections to determine whether the Company’s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an inspection by the FDA at our oral finished dose manufacturing facility in Indore, India in 2024, the FDA issued a warning letter and an import alert related to this facility. The import alert affects 11 products that will no longer be accepted into the U.S. until the warning letter is lifted.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substance of FDA’s original inspection observations, the Company immediately implemented a comprehensive remediation plan at the site. During 2025, we made substantial progress on our remediation activities at the facility, including but not limited to related personnel actions. Additionally, we have engaged independent third-party subject matter experts to support the remediation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the FDA during this process and will continue to work to ensure that the FDA is satisfied with the steps we have taken to resolve all the points raised. Our responses to the warning letter and import alert were submitted within the required time periods. The facility will be subject to a reinspection by the FDA. The timing of the reinspection will be determined by the FDA; however, we anticipate that the facility will be ready for reinspection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mid-February 2026, a fire occurred in a service area at the Company's oral solid dose manufacturing facility in Nashik, India. Manufacturing at the facility has been temporarily suspended and the Company currently expects to resume operations beginning in April 2026. The Company believes it has certain insurance coverages for losses, including for assets and business interruption. In the event the plant cannot be returned to normal operations or the Company’s insurance coverage is unavailable or inadequate, this event could have a negative impact on our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For additional information, see Part I, Item 1A Risk Factors - “</w:t>
      </w:r>
      <w:r>
        <w:rPr>
          <w:rFonts w:ascii="Times New Roman;serif" w:hAnsi="Times New Roman;serif"/>
          <w:b w:val="false"/>
          <w:i/>
          <w:color w:val="000000"/>
          <w:sz w:val="20"/>
        </w:rPr>
        <w:t>The pharmaceutical industry is heavily regulated, and we face significant costs and uncertainties associated with our efforts to comply with applicable laws and regulations.</w:t>
      </w:r>
      <w:r>
        <w:rPr>
          <w:color w:val="000000"/>
        </w:rPr>
        <w:t xml:space="preserve">” </w:t>
      </w:r>
      <w:r>
        <w:rPr>
          <w:rFonts w:ascii="Times New Roman;serif" w:hAnsi="Times New Roman;serif"/>
          <w:b w:val="false"/>
          <w:color w:val="000000"/>
          <w:sz w:val="20"/>
        </w:rPr>
        <w:t>of this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Customers and Marketing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include retail and pharmacy establishments, wholesalers and distributors, payers, insurers and governments, and institutions, such as hospitals, among others. See “Channel Types” below for more information about our customers.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displays the percentage of consolidated net sales to our largest customers during the years ended December 31, 2025, 2024 and 2023:</w:t>
      </w:r>
    </w:p>
    <w:tbl>
      <w:tblPr>
        <w:tblW w:w="5077" w:type="dxa"/>
        <w:jc w:val="left"/>
        <w:tblInd w:w="0" w:type="dxa"/>
        <w:tblLayout w:type="fixed"/>
        <w:tblCellMar>
          <w:top w:w="28" w:type="dxa"/>
          <w:left w:w="28" w:type="dxa"/>
          <w:bottom w:w="28" w:type="dxa"/>
          <w:right w:w="28" w:type="dxa"/>
        </w:tblCellMar>
      </w:tblPr>
      <w:tblGrid>
        <w:gridCol w:w="727"/>
        <w:gridCol w:w="640"/>
        <w:gridCol w:w="642"/>
        <w:gridCol w:w="180"/>
        <w:gridCol w:w="181"/>
        <w:gridCol w:w="356"/>
        <w:gridCol w:w="143"/>
        <w:gridCol w:w="143"/>
        <w:gridCol w:w="143"/>
        <w:gridCol w:w="180"/>
        <w:gridCol w:w="181"/>
        <w:gridCol w:w="356"/>
        <w:gridCol w:w="143"/>
        <w:gridCol w:w="143"/>
        <w:gridCol w:w="143"/>
        <w:gridCol w:w="180"/>
        <w:gridCol w:w="181"/>
        <w:gridCol w:w="415"/>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Consolidated Net Sales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Cencora, Inc.</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 Inc.</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sales represented less than 10% of consolidated net sales during the period.</w:t>
      </w:r>
    </w:p>
    <w:p>
      <w:pPr>
        <w:pStyle w:val="TextBody"/>
        <w:bidi w:val="0"/>
        <w:spacing w:before="0" w:after="0"/>
        <w:ind w:left="0" w:right="0" w:hanging="36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serve our customers through a team of highly-skilled sales and marketing professionals, all of whom are focused on establishing Viatris as our customers’ partner of choice. To best meet customers’ needs, the Company manages its business on a geographic basis.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these and other reasons, the Company’s sales and marketing efforts vary accordingly by product, market and channel type, each of which is described below.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See the </w:t>
      </w:r>
      <w:r>
        <w:rPr>
          <w:rFonts w:ascii="Times New Roman;serif" w:hAnsi="Times New Roman;serif"/>
          <w:b w:val="false"/>
          <w:i/>
          <w:color w:val="000000"/>
          <w:sz w:val="20"/>
        </w:rPr>
        <w:t>Application of Critical Accounting Policies</w:t>
      </w:r>
      <w:r>
        <w:rPr>
          <w:color w:val="000000"/>
        </w:rPr>
        <w:t xml:space="preserve"> </w:t>
      </w:r>
      <w:r>
        <w:rPr>
          <w:rFonts w:ascii="Times New Roman;serif" w:hAnsi="Times New Roman;serif"/>
          <w:b w:val="false"/>
          <w:color w:val="000000"/>
          <w:sz w:val="20"/>
        </w:rPr>
        <w:t>section in Part II, Item 7 of this Form 10-K for more information related to customer arrangements.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Products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currently markets branded and generic drugs, including complex drugs.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Branded drugs</w:t>
      </w:r>
      <w:r>
        <w:rPr>
          <w:color w:val="000000"/>
        </w:rPr>
        <w:t xml:space="preserve"> </w:t>
      </w:r>
      <w:r>
        <w:rPr>
          <w:rFonts w:ascii="Times New Roman;serif" w:hAnsi="Times New Roman;serif"/>
          <w:b w:val="false"/>
          <w:color w:val="000000"/>
          <w:sz w:val="20"/>
        </w:rPr>
        <w:t>are typically prescription</w:t>
      </w:r>
      <w:r>
        <w:rPr>
          <w:color w:val="000000"/>
        </w:rPr>
        <w:t xml:space="preserve"> </w:t>
      </w:r>
      <w:r>
        <w:rPr>
          <w:rFonts w:ascii="Times New Roman;serif" w:hAnsi="Times New Roman;serif"/>
          <w:b w:val="false"/>
          <w:color w:val="000000"/>
          <w:sz w:val="20"/>
        </w:rPr>
        <w:t xml:space="preserve">pharmaceuticals that are sufficiently novel as to be protected by patents or other forms of 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 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and branded generic products are more sensitive to promotion than are unbranded generic products. They therefore represent the primary focus of most of our sales representatives and product-level marketing activity. Our branded drugs also include certain OTC products, which are sold directly to consumers without a prescription and without reimbursement. </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Generic drugs</w:t>
      </w:r>
      <w:r>
        <w:rPr>
          <w:color w:val="000000"/>
        </w:rPr>
        <w:t xml:space="preserve"> </w:t>
      </w:r>
      <w:r>
        <w:rPr>
          <w:rFonts w:ascii="Times New Roman;serif" w:hAnsi="Times New Roman;serif"/>
          <w:b w:val="false"/>
          <w:color w:val="000000"/>
          <w:sz w:val="20"/>
        </w:rPr>
        <w:t xml:space="preserve">are therapeutically equivalent versions of brand drugs. Generics generally become available once the patents and other exclusivities on their branded counterparts expire. The generics business is generally characterized by lower margins on higher volumes of a relatively large number of products. Our generic medicines work in the same way and provide the same clinical benefits as their as their brand-name counterparts and may cost less, providing patients and the healthcare system important savings and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Generic products typically are sold under their INNs. INNs facilitate the identification of pharmaceutical substances or API. Each INN is unique and globally recognized. A nonproprietary name also is known as a generic name.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Complex drugs</w:t>
      </w:r>
      <w:r>
        <w:rPr>
          <w:color w:val="000000"/>
        </w:rPr>
        <w:t xml:space="preserve"> </w:t>
      </w:r>
      <w:r>
        <w:rPr>
          <w:rFonts w:ascii="Times New Roman;serif" w:hAnsi="Times New Roman;serif"/>
          <w:b w:val="false"/>
          <w:color w:val="000000"/>
          <w:sz w:val="20"/>
        </w:rPr>
        <w:t>are medicines that could have a complex active ingredient, complex formulation, complex route of delivery or complex drug device combinations. Viatris offers a number of these important medicines to patients, including Breyna™ Inhalation Aerosol, the first FDA-approved generic version of Symbicort®, Wixela Inhub®, the first generic of Advair Diskus®, glatiramer acetate injection, a generic version of Copaxone®, and its generic iron sucrose injection. Our current complex products are considered generics and are included within our generics revenue category.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the Company looks to the future, Viatris’ goal is to leverage its proven scientific capabilities to create a durable and higher-margin portfolio of products, including innovative, best-in-class, patent-protected assets. While Viatris will continue to diligently pursue important generics opportunities and invest in the lifecycle management of certain key products in our current portfolio, the Company expects to increasingly focus on limited-competition complex and novel products targeting areas of significant unmet medical need, all with a first-to-market emphasis and serving our mission of patient access. The Company believes innovative and complex products categories are critical to patient health and are growing at a rapid pace. The Company is further enhancing its commercial and scientific capabilities as needed for this future portfolio and intends to increase its R&amp;D investment as well as inorganically grow via business development.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also often incur substantial litigation expense as a result of defending or challenging brand patents or exclusivities, which is described further in Note 20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included in Part II, Item 8 of this Form 10-K.</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Market Types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focuses its sales and marketing efforts on the people who make key decisions around pharmaceutical prescribing, dispensing or buying. Decision makers vary by country or region, reflecting law and custom, giving rise to different types of pharmaceutical markets. Many countries feature a mix of or hybrids of various market types, though the Company may focus on just one type in a particular country.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w:t>
      </w:r>
      <w:r>
        <w:rPr>
          <w:rFonts w:ascii="Times New Roman;serif" w:hAnsi="Times New Roman;serif"/>
          <w:b w:val="false"/>
          <w:i/>
          <w:color w:val="000000"/>
          <w:sz w:val="20"/>
        </w:rPr>
        <w:t>prescription</w:t>
      </w:r>
      <w:r>
        <w:rPr>
          <w:color w:val="000000"/>
        </w:rPr>
        <w:t xml:space="preserve"> </w:t>
      </w:r>
      <w:r>
        <w:rPr>
          <w:rFonts w:ascii="Times New Roman;serif" w:hAnsi="Times New Roman;serif"/>
          <w:b w:val="false"/>
          <w:color w:val="000000"/>
          <w:sz w:val="20"/>
        </w:rPr>
        <w:t>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the U.S. brand business, China, Turkey, Poland and Mexico.</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w:t>
      </w:r>
      <w:r>
        <w:rPr>
          <w:rFonts w:ascii="Times New Roman;serif" w:hAnsi="Times New Roman;serif"/>
          <w:b w:val="false"/>
          <w:i/>
          <w:color w:val="000000"/>
          <w:sz w:val="20"/>
        </w:rPr>
        <w:t>substitution</w:t>
      </w:r>
      <w:r>
        <w:rPr>
          <w:color w:val="000000"/>
        </w:rPr>
        <w:t xml:space="preserve"> </w:t>
      </w:r>
      <w:r>
        <w:rPr>
          <w:rFonts w:ascii="Times New Roman;serif" w:hAnsi="Times New Roman;serif"/>
          <w:b w:val="false"/>
          <w:color w:val="000000"/>
          <w:sz w:val="20"/>
        </w:rPr>
        <w:t>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Japan and Australia.</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w:t>
      </w:r>
      <w:r>
        <w:rPr>
          <w:rFonts w:ascii="Times New Roman;serif" w:hAnsi="Times New Roman;serif"/>
          <w:b w:val="false"/>
          <w:i/>
          <w:color w:val="000000"/>
          <w:sz w:val="20"/>
        </w:rPr>
        <w:t>tender</w:t>
      </w:r>
      <w:r>
        <w:rPr>
          <w:color w:val="000000"/>
        </w:rPr>
        <w:t xml:space="preserve"> </w:t>
      </w:r>
      <w:r>
        <w:rPr>
          <w:rFonts w:ascii="Times New Roman;serif" w:hAnsi="Times New Roman;serif"/>
          <w:b w:val="false"/>
          <w:color w:val="000000"/>
          <w:sz w:val="20"/>
        </w:rPr>
        <w:t>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South Africa, as well as Germany.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w:t>
      </w:r>
      <w:r>
        <w:rPr>
          <w:rFonts w:ascii="Times New Roman;serif" w:hAnsi="Times New Roman;serif"/>
          <w:b w:val="false"/>
          <w:i/>
          <w:color w:val="000000"/>
          <w:sz w:val="20"/>
        </w:rPr>
        <w:t>distribution</w:t>
      </w:r>
      <w:r>
        <w:rPr>
          <w:color w:val="000000"/>
        </w:rPr>
        <w:t xml:space="preserve"> </w:t>
      </w:r>
      <w:r>
        <w:rPr>
          <w:rFonts w:ascii="Times New Roman;serif" w:hAnsi="Times New Roman;serif"/>
          <w:b w:val="false"/>
          <w:color w:val="000000"/>
          <w:sz w:val="20"/>
        </w:rPr>
        <w:t>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allocation of our sales and marketing resources reflects the characteristics of these different market types.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including Viatris, must invest the time and resources needed to build strong OTC brand names.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Channel Types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products make their way to patients through a variety of intermediaries, or channels. </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Pharmaceutical</w:t>
      </w:r>
      <w:r>
        <w:rPr>
          <w:color w:val="000000"/>
        </w:rPr>
        <w:t xml:space="preserve"> </w:t>
      </w:r>
      <w:r>
        <w:rPr>
          <w:rFonts w:ascii="Times New Roman;serif" w:hAnsi="Times New Roman;serif"/>
          <w:b w:val="false"/>
          <w:i/>
          <w:color w:val="000000"/>
          <w:sz w:val="20"/>
        </w:rPr>
        <w:t>wholesalers/distributors</w:t>
      </w:r>
      <w:r>
        <w:rPr>
          <w:color w:val="000000"/>
        </w:rPr>
        <w:t xml:space="preserve"> </w:t>
      </w:r>
      <w:r>
        <w:rPr>
          <w:rFonts w:ascii="Times New Roman;serif" w:hAnsi="Times New Roman;serif"/>
          <w:b w:val="false"/>
          <w:color w:val="000000"/>
          <w:sz w:val="20"/>
        </w:rPr>
        <w:t>purchase prescription medicines and other medical products directly from manufacturers for storage in warehouses and distribution centers. The distributors then fill orders placed by healthcare providers and other authorized buyers.</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Pharmaceutical</w:t>
      </w:r>
      <w:r>
        <w:rPr>
          <w:color w:val="000000"/>
        </w:rPr>
        <w:t xml:space="preserve"> </w:t>
      </w:r>
      <w:r>
        <w:rPr>
          <w:rFonts w:ascii="Times New Roman;serif" w:hAnsi="Times New Roman;serif"/>
          <w:b w:val="false"/>
          <w:i/>
          <w:color w:val="000000"/>
          <w:sz w:val="20"/>
        </w:rPr>
        <w:t>retailers</w:t>
      </w:r>
      <w:r>
        <w:rPr>
          <w:color w:val="000000"/>
        </w:rPr>
        <w:t xml:space="preserve"> </w:t>
      </w:r>
      <w:r>
        <w:rPr>
          <w:rFonts w:ascii="Times New Roman;serif" w:hAnsi="Times New Roman;serif"/>
          <w:b w:val="false"/>
          <w:color w:val="000000"/>
          <w:sz w:val="20"/>
        </w:rPr>
        <w:t>purchase products directly from manufacturers or wholesalers/distributors. They then sell them to consumers in relatively small quantities for personal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i/>
          <w:color w:val="000000"/>
          <w:sz w:val="20"/>
        </w:rPr>
        <w:t>Institutional pharmacies</w:t>
      </w:r>
      <w:r>
        <w:rPr>
          <w:color w:val="000000"/>
        </w:rPr>
        <w:t xml:space="preserve"> </w:t>
      </w:r>
      <w:r>
        <w:rPr>
          <w:rFonts w:ascii="Times New Roman;serif" w:hAnsi="Times New Roman;serif"/>
          <w:b w:val="false"/>
          <w:color w:val="000000"/>
          <w:sz w:val="20"/>
        </w:rPr>
        <w:t>address the unique needs of hospitals, nursing homes and other such venues. Among the services provided are specialized packaging, including for injectables and unit-dose products, for controlled administration.</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Mail-order and e-commerce pharmacies</w:t>
      </w:r>
      <w:r>
        <w:rPr>
          <w:color w:val="000000"/>
        </w:rPr>
        <w:t xml:space="preserve"> </w:t>
      </w:r>
      <w:r>
        <w:rPr>
          <w:rFonts w:ascii="Times New Roman;serif" w:hAnsi="Times New Roman;serif"/>
          <w:b w:val="false"/>
          <w:color w:val="000000"/>
          <w:sz w:val="20"/>
        </w:rPr>
        <w:t>receive prescriptions by mail, fax, phone or the internet at a central location; process them in large, mostly automated centers; and mail the drugs to the consumer.</w:t>
      </w:r>
    </w:p>
    <w:p>
      <w:pPr>
        <w:pStyle w:val="TextBody"/>
        <w:bidi w:val="0"/>
        <w:spacing w:lineRule="auto" w:line="288" w:before="0" w:after="240"/>
        <w:ind w:left="0" w:right="0" w:firstLine="720"/>
        <w:jc w:val="left"/>
        <w:rPr/>
      </w:pPr>
      <w:r>
        <w:rPr>
          <w:rFonts w:ascii="Times New Roman;serif" w:hAnsi="Times New Roman;serif"/>
          <w:b w:val="false"/>
          <w:i/>
          <w:color w:val="000000"/>
          <w:sz w:val="20"/>
        </w:rPr>
        <w:t>Specialty pharmacies</w:t>
      </w:r>
      <w:r>
        <w:rPr>
          <w:color w:val="000000"/>
        </w:rPr>
        <w:t xml:space="preserve"> </w:t>
      </w:r>
      <w:r>
        <w:rPr>
          <w:rFonts w:ascii="Times New Roman;serif" w:hAnsi="Times New Roman;serif"/>
          <w:b w:val="false"/>
          <w:color w:val="000000"/>
          <w:sz w:val="20"/>
        </w:rPr>
        <w:t>focus on managing the handling and service requirements associated with high-cost and more-complex drug therapies, such as those used to treat patients with rare or serious diseases.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Developed Markets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Developed Markets segment comprises our operations primarily in North America and Europe. The Company’s business in North America is driven mainly by operations in the U.S., where the Company is one of the largest providers of prescription medicines. The U.S. pharmaceutical industry is very competitive, and the primary means of competition are innovation and development, timely FDA approval, manufacturing and supply chain capabilities, formulary placement, product quality, marketing, portfolio size, customer service, reputation and price. Viatris relies on a flexible and cost-effective supply chain to meet the rapidly changing needs of its customers around a reliable, high-quality supply of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Viatris’ leadership position in a number of countries provides the Company a platform to fulfill the needs of patients, physicians, pharmacies, customers and payors.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products sold by the Developed Markets segment include Lyrica®, Lipitor®, Creon®, Breyna™, Influvac®, Wixela Inhub®, EpiPen® Auto-Injector, Fraxiparine®, and Yupelri®.</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product launches are an important growth driver. Important recent launches include iron sucrose injection and octreotide acetate for injectable suspension in the U.S., and pomalidomide, dapagliflozin, atorvastatin/ezetimibe, rivaroxaban, and ferric carboxymaltose in certain European markets.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Viatris’ U.S. customer base is extensive, it comprises a small number of very large firms as the pharmaceutical industry has undergone tremendous change and consolidation. Viatris believes it is well positioned to serve such customers in the Developed Markets due to the scale it has built in terms of R&amp;D, supply chain, and portfolio breadth.</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Greater China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Greater China segment includes our operations in mainland China, Taiwan, and Hong Kong. The Viatris Greater China portfolio predominantly consists of branded LOE products. </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China, the recent healthcare reform measures are aimed at controlling the overall healthcare costs, while providing better and broader care to the population. Healthcare spending is expected to increase in-line with GDP growth. The VBP policy for LOE molecules is now in its seventh year and includes approximately 490 molecules. All major Viatris brands are included in the VBP molecule lists. The Company has re-balanced its business to expand its focus on the retail pharmacy and e-commerce channels while maintaining its presence in the hospital channel. Healthcare consumerism, increased spending power, and demand for premium medical products have generated strong growth in these new channels and partially absorbed the reductions seen in the hospital channel due to VBP. Additional pricing and volume pressure for pharmaceutical products sold in the hospital channel is expected to continue during 2026 and could negatively impact the Company’s results of operations. For additional information, see Part I, Item 1A Risk Factors - “</w:t>
      </w:r>
      <w:r>
        <w:rPr>
          <w:rFonts w:ascii="Times New Roman;serif" w:hAnsi="Times New Roman;serif"/>
          <w:b w:val="false"/>
          <w:i/>
          <w:color w:val="000000"/>
          <w:sz w:val="20"/>
        </w:rPr>
        <w:t>We have and may continue to experience pressure on the pricing of and reimbursements for certain of our products due to pricing controls, social or government pressure to lower the cost of drugs, and consolidation across the supply chain.</w:t>
      </w:r>
      <w:r>
        <w:rPr>
          <w:color w:val="000000"/>
        </w:rPr>
        <w:t xml:space="preserve">” </w:t>
      </w:r>
      <w:r>
        <w:rPr>
          <w:rFonts w:ascii="Times New Roman;serif" w:hAnsi="Times New Roman;serif"/>
          <w:b w:val="false"/>
          <w:color w:val="000000"/>
          <w:sz w:val="20"/>
        </w:rPr>
        <w:t>of this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products within the Greater China segment include Lipitor®, Norvasc®, and Viagra®.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240"/>
        <w:jc w:val="left"/>
        <w:rPr>
          <w:rFonts w:ascii="Times New Roman;serif" w:hAnsi="Times New Roman;serif"/>
          <w:b/>
          <w:i/>
          <w:color w:val="000000"/>
          <w:sz w:val="20"/>
        </w:rPr>
      </w:pPr>
      <w:r>
        <w:rPr>
          <w:rFonts w:ascii="Times New Roman;serif" w:hAnsi="Times New Roman;serif"/>
          <w:b/>
          <w:i/>
          <w:color w:val="000000"/>
          <w:sz w:val="20"/>
        </w:rPr>
        <w:t>JANZ</w:t>
      </w:r>
    </w:p>
    <w:p>
      <w:pPr>
        <w:pStyle w:val="TextBody"/>
        <w:bidi w:val="0"/>
        <w:spacing w:lineRule="auto" w:line="288" w:before="0" w:after="0"/>
        <w:ind w:left="0" w:right="0" w:firstLine="720"/>
        <w:jc w:val="left"/>
        <w:rPr/>
      </w:pPr>
      <w:r>
        <w:rPr>
          <w:rFonts w:ascii="Times New Roman;serif" w:hAnsi="Times New Roman;serif"/>
          <w:b w:val="false"/>
          <w:color w:val="000000"/>
          <w:sz w:val="20"/>
        </w:rPr>
        <w:t>The JANZ</w:t>
      </w:r>
      <w:r>
        <w:rPr>
          <w:color w:val="000000"/>
        </w:rPr>
        <w:t xml:space="preserve"> </w:t>
      </w:r>
      <w:r>
        <w:rPr>
          <w:rFonts w:ascii="Times New Roman;serif" w:hAnsi="Times New Roman;serif"/>
          <w:b w:val="false"/>
          <w:color w:val="000000"/>
          <w:sz w:val="20"/>
        </w:rPr>
        <w:t>segment consists of our operations in Japan, Australia and New Zealand. In Japan, the National Health Insurance regulates the pricing of pharmaceutical products to healthcare providers. The Company sells products in Japan primarily through a network of wholesalers who then sell the products to doctors, hospitals and pharmacies. In addition, the Company is working on its innovative pipeline assets such as EFFEXOR® for generalized anxiety disorder, Nefecon for immunoglobulin A nephropathy, and pitolisant, a selective/inverse agonist of the histamine H3 receptor (with one indication for the treatment of excessive daytime sleepiness or cataplexy in adult patients with narcolepsy and another indication for the treatment of excessive daytime sleepiness associated with obstructive sleep apnea syndrome).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 while promoting its products to both physicians and pharmacists.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Important recent launches include Spydia® Nasal Spray in Japan.</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products within the JANZ segment include AMITIZA®, EFFEXOR®, Lipacreon®, Lyrica®, and EpiPen® Auto-Injector.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Emerging Markets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Emerging Markets segment encompasses our presence in more than 125 countries with developing markets and emerging economies including in Asia, Africa, Eastern Europe, Latin America and the Middle East as well as the Company’s ARV franchise. With healthcare at various stages of development across these markets, we believe we are positioned to not only leverage our large geographical footprint to maximize the similarities between these markets, but also tailor solutions to meet local needs. There is demand in this segment for better healthcare to serve a growing population and economic expansion. Many countries in this segment are brand-conscious with generic penetration rates lower than developed markets.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Important recent launches include sotagliflozin in the United Arab Emirates in January 2026.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Viatris products sold in the segment are Lipitor®, Lyrica®, Norvasc®, Celebrex®, and ARV products.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Refer to Note 16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included in Part II, Item 8 of this Form 10-K for more information about the Company’s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Regulation by governmental authorities is a significant factor in the R&amp;D, production, marketing, sales and distribution of pharmaceuticals. Viatris’ products are subject to robust developmental studies which include analytical determinations of strength, quality, purity as well as rigorous safety and efficacy determinations using preclinical, pharmacokinetic studies and clinical evaluations to gather data to support regulatory review and approval. This body of work results in extensive data and scientific information that is incorporated into a given product’s regulatory dossier. Manufacturing is conducted under exacting conditions governed by extensive regulation including strict in-process and finished pharmaceutical products specifications and controls. Post-approval activities, such as advertising and promotion, pharmacovigilance, post-marketing regulatory commitments, and pharmacopeial monographs, are also subject to extensive regulation and controls.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attributes of the products or the manufacturing or quality control procedures used in their production, which may impact the marketing of the products or result in restrictions on their manufacture, sale or use or in their withdrawal from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delay by Viatris, its suppliers of manufactured drug product, collaborators or licensees, in obtaining and maintaining regulatory approvals could adversely affect the marketing of our products and our ability to receive product revenue, license revenue or profit-sharing payments.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Regulatory Requirements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business is subject to a wide range of various other federal, state, national, regional, provincial, non-governmental, and local agency rules and regulations. They focus on fraud and corruption, pricing and reimbursement, data privacy, and the environment, among many other considerations. For more information about certain of these regulations and the associated risks the Company faces, see Part I, Item 1A Risk Factors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Viatris has a broad and differentiated global R&amp;D platform that includes deep capabilities in clinical, medical and regulatory, and through our technology platforms, that enables the Company to bring hard to develop products to approval in global markets.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research, development and clinical platform, which includes regulatory activities, seeks to deliver new product opportunities across all of the Company’s categories and markets and to evaluate opportunities to expand the scope of our existing product portfolio with a focus on development activities. The Company’s product pipeline includes a variety of dosage forms, including oral solid dosage forms, transdermals, injectables, inhalation, and other delivery systems, as well as drug delivery devices. While committed to generics and specialty products, over the last several years, a greater portion of the Company’s investments has been focused on complex or difficult-to-formulate products, including modified release or complex injectables such as iron sucrose injection and glucagon, rather than commodity products such as conventional oral solid dosage forms. The Company is working on a number of programs including patent-protected, innovative assets such as selatogrel and cenerimod, and on the potential to be first-to-market for our generics of Abilify Maintena®, Injectafer®, Ozempic®, and Wegovy™.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previously mentioned, one of the Company’s strategic pillars is our focus on expanding our innovative portfolio to identify, vet and secure best-in-class, patented-protected assets that address areas of significant unmet medical need. Viatris invests a significant amount of capital and resources in R&amp;D, and this investment is likely to continue or potentially increase as we focus on more complex and innovative products to drive accelerated and durable growth, and build a more durable higher margin portfolio with exclusivity opportunities. In addition to increasing its R&amp;D and IPR&amp;D investment, the Company also expects to inorganically grow via business development through strategic alliances with partners. For additional information, see Part I, Item 1A Risk Factors - </w:t>
      </w:r>
      <w:r>
        <w:rPr>
          <w:color w:val="000000"/>
        </w:rPr>
        <w:t>“</w:t>
      </w:r>
      <w:r>
        <w:rPr>
          <w:rFonts w:ascii="Times New Roman;serif" w:hAnsi="Times New Roman;serif"/>
          <w:b w:val="false"/>
          <w:i/>
          <w:color w:val="000000"/>
          <w:sz w:val="20"/>
        </w:rPr>
        <w:t>We expend a significant amount of resources on R&amp;D efforts that may not lead to successful product introductions.”</w:t>
      </w:r>
      <w:r>
        <w:rPr>
          <w:color w:val="000000"/>
        </w:rPr>
        <w:t xml:space="preserve"> </w:t>
      </w:r>
      <w:r>
        <w:rPr>
          <w:rFonts w:ascii="Times New Roman;serif" w:hAnsi="Times New Roman;serif"/>
          <w:b w:val="false"/>
          <w:color w:val="000000"/>
          <w:sz w:val="20"/>
        </w:rPr>
        <w:t>of this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considers the protection of its intellectual property rights to be extremely valuable, and the Company acts to protect them from infringement by third parties.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has an extensive trademark portfolio totaling approximately 27,000 active trademarks filed globally and routinely apply to register key brand names, generic names, branded generic names, and trade names in numerous countries around the world. The Company’s registered trademarks are renewable indefinitely, and are maintained in accordance with the laws of the countries in which they are registered.</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also has an extensive patent portfolio and actively files for patent protection in various countries to protect its brand-name, generic, branded generic, and OTC products, including processes for making and using them, as well as to protect its drug-delivery technologies. The Company has more than 1,400 patents filed globally. For additional information, see Part I, Item 1A Risk Factors - “</w:t>
      </w:r>
      <w:r>
        <w:rPr>
          <w:rFonts w:ascii="Times New Roman;serif" w:hAnsi="Times New Roman;serif"/>
          <w:b w:val="false"/>
          <w:i/>
          <w:color w:val="000000"/>
          <w:sz w:val="20"/>
        </w:rPr>
        <w:t>We rely on the effectiveness of our patents, trademarks, confidentiality agreements and other measures to protect our intellectual property rights.</w:t>
      </w:r>
      <w:r>
        <w:rPr>
          <w:color w:val="000000"/>
        </w:rPr>
        <w:t xml:space="preserve">” </w:t>
      </w:r>
      <w:r>
        <w:rPr>
          <w:rFonts w:ascii="Times New Roman;serif" w:hAnsi="Times New Roman;serif"/>
          <w:b w:val="false"/>
          <w:color w:val="000000"/>
          <w:sz w:val="20"/>
        </w:rPr>
        <w:t>of this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Viatris has well-established safeguards in place to protect our proprietary know-how and trade secrets, both of which the Company considers extremely valuable to its intellectual property portfolio.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looks for intellectual property licensing opportunities to or from third parties, related not only to our existing products, but as a means for expanding our product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relies on the aforementioned types of intellectual property, as well as our copyrights, trade dress, regulatory exclusivities and contractual protections, to establish a broad scope of intellectual property rights for our product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Sustainability</w:t>
      </w:r>
    </w:p>
    <w:p>
      <w:pPr>
        <w:pStyle w:val="TextBody"/>
        <w:bidi w:val="0"/>
        <w:spacing w:lineRule="auto" w:line="288" w:before="0" w:after="0"/>
        <w:ind w:left="0" w:right="0" w:firstLine="720"/>
        <w:jc w:val="left"/>
        <w:rPr/>
      </w:pPr>
      <w:r>
        <w:rPr>
          <w:rFonts w:ascii="Times New Roman;serif" w:hAnsi="Times New Roman;serif"/>
          <w:b w:val="false"/>
          <w:color w:val="000000"/>
          <w:sz w:val="20"/>
        </w:rPr>
        <w:t>To learn about Viatris’ sustainability work, the Company encourages you to read Viatris’ 2024 Sustainability Report: Building Sustainable Access at Scale</w:t>
      </w:r>
      <w:r>
        <w:rPr>
          <w:rFonts w:ascii="Times New Roman;serif" w:hAnsi="Times New Roman;serif"/>
          <w:b w:val="false"/>
          <w:color w:val="000000"/>
          <w:sz w:val="13"/>
        </w:rPr>
        <w:t>1</w:t>
      </w:r>
      <w:r>
        <w:rPr>
          <w:rFonts w:ascii="Times New Roman;serif" w:hAnsi="Times New Roman;serif"/>
          <w:b w:val="false"/>
          <w:color w:val="000000"/>
          <w:sz w:val="20"/>
        </w:rPr>
        <w:t xml:space="preserve">, published in May 2025. The report highlights Viatris’ actions and initiatives across multiple areas of focus in support of the Company’s efforts to continue to be a model for sustainable access to medicine and to make an impact in the communities it serves. It also reports on how the Company progressed in 2024 on its companywide sustainability goals in the areas of: access and global health; workplace culture; and environment (climate, water, and waste).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recent accolades include inclusion on TIME’s inaugural list of World’s Most Sustainable Companies, USA Today’s list of America’s Climate Leaders, Forbes’ World’s Best Employers, and TIME’s World’s Top Companies for Women.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highlights Viatris’ systematic efforts and progress across key areas: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Access and Global Health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Access is fundamental to Viatris’ mission. It begins with the Company’s ability to sustainably deliver quality medicines to people, regardless of geography or circumstance.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focused on striving to meet individual needs, whether with a generic medicine, a trusted brand, an improved version of an existing medicine, or a truly novel therapeutic solution.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goes beyond developing, manufacturing, and distributing quality medicines. With the needs of people at the center, Viatris often works to help find solutions that support resilient healthcare systems. The Company has designed its global operations and supply chain to be a reliable and flexible partner for access across the world, constantly adapting to an ever-evolving landscape.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pursues holistic approaches to prevention, diagnosis, treatment, and disease management. The Company works to build public health awareness, to support and implement research, to deliver access to health education, and to advocate for public policies that advance sustainable access at scale, globally.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and collaborations are essential for meaningful and lasting impact, as are policies and strong healthcare systems and markets that allow for healthy competitive environments. While needs are global, circumstances are local, and Viatris works with an array of organizations - internationally, regionally and locally, public and private - to support sustainable access to medicines at consistent quality standards. We work to connect more people with even more products and services to advance access and health. Ultimately, we know we are stronger together, working collaboratively and relentlessly across our company and with the broader global community, in pursuit of access.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Environmental Stewardship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minimizing our impact on the environment while working to safeguard a reliable supply of medicine. Our commitment entails systematic and continuous work, and a global integrated approach to managing our impact on and from climate change, energy efficiency and renewable energy, water and waste reduction, and air emissions.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Key actions taken by the Company include increasing renewable energy usage, implementing energy-efficiency projects, preventing refrigerant leaks and transitioning to greener refrigerants, using alternative fuels and technologies, and leveraging infrastructure upgrades and utility replacement projects. While it is very hard to predict accurately the future costs associated with compliance with environmental laws, this is not expected to require significant capital expenditures and has not had, and is not expected to have, a material adverse effect on our operations or competitive position.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remains engaged in promoting environmentally responsible and sustainable supply chains, including through the Company’s compliance with the AMR Industry Alliance’s Common Antibiotic Manufacturing Standard in its operations </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Please note that our website, Sustainability Report and their respective contents are not incorporated by reference into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its commitment to the standard’s implementation across Viatris’ external supply chain. Furthermore, Viatris is leveraging its membership in the Pharmaceutical Supply Chains Initiative in external supplier sustainability engagement.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Community Engagement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seeks to foster healthy communities around the world by supporting education and health and disease awareness efforts that, in particular, help empower patients, promote access to care, and further community infrastructure and environmental protection – all part of building healthier and more resilient communities. Whether through in-kind and monetary donations, volunteering time and talents, or engaging with partners to find solutions, the Company works to address common global challenges and leverages Viatris colleagues’ collective capabilities while addressing unique local needs.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has continued its humanitarian support towards emergency response to assist victims of armed conflicts, disasters and extreme weather. Together with long-term partners including but not limited to, Direct Relief, AmeriCares, Save the Children, SBP, World Central Kitchen, and the American Red Cross, the Company has supported medical relief shipments, access to food and long-term rebuilding efforts. Furthermore, Viatris colleagues across the globe have supported local care facilities, community cleanups, fundraisers, and participated in volunteer opportunities to raise money and awareness for patients living with diseases as a part of a larger global initiative - Building Healthier Communities.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Business partnerships, collaboration within and across sectors, memberships, and philanthropic collaborations help us serve patients, healthcare systems and communities worldwide.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people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more than 30,000 colleagues are passionate about our mission, and together we are building a performance-driven, highly engaging and inclusive culture where diverse perspectives drive access, innovation and our ability to make an impact in the world.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Company received several recognitions, such as inclusion on Forbes’ World’s Best Employers list, TIME’s World’s Most Sustainable Companies list, Fortune’s World’s 25 Best Workplaces, and Newsweek’s America’s Greenest Companies list.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Viatris has also been included on Forbes’ World’s Top Companies for Women list, Forbes’ World’s Best Employers list, USA Today’s America’s Climate Leaders list, 3BL 100 Best Corporate Citizens list, TIME’s World’s Best Companies list, Fast Company’s Most Innovative Companies list, Fortune’s Change the World list, National Association for Business Resources’ Nation’s Best &amp; Brightest in Wellness list, and Newsweek’s America’s Most Responsible Companies list. Viatris has also received several local accolades in 2025 and previous years, such as Great Place to Work® and Top Employers certifications in multiple countries, among many others.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colleagues are dedicated to our mission and we continue to build our culture with a focus on colleague experience and engagement; learning and development; career progression; workplace culture; talent attraction and our deep commitment to the health, safety and wellbeing of our colleagues, their families and the communities we serve.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remain committed to building upon our foundations, harmonizing our processes and programs and initiating many firsts for Viatris. Our commitment to wellbeing has grown with the launch of our Elevate program focused on the health, purpose and growth of our colleagues. This program is fully supported by an active and engaged employee-led group of ambassadors through the Viatris Elevate Champions network. We are living the Viatris mission internally by providing 100% of all colleagues globally with access to Elevate tools and resources including many local programs to further support health and wellbeing, with a focus on mental health through employee assistance programs and our partnership with Unmind.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expanded our professional development opportunities, including a focus on executive and management development, and we have continued to build core programming to support colleagues at all stages of life and career. Viatris has successfully introduced new and differentiated core capabilities to enhance our performance and growth aligned with the Company’s strategy moving forward. We believe we have a deep talent bench of core generics and expanding innovative capabilities to help drive our future forward. Through regular annual objective setting and talent assessment practices, the Company believes it provides tools and resources that enable high performance.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Viatris, our workplace culture is one of our greatest strengths as we strive to empower people worldwide to live healthier at every stage of life. We foster listening, inclusion, and mutual respect and encourage colleagues to connect with each other to learn, grow and achieve together.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insights from our employee engagement and listening strategies guide our efforts as we continually strive to create a work environment where people can feel appreciated and make an impact in the world. We seek perspective in a variety of ways and encourage healthy interactions for all. Our pulse surveys demonstrate that our colleagues feel a strong sense of inclusion, we prioritize the health and safety of our workforce, and we have a strong sense of camaraderie and teamwork. </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Health and Safety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Protecting the health and safety of our colleagues is essential at Viatris. We have a global Environmental, Health and Safety Management System, technical requirements, processes and systems that establish the foundation of our health and safety program. This focus, along with our deep commitment to wellbeing, applies to all locations and guides us in cultivating a culture of health and safety throughout our global workforce.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Exchange Act Reports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also maintains a website (www.sec.gov)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complex and rapidly changing environment that involves risks, many of which are beyond our control. Our business, financial condition, results of operations, cash flows, ability to pay dividends or repurchase shares,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risk factors are organized into five categories: Strategic, Operational, Compliance, Finance and General.</w:t>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Summary</w:t>
      </w:r>
    </w:p>
    <w:p>
      <w:pPr>
        <w:pStyle w:val="TextBody"/>
        <w:bidi w:val="0"/>
        <w:spacing w:before="0" w:after="0"/>
        <w:jc w:val="both"/>
        <w:rPr/>
      </w:pPr>
      <w:r>
        <w:rPr/>
      </w:r>
    </w:p>
    <w:p>
      <w:pPr>
        <w:pStyle w:val="TextBody"/>
        <w:bidi w:val="0"/>
        <w:spacing w:lineRule="auto" w:line="25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summary of some of the more significant risks and uncertainties we face. This summary is not exhaustive and is qualified by reference to the full set of risk factors set forth in this Part I, Item 1A.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Strategic Risks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realize the intended benefits of, or achieve the intended goals or outlooks with respect to, our strategic initiatives and priorities, including our enterprise-wide strategic review and other potential corporate transactions.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Viatris’ restructuring activities may not achieve their intended goals and may present significant challenges, which could have a material adverse effect on our business, financial condition, results of operations, cash flows, ability to pay dividends or repurchase shares, and/or stock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There are risks and uncertainties associated with divestitures, product rationalizations and asset sales, one or more of which could have a material adverse effect on our business, financial condition, results of operations, cash flows, ability to pay dividends or repurchase shares, and/or stock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integration of acquired businesses has presented and may in the future present significant challenges, which could have a material adverse effect on our business, financial condition, results of operations, cash flows, ability to pay dividends or repurchase shares, and/or stock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imposition of tariffs on, or other trade restrictions or domestic sourcing requirements in, the territories and countries where we, our partners, suppliers, or customers do business, as well as any retaliatory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such actions, could have a material adverse effect on our business, financial condition, results of operations, cash flows, ability to pay dividends or repurchase shares, and/or stock price.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have and may continue to experience pressure on the pricing of and reimbursements for certain of our products due to pricing controls, social or government pressure to lower the cost of drugs, and consolidation across the supply chain.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significant operations globally, which exposes us to the risks inherent in conducting our business internationally.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Charges to earnings resulting from acquisitions could have a material adverse effect on our business, financial condition, results of operations, cash flows, ability to pay dividends or repurchase shares, and/or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Operational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Current and changing economic conditions, including inflation, may adversely affect our industry, business, partners and suppliers.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pharmaceutical industry is heavily regulated, and we face significant costs and uncertainties associated with our efforts to comply with applicable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successfully introduce new products in a timely manner, our future revenue and profitability may be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expend a significant amount of resources on R&amp;D efforts that may not lead to successful product introductions.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Even if our products in development receive regulatory approval, such products may not achieve expected levels of market acceptance.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success is highly dependent on our ability to attract, motivate and retain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 xml:space="preserve">Compliance Risks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We are subject to the U.S. Foreign Corrupt Practices Act, U.S. Foreign Extortion Prevention Act, the U.K. Bribery Act, Chinese anti-corruption laws and similar worldwide anti-corruption laws, which impose restrictions on certain conduct and may carry substantial fines and penalties.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are involved in various legal proceedings and certain government inquiries and may experience unfavorable outcomes of such proceedings or inquiries.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increasingly dependent on IT and information systems and our systems and infrastructure face certain risks, including cybersecurity and data leakage risks.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Incorporating ML, AI and other emerging technologies into our products, services and operations may result in legal and regulatory risks, reputational harm or have other adverse consequences to our business, financial condition or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u w:val="single"/>
        </w:rPr>
        <w:t xml:space="preserve">Finance Risks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There can be no guarantee that we will continue to pay dividends or repurchase shares under our share repurchase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may not be able to maintain competitive financial flexibility and our corporate tax rate which could adversely affect us and our shareholders.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Currency fluctuations and changes in exchange rates have impacted and could continue to adversely affect our business, financial condition, results of operations, cash flows, ability to pay dividends or repurchase shares, and/or stock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Viatris has suffered and in the future could suffer additional losses due to impairment charges.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Strategic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not realize the intended benefits of, or achieve the intended goals or outlooks with respect to, our strategic initiatives and priorities, including our enterprise-wide strategic review and other potential corporate transactions.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As a result of the EWSR initiated in 2025, the Company has identified three strategic imperatives that will drive our future and position the Company for sustainable growth by (i) driving our base business through executing successful launches, focusing on supply chain continuity, evolving our generics portfolio over time towards more profitable, higher-margin products and strengthening our established brands portfolio (ii) fueling our innovative portfolio through advancing a pipeline of late-stage and in-market growth assets sourced both internally and externally; and (iii) modernizing for sustainable growth through</w:t>
      </w:r>
      <w:r>
        <w:rPr>
          <w:color w:val="000000"/>
        </w:rPr>
        <w:t xml:space="preserve"> </w:t>
      </w:r>
      <w:r>
        <w:rPr>
          <w:rFonts w:ascii="Times New Roman;serif" w:hAnsi="Times New Roman;serif"/>
          <w:b w:val="false"/>
          <w:color w:val="000000"/>
          <w:sz w:val="20"/>
        </w:rPr>
        <w:t xml:space="preserve">strengthening our technology, data and talent capabilities to enable sustained success in a rapidly evolving healthcare environment.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Company looks to drive its base business by executing successful launches, evolving its generics portfolio over time towards more profitable, higher margin products, strengthening its established brands portfolio, and advancing its portfolio of late-stage and in-market growth assets sourced both internally and externally, it expects to use more capital resources and has entered into, and may in the future enter into, financial commitments in connection with acquisitions, alliances and collaborations, such as, our acquisition of the development programs for selatogrel and cenerimod, which are currently in Phase 3 development and our acquisition of Aculys Pharma, including exclusive rights to pitolisant in Japan and Spydia® in Japan and certain other markets in the Asia-Pacific region. In addition, we have in the past and may in the future enter into (i) strategic alliances with partners to develop, manufacture, market and/or distribute certain products, and/or certain components of our products, in various markets and (ii) agreements with our collaboration partners that provide for certain services, as well as cross manufacturing, development and licensing arrangements. We commit substantial efforts and other resources to these various alliances and collaborations There is a risk that the investments made by us in these and other alliances and collaborative arrangements will not generate financial returns. In addition, our collaboration partners’ financial situation, or disputes or conflicting priorities and regulatory or legal intervention has been or could in the future be a source of delay or uncertainty as to the expected benefits of our strategic alliances and collaborations.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Implementing our strategic initiatives and priorities has been and may in the future be material both from a strategic and financial perspective. Our strategic initiatives and priorities have been, and may continue to be, complex, time-consuming or expensive, may divert management’s and employees’ attention, and expose us to operational ineffectiveness. We may miscalculate the risks associated with our strategic initiatives and priorities at the time they are made or not have the resources or ability to access all the relevant information to evaluate them properly, including with regard to the potential of R&amp;D pipelines, manufacturing issues, compliance issues, supply chain continuity, technology, data capabilities, or the outcome of ongoing legal and other proceedings.</w:t>
      </w:r>
      <w:r>
        <w:rPr>
          <w:color w:val="000000"/>
        </w:rPr>
        <w:t xml:space="preserve"> </w:t>
      </w:r>
      <w:r>
        <w:rPr>
          <w:rFonts w:ascii="Times New Roman;serif" w:hAnsi="Times New Roman;serif"/>
          <w:b w:val="false"/>
          <w:color w:val="000000"/>
          <w:sz w:val="20"/>
        </w:rPr>
        <w:t xml:space="preserve">Innovative and patent protected assets are difficult, costly and time-consuming to develop, receive regulatory approval for and bring to market. There can be no assurance that we will be able to achieve all of our intended goals or outlooks with respect to such strategies and priorities within the anticipated timeframes or at all, fully realize the expected benefits of any such transactions or arrangements, or successfully manage base business erosion or grow in future periods.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overall execution of our strategic initiatives and priorities may result in material unanticipated problems, expenses, liabilities, competitive responses, operational inefficiencies, adverse tax consequences, impairment or restructuring charges, loss of customer relationships, difficulty attracting and retaining qualified employees, and diversion of management’s and/or employee’s attention, among other potential adverse consequences. In addition, we may have to terminate a strategic alliance, agreement or arrangement, or our partners may be unable to fulfill their operational or other obligations due to their financial condition or otherwise.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of the risks described above could have a material adverse effect on our reputation, business, financial condition, results of operations, cash flows, ability to pay dividends or repurchase shares, and/or stock price.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Viatris’ restructuring activities may not achieve their intended goals and may present significant challenges, which could have a material adverse effect on our business, financial condition, results of operations, cash flows, ability to pay dividends or repurchase shares, and/or stock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EWSR initiated in 2025, Viatris has announced related cost-saving and restructuring activities designed to deliver meaningful cost savings primarily over a three year period expected to optimize its commercial capabilities, enabling functions, its R&amp;D, medical and regulatory activities, and its sourcing, manufacturing and supply chain, including inventory optimization. Implementing these restructuring activities, including anticipated headcount reductions of up to approximately 10% and an anticipated facility closure, could cause an interruption of, or loss of momentum in, the activities of one or more of Viatris’ businesses, difficulty retaining existing employees, or require Viatris’ senior management to devote considerable amounts of time to these processes, which would decrease the time they have to manage and service Viatris’ existing businesses, and develop new products or strategies. In addition, the restructuring activities could result in total costs and expenses that are greater than anticipated, asset impairments, and reductions to the size or scope of our business, our results of operations, including but not limited to total revenues, and cash flows, our market share in particular markets or our opportunities and ability to compete with respect to certain markets, therapeutic areas or products. Even if the restructuring activities and related initiatives are successful, we may not achieve anticipated cost savings, opportunities for reinvestment, growth opportunities and other financial and operating benefits within the timeline we anticipate, or at all.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our restructuring activities are unsuccessful, if the estimated costs are higher than anticipated, or if we are unable to realize the anticipated cost savings and other benefits, there could be a material adverse effect on Viatris’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There are risks and uncertainties associated with divestitures, product rationalizations and asset sales, one or more of which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Viatris has completed or is in the process of completing divestitures, product rationalizations and asset sales, and expects to initiate additional divestitures, product rationalizations and asset sales in the future. Such actions have resulted and could in the future result in asset impairments, as well as reductions to the size or scope of our business, our results of operations (including but not limited to total revenues and cash flows), our market share in particular markets, or our opportunities and ability to compete with respect to certain markets, therapeutic areas or products. We may not be successful in separating divested businesses or assets, which could negatively impact our ongoing operations, future earnings and future goals and outlooks.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 Company has completed several divestitures, including the Biocon Biologics Transaction, the OTC Transaction, the divestiture of our API and women’s healthcare businesses and other divestitures. These divestitures have resulted and may in the future result in continued financial and operational exposure to the divested assets or businesses, such as through guarantees or other financial arrangements, indemnification, continued supply and distribution arrangements, transition services obligations to the divested businesses, stranded costs, or potential litigation.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businesses or assets we have divested were commingled with Viatris’ other businesses, their financial information must be carved-out of Viatris’ financial and other systems, and this process has increased or will continue to increase the risk of errors in the presentation of our financial results in conformity with U.S. GAAP. In addition, we may also face other challenges as a result of divestitures, including maintaining employee morale and retaining key management.</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Biocon Biologics Transaction, in December 2025, Viatris entered into definitive agreements with Biocon for the sale of Viatris’ equity stake in Biocon Biologics for total consideration of $815 million, consisting of $400 million in cash and $415 million in newly issued equity shares of Biocon. The shares are subject to a six-month lock-up period. While the shares are listed and traded on the National Stock Exchange of India, the value of the shares remains subject to market fluctuations and there is no guarantee that Viatris will be able to sell the shares for any particular price. </w:t>
      </w:r>
    </w:p>
    <w:p>
      <w:pPr>
        <w:pStyle w:val="TextBody"/>
        <w:bidi w:val="0"/>
        <w:spacing w:before="0" w:after="0"/>
        <w:jc w:val="both"/>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 xml:space="preserve">Any of the risks described above could have a material adverse effect on our business, financial condition, results of operations, cash flows, ability to pay dividends or repurchase shares, and/or stock price. Refer to Note 5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included in Part II, Item 8 of this Form 10-K for more information about our divestitures.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The integration of acquired businesses has presented and may in the future present significant challenges, which could have a material adverse effect on our business, financial condition, results of operations, cash flows, ability to pay dividends or repurchase shares, and/or stock price.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combination of two or more independent businesses is a complex, costly and time-consuming process and there is a significant degree of difficulty inherent in the integration process. These difficulties may include:</w:t>
      </w:r>
    </w:p>
    <w:p>
      <w:pPr>
        <w:pStyle w:val="TextBody"/>
        <w:bidi w:val="0"/>
        <w:spacing w:before="0" w:after="0"/>
        <w:ind w:left="0" w:right="0" w:firstLine="72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diversion of management’s and employees’ attention from the ongoing operations of Viatris to integration and restructuring matters;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challenge of integrating the employees and business cultures;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retaining existing customers and suppliers, or obtaining new customers and suppliers;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risks associated with managing a larger and more complex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loss of institutional knowledge or lack of access to IT systems and historical data, including clinical or trial data;</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challenge and cost of integrating manufacturing, logistics, IT, communications and other systems;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potential difficulty transitioning acquired assets to the Company and retaining key personnel and other employees;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challenges in reducing reliance on transition services, including difficulties in hiring employees or finding suitable replacements, prior to the expiration of any period in which such services are provided;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reducing costs associated with transition services, including managing the amount for replacement costs.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process of integrating operations could cause an interruption of, or loss of momentum in, the activities of one or more of Viatris’ businesses. In addition, integration activities have in the past and may in the future require Viatris’ senior management to devote considerable amounts of time to these activities, which has in the past and could in the future decrease the time they have to manage and service Viatris’ existing businesses, and develop new products or strategies. Even if integration activities are successful, we may not achieve anticipated synergies, growth opportunities and other financial and operating benefits within the timeline we anticipate, or at all.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integration activities are unsuccessful, if the estimated costs are higher than anticipated, or if we are unable to realize the anticipated synergies and other benefits, there could be a material adverse effect on Viatris’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imposition of tariffs on, or other trade restrictions or domestic sourcing requirements in, the territories and countries where we, our partners, suppliers, or customers do business, as well as any retaliatory actions with respect to such actions, could have a material adverse effect on our business, financial condition, results of operations, cash flows, ability to pay dividends or repurchase shares, and/or stock price.</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has imposed or is considering imposing tariffs on certain imports from other countries, including pharmaceutical products, ingredients and inputs, which could significantly impact our cost of doing business. The imposition of adopted, new, announced or proposed tariffs, trade restrictions or domestic sourcing requirements on pharmaceutical imports, including but not limited to products, ingredients, and inputs (such as API), could result in increased costs of goods and prices, disruptions to our supply chain, manufacturing delays, supply shortages, and adverse impacts to clinical trials. These measures could also result in decreased profit margins on certain of our products. Decreased or negative profit margins have in the past, and could in the future, make the production of certain of our products unsustainable, thereby reducing our net sales as well as access for patients.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may be restricted in our ability to adapt, or may be unable or unsuccessful in adapting, to these impacts and challenges due to, among other things, the terms of our current customer, supply or distribution agreements, or the need to obtain regulatory approval prior to making any changes to our manufacturing locations, processes or suppliers. Existing, announced, and future tariffs, trade agreements, or domestic sourcing requirements, as well as potential exemptions, could also provide our competitors with an advantage to the extent such future impacts disproportionately affect us compared with them.</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impact of any adopted, announced, new or proposed tariffs, trade restrictions or domestic sourcing requirements on our business continues to be subject to a number of factors that we cannot predict, including, but not limited to, the scope, nature, amount, effective date and duration of any such measures. Furthermore, general uncertainty related to adopted, new or potential tariffs, trade restrictions and domestic sourcing requirements has in the past reduced and could in the future further reduce global economic activity, thereby resulting in additional adverse impacts to us.</w:t>
      </w:r>
    </w:p>
    <w:p>
      <w:pPr>
        <w:pStyle w:val="TextBody"/>
        <w:bidi w:val="0"/>
        <w:spacing w:before="0" w:after="0"/>
        <w:ind w:left="0" w:right="0" w:firstLine="736"/>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have and may continue to experience pressure on the pricing of and reimbursements for certain of our products due to pricing controls, social or government pressure to lower the cost of drugs, and consolidation across the supply chain.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a challenging environment, with significant pressures on the pricing of our products and on our ability to obtain and maintain satisfactory rates of reimbursement for our products by governments, insurers and other payors. We face numerous cost-containment measures by governments and other payors, including certain government-imposed industry-wide price reductions, caps on price increases, mandatory rebates or pricing, international reference pricing (i.e., the practice of a country linking its regulated medicine prices to those of other countries), VBP, tender systems, shifting of the payment burden to patients through higher co-payments, and requirements for increased transparency on pricing, all of which may have an adverse impact on the pricing of our products. In addition, rates of inflation have increased and may continue to increase pressure on governments, insurers and other payors to implement additional cost containment measures. There is no guarantee that these cost containment measures will be rolled back in the event that inflation rates decrease in the future. Recent actions by the Administration to establish most-favored-nation drug pricing pilot programs and its entrance into most-favored-nation drug pricing agreements with our competitors, could negatively impact the financial performance of innovative pipeline products and impact the business development environment.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If our bids do not win, we may not be able to participate in the given market or may lose out on market share. While criteria other than price can be included in tenders, tender systems often select the lowest bid, which often results in companies underbidding one another by proposing low pricing in order to win the tender. Other markets may also consider the implementation of a tender system, and even if a tender system or other price controls are ultimately not implemented, the anticipation of such could result in price reductions.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U.K.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 In addition to the impacts of these government-sponsored healthcare systems, in the EU, U.K. and other international markets, certain governmental agencies have enacted, or are considering enacting, further measures to decrease the costs of providing healthcare, including government mandated price reductions and/or other forms of price controls, including retrospective “clawback” price reductions.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 Effective January 1, 2024, China implemented measures that aim to further improve quality management of drugs, including, among other things, stipulating additional responsibilities of marketing authorization holders and medical institutions to have a robust quality management system with respect to drug purchase, storage and use. In addition, since 2018, China's National Healthcare Security Administration, in conjunction with relevant departments, has been promoting a centralized VBP policy for drugs, which has become standard practice and subjects many drugs to a competitive bidding process. Molecules subject to the VBP bidding process have seen significant price cuts, with some bidders reducing the price of their products by as much as 96% as they attempt to secure volumes on the Chinese pharmaceutical market. We expect pricing pressures on our products included in the VBP bidding process to continue to increase as a result of this policy. We have failed, and may continue to fail, to win bids due to various factors, including 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payment, price or reimbursement for pharmaceutical products. Further, any payment, price or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and Part B benefits, and/or the way Medicare or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also been increasing U.S. federal and state legislative and enforcement interest with respect to drug pricing, as well as from international organizations like the United Nations, WHO and OECD,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there have been executive orders, legislation, and legislative and regulatory proposals, including in connection with government programs such as Medicare, concerning drug prices and related issues, including the perceived need to bring more transparency to drug pricing, reviewing the relationship between pricing and manufacturer patient programs, and reforming government program reimbursement methodologies for drugs. Some states have also signed into law programs that compel manufacturers to provide certain medicines at free or reduced costs to certain patients, and additional states are exploring such programs. Although we continue to expect to see focus on regulating pricing, we cannot predict what,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changes in legislative or regulatory priorities and personnel may transpire at the state or federal level, or what the ultimate impact may be.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pPr>
      <w:r>
        <w:rPr>
          <w:rFonts w:ascii="Times New Roman;serif" w:hAnsi="Times New Roman;serif"/>
          <w:b w:val="false"/>
          <w:color w:val="000000"/>
          <w:sz w:val="20"/>
        </w:rPr>
        <w:t>In the U.S., certain of these pressures are further compounded by increasing consolidation among wholesalers, retailer drug chains, PBMs, private insurers, managed care organizations and other private payors, which can increase their negotiating power. Please also refer to “</w:t>
      </w:r>
      <w:r>
        <w:rPr>
          <w:rFonts w:ascii="Times New Roman;serif" w:hAnsi="Times New Roman;serif"/>
          <w:b w:val="false"/>
          <w:i/>
          <w:color w:val="000000"/>
          <w:sz w:val="20"/>
        </w:rPr>
        <w:t>A significant portion of our revenues is derived from sales to a limited number of customers.”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numerous cost-containment measures by governments and other payors,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Healthcare reform legislation could have a material adverse effect on our business.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there have been numerous initiatives on the federal and state levels for comprehensive reforms affecting the payment for, the availability of and reimbursement for, healthcare services in the U.S., and it is likely that Congress, the Administration, and state legislatures and health agencies will continue to focus on healthcare reform in the future. </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2022, the Inflation Reduction Act was enacted, which includes numerous Medicare reforms that will affect reimbursement for certain pharmaceuticals covered by Medicare and modify the Part D and Part B program structure, including shifting the liability for certain prescription drug costs shared between Medicare, pharmaceutical manufacturers, and Part D plans. These reforms include government price negotiation for certain high-spend, single-source Medicare drugs, out-of-pocket caps for Medicare beneficiaries using insulin products, and the application of inflation-based rebates for certain Medicare drugs. The implementation of the Inflation Reduction Act, including the drug price negotiation provision, inflation penalties, and Part D redesign is currently underway and could negatively affect certain Viatris portfolio products based on future pricing decisions, changes in the Consumer Price Index for All Urban Consumers (CPI-U), and the potential for shifting payor preferences based on the Part D redesign and requirements to cover drugs selected for negotiation.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unable to predict the future course of federal or state healthcare legislation in the U.S. or reform or the outcome of challenges to such laws or reforms once passed. For example, changes to or reductions in subsidies of individual insurance plans on the healthcare exchanges in 2026 have led to a reduction in the number of individuals with health insurance in the U.S., which could lead to correlating reductions in spending on pharmaceuticals and increased reliance on our patient support programs. Instability related to government funding, particularly Congressionally appropriated funds used by the FDA or user fees, or heightened levels of staff departures at key regulatory agencies, could lead to increased regulatory uncertainty and delayed approvals for NDAs and ANDAs. Significant additional reforms to the U.S. healthcare system, including changes to the ACA, Medicare and Medicaid, modifications to the Inflation Reduction Act, or changes to other laws or regulatory frameworks in other markets in which we operate, that reduce our revenues or increase our costs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have significant operations globally, which exposes us to the risks inherent in conducting our business internationally.</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extend to numerous countries globally and therefore are subject to the risks inherent in this geographic scope. These risks include, but are not limited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compliance with the national and local laws, regulations and customs of countries in which we do business, including, but not limited to, data privacy and protection, environmental and social regulations, import/export and enforcement of intellectual property rights;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less established legal and regulatory regimes in certain jurisdictions, including China, where the interpretation and enforcement of laws, rules and regulations may involve uncertainties and can be inconsistent;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litigation, administrative and court proceedings may be protracted, expensive and unpredictable; </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governments in certain jurisdictions may favor local businesses and make it more difficult for foreign businesses to operate on an equal footing, including but not limited to by promoting or requiring the local manufacture of pharmaceutical products and API or the establishment of local sites and offices;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increased uncertainties related to the enforcement of contracts with certain parties;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compliance with a variety of U.S. laws including, but not limited to, trade controls or sanctions,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sanctions and our interpretation of those sanctions, trade controls, supply chain and staffing challenges as a result of the ongoing conflict between Russia and Ukraine that have impacted and may continue to impact our ability to market or sell pharmaceuticals in either country or subject us to increased government scrutiny, and a significant escalation or expansion of the conflict’s current scope may have a negative impact on our operations and financial results in future periods;</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instability in the Middle East, especially the conflict in Israel and Gaza, has impacted and may continue to impact our and our partners’ ability to develop and manufacture products in the region and to transport those products to other markets, and has impacted and may continue to impact the ability of regulators to conduct required inspections at our or our partners’ manufacturing facilities in the region. The conflict has also impacted our and our partners’ ability to market or sell pharmaceutical products in the area, and has caused and may continue to cause other disruptions to the supply chain. A significant escalation or expansion of the conflict’s current scope may have a negative impact on our operations and financial results in future periods;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laws, regulations, and practices that impact the pharmaceutical industry and/or healthcare systems, including but not limited to imports, exports, manufacturing, quality, cost, pricing, reimbursement, approval, inspection, and delivery of healthcare;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policies designed to promote foreign investment, including significant tax incentives, liberalized import and export duties, and preferential rules on foreign investment and repatriation;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differing local product preferences and product requirements;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adverse changes in the economies in which we or our partners and suppliers operate as a result of a slowdown in overall growth;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government shutdowns or changes in government or economic policies, elections, or financial, political, or social change or instability that affects the markets or countries in which we or our partners operate;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reductions in funding by U.S. governmental agencies for certain products in our Emerging Markets region;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changes in employment or labor laws, or wage increases in the countries in which we or our partners and suppliers operate;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local, regional and global restrictions on banking and commercial activities in certain markets, especially emerging markets;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longer payment cycles and increased exposure to counterparty risk;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volatility in international financial markets and increased foreign currency risk;</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inflation or hyperinflation in certain markets, including Turkey and Egypt;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supply disruptions and increases in energy and transportation costs;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imposition of adopted, new, announced or proposed tariffs, trade restrictions or domestic sourcing requirements, including but not limited to products, ingredients, and inputs (such as API) on products sold between the U.S. and other countries as a result of recent trade policy shifts in the U.S. and other countries;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changing or increasing requirements related to the domestic or regional manufacture of pharmaceutical products, or other country of origin policies, in the U.S., EU, and other jurisdictions globally, including changes in U.S. government procurement laws for pharmaceutical products related to compliance with the Trade Agreements Act or country of origin policies, changes in U.S. agency procurement policies for pharmaceutical products manufactured in India or China, or changes in relevant customs, import, and export laws;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burdens to comply with multiple, changing and potentially conflicting laws, regulations and disclosure requirements, including those relating to environmental, social and governance matters, carbon emissions, health and safety, labor and human rights;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natural or man-made disasters, including droughts, floods, earthquakes, hurricanes, wildfires and the impact of climate change in the countries in which we or our partners and suppliers operate;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local disturbances, the outbreak of highly contagious diseases or other health epidemics or pandemics,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one or more of the above risks could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pPr>
      <w:r>
        <w:rPr>
          <w:rFonts w:ascii="Times New Roman;serif" w:hAnsi="Times New Roman;serif"/>
          <w:b/>
          <w:i/>
          <w:color w:val="000000"/>
          <w:sz w:val="20"/>
        </w:rPr>
        <w:t>Charges to earnings resulting from acquisitions could have a material adverse effect on our business, financial condition, results of operations, cash flows, ability to pay dividends or repurchase shares, and/or stock price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costs incurred to combine the operations of companies we acquire, such as transitional employee expenses and employee retention, redeployment or relocation expenses;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liabilities assumed in purchase accounting;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impairment of goodwill or intangible assets, including acquired IPR&amp;D;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amortization of intangible assets acquired;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a reduction in the useful lives of intangible assets acquired;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significant costs to restructure our operations and to reduce our cost structure, including cost related to severance payments, plant shutdowns and costs to achieve anticipated synergies;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charges to our operating results resulting from expenses incurred to effect the acquisition.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these adjustments could be accounted for as expenses that will decrease our net income and earnings per share for the periods in which those costs are incurred.</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the amount of goodwill and identifiable intangible assets in our consolidated balance sheets is significant as a result of our acquisitions and other transactions, and may increase further following future potential acquisitions, and we have in the past and may in the future decide to sell assets that we determine are not critical to our strategy or execution. These and other future events or decisions have in the past and may in the future lead to significant asset impairments and/or related charges, including a goodwill impairment charge of $2.94 billion in 2025. Certain impairments may also result from a change in our strategic goals, business direction or other factors relating to the overall business environment. Any such charges could cause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illegal distribution and sale by third parties of counterfeit or IP-infringing versions of our products or of diverted or stolen products could have a negative impact on our reputation and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pharmaceutical drug supply is vulnerable to illegal counterfeiting and the presence of counterfeit or IP-infringing products in a growing number of markets, including widespread sales over the internet.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parties may illegally manufacture, distribute and/or sell counterfeit or IP-infringing versions of our products that do not meet our rigorous manufacturing and testing standards. Counterfeit products are frequently unsafe or ineffective and can be potentially life-threatening. Counterfeit medicines may contain harmful substances, the wrong API, an incorrect dose of API or no API at all, depriving patients of the therapeutic benefit of such medicines. However, to distributors and users, counterfeit products may be visually indistinguishable from the authentic version.</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Reports of adverse reactions to counterfeit or IP-infringing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or repurchase shares, and/or stock price.</w:t>
      </w:r>
    </w:p>
    <w:p>
      <w:pPr>
        <w:pStyle w:val="TextBody"/>
        <w:bidi w:val="0"/>
        <w:spacing w:lineRule="auto" w:line="276" w:before="0" w:after="0"/>
        <w:jc w:val="both"/>
        <w:rPr/>
      </w:pPr>
      <w:r>
        <w:rPr>
          <w:rFonts w:ascii="Times New Roman;serif" w:hAnsi="Times New Roman;serif"/>
          <w:b/>
          <w:i/>
          <w:color w:val="000000"/>
          <w:sz w:val="20"/>
        </w:rPr>
        <w:t>We face vigorous competition that threatens the commercial acceptance and pricing of our products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highly competitive. We face competition from other pharmaceutical manufacturers globally, some of whom are significantly larger than us and have stronger, more well-established reputations than us. Our competitors may be able to develop products and processes competitive with or superior to our own for many reasons, including but not limited to the possibility that they may have: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proprietary processes or delivery systems;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larger or more productive R&amp;D and marketing staff;</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larger or more efficient production capabilities in a particular therapeutic area;</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more experience in preclinical testing and human clinical trials;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more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more experience in developing new drugs; or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greater financial resources.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products are not protected by patent rights or have limited patent life and will soon lose patent protection. Loss of patent protection for a product typically is followed promptly with the launch of generic products. As a result, sales of many of these products decline or stop growing over time, and decline faster than projected once patent protection is lost. In addition, certain products have experienced or may experience generic competition prior to the expiration of patent terms or associated extensions. For example, we may lose market exclusivity for Amitiza® 24 μg in Japan in June 2026. We may not be successful in managing competition from non-branded generics or other alternatives, or in generally managing revenues after loss of exclusivity, and our business may be materially adversely affected.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face increasing competition from lower-cost generic products and other branded products. As we focus on developing or acquiring innovative, best-in-class, patent-protected assets, competition from manufacturers of generic or biosimilar drugs, including from generic versions of competitors’ branded products that lose their market exclusivity, has been and will continue to be a major challenge for our patent-protected and branded products. Generic competitors are also becoming more aggressive in terms of pricing in many of the regions in which Viatris operates. In China, for example, we face strong competition from certain generic manufacturers, which has resulted and may in the future result in price cuts and volume loss on some of Viatris’ branded products without patent term and/or regulatory protection. In many emerging markets, we face increased competition and contracting markets for certain of our ARV products, primarily related to competing therapies. We also face competition in the U.S.,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products also face potential competition from products that may be developed in the future that could render our products uncompetitive or obsolete. For example, Viatris or other companies may develop medicines that treat the same indications targeted by our current products, and these medicines could be more effective than our current products or patients and physicians could prefer these medicines over our current medicines. The introduction of these new competing products could also have a negative impact on product sales.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related factors that could affect our business include: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Competitors’ products may be safer, more effective, more effectively marketed or sold, or have lower prices or better performance features than ours;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PBMs and other pharmaceutical manufacturers may utilize contracting strategies that could decrease utilization of or otherwise negatively impact our products;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Vertical integration of pharmacies and large purchasing organizations or consolidation among distribution outlets; and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sales have suffered and may suffer in the future as a result of changes in consumer demand for our products, including those related to fluctuations in consumer buying patterns tied to seasonality or other factors, willingness of customers to switch among products of different pharmaceutical manufacturers, importation by consumers or the introduction of new products by competitors.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above risks could have an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 relatively small group of products may represent a significant portion of our revenues, net sales, gross profit, or net earnings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of a limited number of our products from time to time represent a significant portion of our revenues, net sales, gross profit, and net earnings. For the years ended December 31, 2025 and 2024, Viatris’ top ten products in terms of sales, in the aggregate, represented approximately 36% and 33%, respectively, of the Company’s net sales. If the volume or pricing of our largest selling products declines in the future, our business, financial condition, results of operations, cash flows, and/or share price could be materially adversely affected.</w:t>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Operational Risks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Current and changing economic conditions, including inflation, may adversely affect our industry, business, partners and suppliers.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global economy continues to experience significant volatility, and the economic environment may become less favorable. For example, if the U.S. or another country defaults on its debt, or takes measures to avoid such a default, or if there is an assumption that such an event may occur, this could have a negative impact on general economic conditions, including the liquidity of and access to the capital markets. A sovereign debt default,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Reduced consumer and customer spending, reduced government or third-party payor coverage or reimbursement, or new government controls, may drive us and our competitors to decrease prices, may reduce the ability of customers to pay, or may result in reduced demand for our products.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In addition, higher rates of inflation have resulted, and may continue to result, in increased costs of labor, raw materials, other supplies and freight and distribution costs, among others.</w:t>
      </w:r>
      <w:r>
        <w:rPr>
          <w:color w:val="000000"/>
        </w:rPr>
        <w:t xml:space="preserve"> </w:t>
      </w:r>
      <w:r>
        <w:rPr>
          <w:rFonts w:ascii="Times New Roman;serif" w:hAnsi="Times New Roman;serif"/>
          <w:b w:val="false"/>
          <w:color w:val="000000"/>
          <w:sz w:val="20"/>
        </w:rPr>
        <w:t>While inflationary and other macroeconomic pressures have somewhat eased more recently, we do not expect to see a corresponding reduction in these higher costs and expect such higher costs to negatively impact our results of operations. For the pharmaceutical industry and the healthcare systems in the markets in which we participate, regulatory restrictions and the pricing dynamics of our products generally make it difficult to pass on such costs to customers. Inflation has also resulted and may continue to result in higher interest rates and increased costs of capital. In particular, high levels of inflation and rising energy costs have in the past, and may in the future, result in significant economic volatility. These macroeconomic pressures combined with the volatility in foreign exchange rates, including the strengthening of the U.S. Dollar versus the other currencies in which we operate, has in the past and may in the future, negatively impact our results of operations.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above risks could have a material adverse effect on our industry,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Failure to comply with applicable environmental and occupational health and safety laws and regulations worldwide could adversely impact our business, financial condition, results of operations, cash flows, ability to pay dividends or repurchase shares, and/or stock price.</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globally to various laws and regulations concerning, among other things, the environment, climate change, water, waste, chemicals and employee health and safety. These requirements include regulation 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to the extent we discover contamination caused by third parties, including by prior owners and operators of properties we acquire or lease, or by neighboring properties or other offsite sources, we could be liable for cleanup or remediation obligations, damages and fines or have relevant permits, authorizations or registrations modified or revoked, regardless of our responsibility for such contamination.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operations involve handling chemicals, pressurized systems, and complex equipment and electrical systems, which expose us to inherent health and safety risks. These include accidents, fires, explosions, chemical spills, and employee exposure to hazardous substances. Such incidents have in the past and could in the future result in serious injury, property damage, regulatory investigations, or significant operational disruptions. We have implemented systems and procedures across our facilities designed to prevent, prepare for and respond to such incidents. However, if our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procedures or other risk management efforts are not effective, our facilities may be adversely affected, and operations would experience significant impact or disruption.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or repurchase shares,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pharmaceutical industry is heavily regulated, and we face significant costs and uncertainties associated with our efforts to comply with applicable laws and regulations.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complex and continue to evolve, and it is possible that a governmental authority may challenge our activities, or that an employee or agent could violate these laws and regulations without our knowledge. Failure to comply with these laws, regulations or expectations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of certain products or at certain facilities, our inability to sell products, the return by customers of our products, injunctions, and/or criminal prosecution. Under certain circumstances, a regulator may also have the authority to revoke or vary previously granted drug approvals.</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safety profile of any product will continue to be closely monitored both by the Company through on-going post-market vigilance programs and by the FDA and comparable foreign regulatory authorities after approval. For example, certain jurisdictions and regulatory agencies, including the FDA and EMA, require risk assessments and, if applicable, testing for the presence of nitrosamine impurities in certain drugs.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 are currently aligned with the Chinese government’s policies, but they may in the future diverge, requiring a change in such strategies. For example, in order to comply with foreign ownership restrictions and meet regulatory, licensing, and cybersecurity requirements, we conduct some of our business in China through variable interest entities. Although we believe these structures and activities related to our VIEs comply with existing laws and regulations in China, they involve unique risks and uncertainties, including that China may from time to time consider and implement additional changes in their legislative, regulatory, licensing, or other requirements that could subject us to penalties and impact these structures and activities.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has resulted and could in the future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we or our partners have in the past and may in the future receive notices of manufacturing and quality-related observations following inspections by regulatory authorities around the world, as well as official agency correspondence regarding compliance. For example, in December 2024 the FDA issued a warning letter and import alert related to our oral finished dose manufacturing facility in Indore, India. The warning letter and import alert restrict our ability to distribute certain products into the U.S. and have also negatively impacted our ability to sell products made at this facility to customers in other regions. The warning letter and import alert at our Indore facility negatively impacted our financial condition, results of operations and cash flows in fiscal year 2025, and we may not be able to fully recover these lost revenues in current or future periods. While we continue to work toward finalizing the remediation of the Indore facility to prepare for reinspection by the FDA, if we are unable to resolve any such observations and address regulatory concerns in a timely fashion, our business, financial condition, results of operations, cash flows, ability to pay dividends or repurchase shares, and/or stock price could be materially adversely affected.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 xml:space="preserve">Our business could be adversely affected if any regulatory body were to delay, withhold, or withdraw approval of an application; require a recall or other adverse product action; require one of our manufacturing facilities, partners, or suppliers to cease or limit production; or suspend, vary, or withdraw related marketing authorization. Reductions in personnel at the FDA or other health agencies as a result of changing legislative or regulatory priorities could result in </w:t>
      </w:r>
      <w:r>
        <w:rPr>
          <w:rFonts w:ascii="Times New Roman;serif" w:hAnsi="Times New Roman;serif"/>
          <w:b w:val="false"/>
          <w:color w:val="000000"/>
          <w:sz w:val="20"/>
          <w:shd w:fill="FFFFFF" w:val="clear"/>
        </w:rPr>
        <w:t>slower response times or reduced resources and, as a result, review of regulatory submissions, inspections, resolution of warning letters or import alerts, approval of new products and other timelines important to our business may be materially impacted, which could have a material adverse effect on our business.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Regulators and policymakers globally are also increasingly focused on addressing drug shortages and expanding transparency across supply chains.</w:t>
      </w:r>
      <w:r>
        <w:rPr>
          <w:color w:val="000000"/>
        </w:rPr>
        <w:t xml:space="preserve"> </w:t>
      </w:r>
      <w:r>
        <w:rPr>
          <w:rFonts w:ascii="Times New Roman;serif" w:hAnsi="Times New Roman;serif"/>
          <w:b w:val="false"/>
          <w:color w:val="000000"/>
          <w:sz w:val="20"/>
        </w:rPr>
        <w:t xml:space="preserve">In the U.S., Congress has considered measures to enhance supply chain resiliency and ensure the quality of pharmaceutical products, including expansion of reporting requirements to include API and finished dose manufacturing locations and expanded communication with regulators regarding demand spikes for pharmaceutical products. Compliance with any such requirements may be burdensome or costly.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above risks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pPr>
      <w:r>
        <w:rPr>
          <w:rFonts w:ascii="Times New Roman;serif" w:hAnsi="Times New Roman;serif"/>
          <w:b/>
          <w:i/>
          <w:color w:val="000000"/>
          <w:sz w:val="20"/>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serif" w:hAnsi="Times New Roman;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both branded and generic, often pursue strategies that could prevent or delay generic alternatives to branded products. These strategies include, but are not limited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entering into agreements whereby other generic companies will begin to market an authorized generic, which is the approved brand-name drug without the brand-name on its label, at the same time or after generic competition initially enters the market;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launching their own authorized generic product prior to or at the same time or after generic competition initially enters the market;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pricing a branded product at a discount equivalent to generic pricing;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filing frivolous petitions with the FDA or other regulatory bodies seeking to prevent or delay approvals, including timing the frivolous filings so as to thwart generic competition by causing delays of our product approvals;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contracting strategies among pharmaceutical manufacturers and PBMs that could decrease generic or biosimilar utilization and negatively impact our products;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seeking to establish regulatory and legal obstacles that would make it more difficult to demonstrate bioequivalence or to meet other requirements for approval, and/or to prevent regulatory agency review of applications;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initiating legislative or other efforts to limit the substitution of generic versions of brand pharmaceuticals;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filing suits for patent infringement and other claims that may delay or prevent regulatory approval, manufacture, and/or sale of generic products;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introducing “next-generation” products prior to the expiration of market exclusivity for the reference product, which often materially reduces the demand for the generic or the reference product for which we seek regulatory approval;</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persuading regulatory bodies to withdraw the approval of brand-name drugs for which the patents are about to expire and converting the market to another product of the brand company on which longer patent protection exists;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obtaining extensions of market exclusivity by conducting clinical trials of brand drugs in pediatric populations or by other methods;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seeking to obtain patents on new uses, formulations and processes with respect to drugs for which any original patent protection is about to expire.</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 Additionally, some companies have lobbied Congress to amend legislation related to patent eligible subject matter that would limit generic drug patent challenges to a single forum (inter partes review or district court). These lobbying efforts, if successful, could discourage the use of inter partes review and limit the ability of generic drug companies to efficiently invalidate improperly granted brand drug patents.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If we are unable to successfully introduce new products in a timely manner, our future revenue and profitability may be adversely affected.</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revenues and profitability will depend, in part, upon our ability to successfully and timely develop, license, or otherwise acquire and commercialize new products. For example, in 2026 Viatris is anticipating regulatory responses on several products, including its low dose estrogen weekly patch for contraception and fast-absorbing formulation of meloxicam. Product development is inherently risky, especially for new drugs for which safety and efficacy have not been established and/or the market is not yet fully developed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we look to accelerate our growth by building on the strength of our base business with an expanding portfolio of innovative, best-in-class, patent-protected assets, the development and commercialization process of such products requires substantial time, effort and financial resources. As a result, our ability to match our production levels and capacity to market demand is imprecise and may result in a failure to meet market demand or satisfy customer requirements for our products or, alternatively, an oversupply of inventory. We, or a collaboration partner,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not have sufficient capital or finances to develop or commercialize a potential product, may not be successful in developing or commercializing such products on a timely basis, or at all, and such products may be less likely or take longer to receive regulatory approval, which could adversely affect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or other factors beyond our control. Any delay in regulatory approval could impact the commercial or financial success of a product.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If regulatory approval is denied or delayed, we could be exposed to the risk of this inventory becoming obsolete.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EU and other countries and regions, there is no exclusivity period for the first generic product. The European Commission or national regulatory agencies may grant marketing authorizations to any number of generics.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are unable to navigate our products through the approval process in a timely manner, there could be an adverse effect on our product introduction plans,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expend a significant amount of resources on R&amp;D efforts that may not lead to successful product introductions.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Much of our development effort is focused on technically difficult-to-formulate products and/or products that require advanced manufacturing technology. We conduct R&amp;D primarily to enable us to gain approval for, manufacture, and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pharmaceuticals in accordance with applicable laws and regulations. We also partner with third parties to develop or acquire products under development, including, for instance, our acquisition of the development programs for selatogrel and cenerimod, which are currently in Phase 3 development and our acquisition of Aculys Pharma, including exclusive rights to pitolisant in Japan and Spydia® in Japan and certain other markets in the Asia-Pacific region. Successful product introductions have in the past and may in the future significantly rely on our partners or collaborators, including with respect to their financial condition. Typically, expenses related to the development of innovative or complex compounds and the filing of marketing authorization applications for innovative and complex compounds (such as NDAs in the U.S.) are significantly greater than those expenses associated with the development of and filing of marketing authorization applications for most generic products (such as ANDAs in the U.S. and abridged applications in Europe). As we look to accelerate our growth by building on the strength of our base business with an expanding portfolio of innovative, best-in-class, patent-protected assets, our related expenses have increased and will likely continue to increase. Because of the inherent risk associated with R&amp;D efforts in our industry, including the high cost and uncertainty of conducting clinical trials (where required) particularly with respect to new and/or complex or innovative drugs, our, or a partner’s, R&amp;D and Acquired IPR&amp;D expenditures may not result in the successful introduction of new pharmaceutical products approved by the relevant regulatory bodies. In addition, we have incurred and may in the future incur asset impairment charges related to such programs if they are not successful.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testing, particularly with respect to new and/or complex or innovative drugs, is expensive and can take many years to complete, and its outcome is inherently uncertain. Failure can occur at any time during the clinical trial process, including after significant investments have been made. We or our collaboration partners may experience delays in our ongoing or future clinical trials, and we do not know whether planned clinical trials will begin or enroll subjects on time, need additional financing, need to be redesigned, or be completed on schedule, if at all.</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trials are complex to administer and outcomes are often unpredictable, particularly with respect to new and/or complex or innovative products. 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or innovative products as a result of those efforts, there could be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pPr>
      <w:r>
        <w:rPr>
          <w:rFonts w:ascii="Times New Roman;serif" w:hAnsi="Times New Roman;serif"/>
          <w:b/>
          <w:i/>
          <w:color w:val="000000"/>
          <w:sz w:val="20"/>
        </w:rPr>
        <w:t>Even if our products in development receive regulatory approval, such products may not achieve expected levels of market acceptance</w:t>
      </w:r>
      <w:r>
        <w:rPr>
          <w:rFonts w:ascii="Times New Roman;serif" w:hAnsi="Times New Roman;serif"/>
          <w:b w:val="false"/>
          <w:color w:val="000000"/>
          <w:sz w:val="20"/>
        </w:rPr>
        <w: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we are able to obtain regulatory approvals for our new products, the success of those products is dependent upon market acceptance. Levels of market acceptance for our products could be impacted by several factors, including but not limited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availability, perceived advantages, and relative safety and efficacy of alternative products from our competitors;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degree to which the approved labeling supports promotional initiatives for commercial success;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prices of our products relative to those of our competitors;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timing of our market entry;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effectiveness of our marketing, sales, and distribution strategy and operations; and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other competitor actions, including legal actions.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Market perceptions of us are very important to our business, especially market perceptions of our company, products, brands and the safety and quality of our products and brands. Viatris believes that maintaining and enhancing certain of its brands is important and often provides certain competitive advantages.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 Negative publicity related to the receipt of a warning letter, import alert, or similar restrictions from the FDA or other regulatory authorities, such as the restrictions at our Indore facility, have damaged and could continue to damage our reputation among customers, lead customers to seek other suppliers of our products, or lead to additional inquiries from other regulatory authorities. In addition, if customers, patients or regulatory authorities mistake us, our partners and suppliers, or our products and brands for other companies, products or brands, this could lead to brand confusion, unanticipated regulatory inquiries or proceedings and have a negative impact on our reputation and business. </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Viatris’ sales and marketing efforts are anchored by promoting its products to physicians, pharmacists, eye care and other healthcare professionals,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or other similar limitations, may result in less successful sales and marketing activities.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 significant portion of our revenues is derived from sales to a limited number of customers.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revenues is derived from sales to a limited number of customers. For the years ended December 31, 2025 and 2024, Viatris’ top three customers in terms of net sales, in the aggregate, represented approximately 25% and 26%, respectively, of the Company’s consolidated total net sales.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or repurchase shares, and/or stock price could be materially adversely affected.</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significant amount of our sales are to a relatively small number of drug wholesalers and retail drug chains. These customers represent an essential part of the distribution chain of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retail and wholesale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have a limited number of manufacturing facilities and certain third-party suppliers produce a substantial portion of our API and products, some of which require a highly exacting and complex manufacturing process.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our manufacturing capacity, as well as our current production, is attributable to a limited number of manufacturing facilities and certain third-party suppliers. We have in the past and will in the future close, downsize or divest manufacturing facilities, which further limits our internal manufacturing capacity and increases our dependence on third-party suppliers. A significant disruption at any facilities within our internal or third-party supply chain, even on a short-term basis, whether due to the failure of a third-party supplier to fulfill the terms of their agreement with us, labor disruption, legal proceedings,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also result in a loss of confidence from our customers,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jc w:val="both"/>
        <w:rPr/>
      </w:pPr>
      <w:r>
        <w:rPr>
          <w:rFonts w:ascii="Times New Roman;serif" w:hAnsi="Times New Roman;serif"/>
          <w:b w:val="false"/>
          <w:color w:val="000000"/>
          <w:sz w:val="20"/>
        </w:rPr>
        <w:t>existing or potential business, and have a material adverse effect on our reputation, business, financial condition, results of operations, cash flows, ability to pay dividends or repurchase shares, and/or stock price. If we or our third-party suppliers face significant manufacturing issues, this could lead to shutdowns, delays or product shortages, or to our being entirely unable to supply certain products to customers for an extended period of time. In addition, our facilities or the facilities of our third-party suppliers have in the past and may in the future be required to close for periods of time, be required to staff at reduced capacity, or suffer other manufacturing shortages, delays or shutdowns as the result of an outbreak of disease, epidemic or pandemic, fires, accidents, weather, unrest or other emergencies taking place in or near any of our facilities. For example, manufacturing at our facility in Nashik, India has been temporarily suspended due to a fire in February 2026. Such shortages, delays or shutdowns have in the past and could in the future result in significant losses of sales revenue, third-party litigation, or negative publicity. See also “</w:t>
      </w:r>
      <w:r>
        <w:rPr>
          <w:rFonts w:ascii="Times New Roman;serif" w:hAnsi="Times New Roman;serif"/>
          <w:b w:val="false"/>
          <w:i/>
          <w:color w:val="000000"/>
          <w:sz w:val="20"/>
        </w:rPr>
        <w:t>The pharmaceutical industry is heavily regulated, and we face significant costs and uncertainties associated with our efforts to comply with applicable laws and regulations</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purchase certain API and other materials and supplies that we use in our manufacturing operations, as well as certain finished products, from many different foreign and domestic suppliers. The price of API and other materials and supplies is subject to volatility, including as a result of global supply chain disruptions and rates of inflation.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In connection with our API business divestiture, we entered into a manufacturing and supply agreement pursuant to which we purchase a significant amount of API from the purchaser in that transaction. Our obligations under this manufacturing and supply agreement have made us more dependent on the purchaser of our API business and the success of their business, and made us more vulnerable to API supply shortages and price volatility. In addition, actual or alleged quality deficiencies in the products which we or our suppliers provide, or at our or their manufacturing facilities, including with respect to warning letters and import alerts, for example at our Indore facility, have in the past and could in the future adversely impact our manufacturing and supply capabilities, cause supply interruptions, or lead to voluntary market withdrawals or product recalls.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disputes or other civil unrest, cybersecurity or compliance issues, and environmental, health and safety issues, laws, regulations and permits. If problems arise during the production of a batch of product, that batch of product may have to be discarded. This could, among other things, lead to increased costs, contractual penalties,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or one of our suppliers experience any of the problems described above, such problems could have a material adverse effect on our reputation,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future success is highly dependent on our ability to attract, motivate and retain key personnel.</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Given the size, complexity and global reach of our business, it is important that we attract, motivate and retain qualified management and other key employees in order to develop and commercialize new products, manage our business, and compete effectively. Our ability to do so also depends in part on how well we maintain a strong, diverse, inclusive, and safe workplace culture that is attractive to employees. Competition for qualified personnel in the pharmaceutical industry is intense. Current or prospective Viatris employees may have changing expectations around workplace flexibility, and a failure to meet these evolving expectations may result in reduced ability to attract and retain talent. In addition, current or prospective Viatris employees may experience uncertainty about their future roles at the Company as a result of our strategic initiatives, acquisitions, divestitures, integration activities, enterprise-wide strategic review and related cost-saving and restructuring activities. As a result, we may lose key personnel or may be unable to attract, retain and motivate qualified individuals, or the associated costs may increase. If we fail to attract, develop, incentivize and retain key scientific, technical, commercial, regulatory, information security, privacy, or management personnel, this could lead to loss of customers, business disruption, and a decline in revenues, adversely affect the progress of pipeline products, or otherwise adversely affect our operations.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while we work to ensure that we have effective plans in place for management succession throughout the organization, any anticipated or unanticipated management transition could create uncertainty, which could disrupt or result in changes to our strategy and have a negative impact on our business. If we are unsuccessful in retaining our key employees or enforcing certain post-employment contractual provisions such as confidentiality provisions, it may have a material adverse impact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Compliance Risks</w:t>
      </w:r>
    </w:p>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We are subject to the U.S. Foreign Corrupt Practices Act, U.S. Foreign Extortion Prevention Act, the U.K. Bribery Act, Chinese anti-corruption laws and similar worldwide anti-corruption laws, which impose restrictions on certain conduct and may carry substantial fines and penalties.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or others for the purpose of obtaining or retaining business, and some have record keeping requirements. The failure to comply with these laws could result in substantial criminal and/or monetary penalties, or subject us to costly and time-consuming government investigations and oversight. Likewise, we are impacted by the U.S. Foreign Extortion Prevention Act that criminalizes a foreign government official’s solicitation of improper payments from U.S. companies or individuals in exchange for conferring an improper advantage. While this law targets improper demands by foreign officials, in many countries in which we operate hospitals are owned and operated by the government, and doctors and other hospital employees with which we do business would be considered foreign officials under these regulations. In addition, the U.S. Foreign Extortion Prevention Act may increase enforcement of the U.S. Foreign Corrupt Practices Act and other applicable anti-corruption laws and amplify exposure for U.S. companies.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jurisdictions that have experienced corruption, bribery, pay-offs and other similar practices from time-to-time and, in certain circumstances, such practices may be local custom. We have implemented and trained relevant employees and third-party agents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need to cease manufacturing and other activities, including but not limited to selling in that jurisdiction. We may also need to pay damages, surrender or withdraw the product, or destroy existing stock in that jurisdiction.</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also may be situations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rely on the effectiveness of our patents, trademarks, confidentiality agreements and other measures to protect our intellectual property rights.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commercialize any branded product successfully will largely depend upon our or any partner’s or supplier’s ability to obtain, maintain and enforce intellectual property rights of sufficient scope to lawfully prevent third parties from developing and/or marketing infringing products. This will be of particular importance as we will look to accelerate our growth by building on the strength of our base business with an expanding portfolio of innovative, best-in-class, intellectual property-protected assets. In the absence of adequate intellectual property or other protections, competitors may adversely affect our branded products business by independently developing and/or marketing substantially equivalent products. It is also possible that we could incur substantial costs if we initiate litigation against others to protect or enforce our intellectual property rights.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submit patent applications covering the API, formulation, methods of making, and/or methods of use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opposition or circumvention of, our intellectual property (including patents or patent applications, trademarks or trademark applications, trade dress and copyrights) would be costly, would require significant time and attention of our management, and could cause a material adverse effect on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rely on trade secrets, unpatented proprietary know-how, proprietary designs,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reporting and payment obligations related to our participation in U.S. federal healthcare programs, including Medicare, Medicaid and the VA, are complex and often involve subjective decisions that could change as a result of new business circumstances, new laws, regulations or agency guidance, or advice of legal counsel. Any failure to comply with those obligations could subject us to investigation, penalties, and sanctions.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Centers for Medicare &amp; Medicaid Services or the VA to be incomplete or incorrect. Any failure to comply with the above laws and regulations, and any such penalties or sanctions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We are involved in various legal proceedings and certain government inquiries and may experience unfavorable outcomes of such proceedings or inquiries. </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consumer protection matters, and claims involving Medicare, Medicaid and/or VA reimbursements, or laws relating to sales, marketing, and pricing practices. These proceedings may involve claims for, or the possibility of, fines, penalties, joint and several liability, or damages involving substantial amounts of money or other relief, including but not limited to civil or criminal fines and penalties and exclusion from participation in various government healthcare-related programs.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Viatris is subject to investigations and extensive regulation by government agencies in the U.S., China and other developed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antitrust claims, including so-called “pay for delay” patent settlements, large verdicts, settlements or government fines are possible, especially in the U.S. and EU. Additionally, some state legislatures have enacted, and the U.S. federal government or additional state legislatures could enact, legislation to limit patent settlements between pharmaceutical companies and deem such patent agreements as anticompetitive. These changes could impact our ability to launch generic products prior to the originator’s patent expiry.</w:t>
      </w:r>
    </w:p>
    <w:p>
      <w:pPr>
        <w:pStyle w:val="TextBody"/>
        <w:bidi w:val="0"/>
        <w:spacing w:lineRule="auto" w:line="276" w:before="0" w:after="240"/>
        <w:ind w:left="0" w:right="0" w:firstLine="720"/>
        <w:jc w:val="both"/>
        <w:rPr/>
      </w:pPr>
      <w:r>
        <w:rPr>
          <w:rFonts w:ascii="Times New Roman;serif" w:hAnsi="Times New Roman;serif"/>
          <w:b w:val="false"/>
          <w:color w:val="000000"/>
          <w:sz w:val="20"/>
          <w:shd w:fill="FFFFFF" w:val="clear"/>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r>
        <w:rPr>
          <w:color w:val="000000"/>
        </w:rPr>
        <w:t xml:space="preserve"> </w:t>
      </w:r>
      <w:r>
        <w:rPr>
          <w:rFonts w:ascii="Times New Roman;serif" w:hAnsi="Times New Roman;serif"/>
          <w:b w:val="false"/>
          <w:color w:val="000000"/>
          <w:sz w:val="20"/>
          <w:shd w:fill="FFFFFF" w:val="clear"/>
        </w:rPr>
        <w:t xml:space="preserve">If Pfizer were to successfully dispute its retention of these matters, or if there is an adverse outcome in the matters that Pfizer has agreed to retain, this could have an adverse impact on Viatris. </w:t>
      </w:r>
      <w:r>
        <w:rPr>
          <w:rFonts w:ascii="Times New Roman;serif" w:hAnsi="Times New Roman;serif"/>
          <w:b w:val="false"/>
          <w:color w:val="000000"/>
          <w:sz w:val="20"/>
        </w:rPr>
        <w:t xml:space="preserve">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or repurchase shares, and/or stock price.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legal landscape for the liability of pharmaceutical manufacturers for certain product liabilities claims could increase our exposure to litigation costs and damages, including in connection with third party defense and indemnification demands. Moreover,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pPr>
      <w:r>
        <w:rPr>
          <w:rFonts w:ascii="Times New Roman;serif" w:hAnsi="Times New Roman;serif"/>
          <w:b w:val="false"/>
          <w:color w:val="000000"/>
          <w:sz w:val="20"/>
        </w:rPr>
        <w:t xml:space="preserve">Refer to Note 20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II, Item 8 in this Form 10-K for further discussion of certain proceedings and litigation matters.</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increasingly dependent on IT and information systems and our systems and infrastructure face certain risks, including cybersecurity and data leakage risks.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disruptions to our IT and information systems or cybersecurity breaches could adversely affect our business. We are increasingly dependent on sophisticated IT and information systems and infrastructure to operate our business. If the Company does not successfully establish, maintain and update its IT and information systems, this could result in increased system outages or business disruptions, higher costs and failure to meet our business objectives. The number of new vulnerabilities identified to these systems combined with the increased number of systems that reach end of life each year creates an opportunity for system failures as well as successful malicious attacks. Such attacks are increasingly sophisticated and are made by groups and individuals with a wide range of motives and expertise, including state and quasi-state actors, criminal groups, “hackers” and others. Evolving work conditions, including work from home protocols, may be less secure and have introduced operational risk, including increased cybersecurity risk. For example, groups and individuals have sought to exploit remote working environments to initiate hacking, phishing, and social engineering attempts and malware attacks.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and our suppliers, partners, customers and vendors have in the past experienced and will in the future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Any security breach or other disruption to our or our vendors’ IT or information systems infrastructure could also interfere with or disrupt our business operations, including our manufacturing, distribution, R&amp;D, sales and/or marketing activities. While we continue to invest in the monitoring, protection and resilience of our information and data security systems, there can be no assurances that our efforts will detect, prevent, or fully recover systems or data from all breakdowns, service interruptions, cybersecurity threats and incidents, attacks and/or breaches.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outsource significant elements of our operations to third parties and provide IT, information, and security services to some partners under transition services agreements. Some of these third parties are outside the U.S., including significant elements of our IT and information systems infrastructure, and as a result we are managing many independent vendor relationships with third parties who may or could have access to our confidential information. The overall increase in supply chain attacks on companies generally, and our interdependency on third party suppliers increases the potential for supply disruptions and service IT and information system outages. In addition to our reliance upon third parties to provide IT and information system and security services, the market for such services continues to contract and converge, increasing both the challenges in identifying competent providers and the impact of a breach incident with any single vendor. 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vulnerable to security breaches from inadvertent or intentional actions by our employees, partners or vendors, or from attacks by malicious third parties. Maintaining our access to and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and costly to protect. While we have taken steps to identify and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breach of our or our vendors’ security measures or the accidental loss, inadvertent disclosure, unapproved dissemination, misappropriation or misuse of trade secrets, proprietary information, or other confidential information, whether as a result of a cybersecurity threat or incident, theft, hacking, fraud, trickery, phishing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or repurchase shares, and/or stock price.</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Insurance may be insufficient or may not cover the financial, legal, business or reputational losses that may result from a breakdown, breach, cybersecurity threat or incident or other compromise of or interruption to our IT and information systems or confidential and other sensitive information. We also cannot ensure that any limitation of liability or indemnity provisions in our contracts, including with vendors and service providers, for a cybersecurity threat or incident, security lapse or breach or other security incident would be enforceable or adequate or would otherwise protect us from any liabilities or damages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respect to any particular claim. Refer to Part I, Item 1C “Cybersecurity” of this Form 10-K for additional information about the Company’s risk management and strategy and governance with respect to cybersecurity threats and incidents.</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U.S., federal laws include HIPAA, which governs the use, disclosure, and security of protected health information by HIPAA covered entities and business associates. Several U.S. states have enacted or proposed broad data privacy laws and regulations governing the confidentiality, security, use and disclosure of personal information, which may impose greater restrictions than federal data privacy and security laws and regulations and provide transparency and privacy rights for their citizens. We may also be subject to other state data privacy and security breach notification laws, state health information privacy laws, and federal and state consumer protection laws such as the federal Controlling the Assault of Non-Solicited Pornography and Marketing (CAN-SPAM) Act,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EU’s and U.K.’s GDPR, together with related local implementing regulations, impose significant compliance obligations on our organization. The GDPR establishes a comprehensive data protection framework that governs the collection, processing, and the transmission of personal information to jurisdictions outside of the EU and U.K. The GDPR also affords individuals with a series of privacy rights relating to their personal information. GDPR-imposed violations can result in significant penalties for non-compliance, including fines up to the higher of €20 million or 4% of total annual worldwide revenue. Cybersecurity regulations continue to evolve beyond laws focused specifically on personal information. In particular, the EU’s NIS2 Directive and related national implementing laws impose additional cybersecurity risk management, governance, and incident reporting obligations on certain in-scope entities and their critical services and systems. NIS2 also includes significant penalties for non-compliance, including fines up to the higher of €10 million or 2% of total annual worldwide revenue for certain entities, as implemented by applicable national law. Other recent or proposed legislation aimed at strengthening national cybersecurity protections have focused on more prescriptive requirements for managing risks and vulnerabilities and reporting incidents, going beyond general guidelines. Another evolving trend is national prohibitions against the use of foreign security software, imposing data sovereignty or prohibitions on cross-border security monitoring, which could require us to adapt our technologies, controls and practices to meet local standards.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China, the laws and regulations relating to cybersecurity, data privacy and personal information continue to evolve. In 2021 and 2022, China amended and, in some cases, adopted new laws and regulations governing the collection, transmission, processing and use of individual personal data, including the Data Security Law, the Cybersecurity Review Measures, the Personal Information Protection Law and the Data Export Security Review Measures. These laws and regulations restrict our ability to collect, transfer and use certain personal data, absent an application to and, in some cases, approval from relevant governmental authorities in China. Additional regulations, guidelines, and measures relating to data privacy and data protection are expected to be adopted, including more guidance from industry sector regulators on the catalogues of important data and publication of implementation rules for certifications for cross-border transfers of personal information out of China, which may contain additional requirements for transferring personal information out of mainland China.</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India, the DPDP Act forms the personal information protection and regulatory requirements for organizations who process any personal information within the country. The DPDP Act is currently in the initial phase of implementation with a 12-18 month phased compliance timeline for organizations although there are current discussions regarding shortening this timeline. The DPDP Act focuses on data minimization, purpose limitation, and user consent and includes a requirement for a Data Protection Officer. While similar to other data protection laws such as the GDPR, several requirements are unique to the DPDP Act such as registered consent managers and a lack of available legal bases for processing personal information without consent. These requirements, along with other requirements unique to the DPDP Act, will require us to enhance our data privacy processes and practices accordingly.</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countries in which we operate have, or are developing, laws and regulations governing the collection, use, securing and transmission of personal information as well that may affect our business or require us to adapt our technologies or practices. If we, or the third-party vendors on which we rely, fail to comply with applicable laws and regulations we could be subject to fines, penalties or sanctions, including criminal penalties.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 initiatives could increase the cost of developing, implementing or maintaining our IT systems, require us to allocate more resources to compliance initiatives or increase our costs. </w:t>
      </w:r>
    </w:p>
    <w:p>
      <w:pPr>
        <w:pStyle w:val="TextBody"/>
        <w:bidi w:val="0"/>
        <w:spacing w:lineRule="auto" w:line="25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Incorporating ML, AI and other emerging technologies into our products, services and operations may result in legal and regulatory risks, reputational harm or have other adverse consequences to our business, financial condition or results of operations.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ML and AI-based solutions, including generative AI, are increasingly being used in the pharmaceutical industry, including by us, and we expect to use other systems and tools that incorporate ML or AI-based technologies in the future. The rapidly evolving nature of these technologies presents risks and challenges, including with respect to opportunity costs, the establishment of durable governance frameworks, standards and best practices, and uncertainty around return on investment. For example, algorithms may be flawed; data sets may be insufficient, of poor quality or contain biased information; and inappropriate or controversial data practices could impair results. If the analyses that ML or AI-based software assist in producing are deficient or inaccurate, we could be subjected to competitive harm, potential legal liability and brand or reputational harm. In addition, the use of ML or AI solutions by our employees or third parties on which we rely could lead to the public disclosure of confidential information (including personal data or proprietary information) in contravention of our internal policies, data protection or other applicable laws, or contractual requirements. </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risks inherent in all information technology systems—including cybersecurity, data confidentiality, system integrity, and availability—the unique characteristics of AI can amplify existing risks and introduce new risks. These include an elevated risk of intellectual property loss or infringement, whether through inadvertent disclosure, unauthorized training on proprietary data, or improper use of third-party content. AI tools lower the barrier to access and replication, increasing the likelihood of intellectual property leakage, copyright violations, and regulatory non-compliance. Additionally, ML or AI-based systems may be subject to novel cybersecurity risks, including attempts to manipulate model outputs, poison data, or extract sensitive information, which could compromise the confidentiality, integrity, or availability of our systems and data.</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AI-specific risks also include so-called “hallucinations,” where systems generate inaccurate, misleading, or fabricated outputs that may not be readily detectable, potentially affecting business decisions, customer trust, and regulatory posture. Model performance is highly dependent on the quality, completeness, and appropriateness of underlying data. Flawed algorithms, biased or insufficient datasets, or controversial data practices may lead to unreliable outcomes and reputational harm.</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The deployment of AI in regulated environments presents additional complexity. Requirements related to validation, documentation, explainability, data lineage, and change control may lengthen implementation timelines, increase costs, or trigger regulatory scrutiny, audit findings, or enforcement actions. As regulatory expectations continue to mature globally, organizations must ensure that AI adoption aligns with existing compliance obligations and risk management frameworks.</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misuse of AI solutions could also result in unauthorized access and use of personal data of our employees, clinical trial participants, collaborators, or other third parties. In addition, the legal and regulatory landscape surrounding AI technologies is rapidly evolving and uncertain, including in the areas of intellectual property, cybersecurity, and privacy and data protection. Compliance with new or changing laws, regulations or industry standards relating to AI may impose significant operational costs and may limit our ability to develop, deploy or use AI technologies. Failure to appropriately respond to this evolving landscape may result in legal liability, regulatory action, loss of trade secrets or other intellectual property, brand and reputational harm, or lead to outcomes with unintended biases or other consequences, which could result in financial, legal, business, and reputational harm to us and could have a material adverse effect on the way we operate our business, our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Increasing scrutiny and evolving expectations from customers, regulators, governments, investors, lenders, employees, and other stakeholders with respect to our environmental, social and governance practices may impose additional costs on us or expose us to new or additional risks.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Companies are facing increasing expectations and scrutiny from customers, regulators, governments, investors, lenders, employees and other stakeholders</w:t>
      </w:r>
      <w:r>
        <w:rPr>
          <w:color w:val="000000"/>
        </w:rPr>
        <w:t xml:space="preserve"> </w:t>
      </w:r>
      <w:r>
        <w:rPr>
          <w:rFonts w:ascii="Times New Roman;serif" w:hAnsi="Times New Roman;serif"/>
          <w:b w:val="false"/>
          <w:color w:val="000000"/>
          <w:sz w:val="20"/>
        </w:rPr>
        <w:t xml:space="preserve">related to their environmental, social and governance practices and disclosures. Investor advocacy groups, investment funds and influential investors are also focused on these practices, including those related to the environment, climate change, health and safety, supply chain management, diversity, labor conditions and human rights, both in our own operations and in our supply chain. New or evolving government regulations, including in the EU, have resulted and could continue to result in new or more stringent forms of environmental, social and governance oversight and related costs, including increased greenhouse gas limitations, and the expansion of mandatory and voluntary reporting, due diligence, and disclosure regarding environmental, social and governance matters, which could materially negatively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business and operations. In parallel, environmental, social and governance initiatives have become increasingly controversial, and we may also face scrutiny, reputational risk, lawsuits or market access restrictions as a result of our initiatives and disclosures. Complying with new, changing, and sometimes divergent regulations will likely require us to modify or update certain of our practices, processes, and manufacturing systems, which could require additional investment of time and resources or result in significant costs. Failure to adapt to or comply with government regulations, regulatory requirements or investor or stakeholder expectations and standards could negatively impact our reputation, ability to do business with certain partners, access to investors and capital, and our stock price, and could lead to novel forms of litigation, including shareholder litigation and governmental investigations or enforcement actions, sanctions or fines related to environmental, social and governance matters.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evolving “extended producer responsibility” regulations have been proposed or adopted with respect to public wastewater treatment and use of plastics, among others. For example, as currently proposed, companies that manufacture, market, or supply pharmaceutical products will be required to pay a significant portion of the cost of upgrading public wastewater treatment plants across EU member states to treat urban wastewater to eliminate micropollutants. These and other similar regulations may significantly increase the cost of producing and supplying our pharmaceutical products, limit our ability to supply certain products in certain markets, or may limit our competitiveness, which may adversely impact our market share, business and operations.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growing number of our customers, including certain government purchasers, have adopted, or may adopt, procurement policies that include social and environmental requirements, including, for example, requirements to monitor and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implement additional processes, modify our sourcing practices or make other operational choices which may require additional investments of time and resources, increase our costs or result in inefficiencies. Alternatively, we may be ineligible to participate in bids or tenders in certain markets, which may result in lost sales and revenues or decrease patient access to medicine.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Viatris has company wide sustainability goals in the areas of access; workplace culture; and the environment: climate change, water and waste. Achievement of these goals depends on our development and execution of various operational strategies. The development and execution of these strategies and achievement of our goals, including our near-term science based emissions reductions targets for scope 1, 2 and 3, are subject to risk and uncertainties, many of which are outside of our control. There are no assurances that we will be able to successfully develop or execute our strategies and achieve our environmental, social and governance goals.</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employee relations, access to investors and capital, financial condition, results of operations, cash flows, ability to pay dividends or repurchase shares, and/or stock price.</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business and operations are subject to risks related to climate change.</w:t>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effects of global climate change present risks to our business. Extreme weather, natural disasters, power outages, or other conditions caused by climate change could adversely impact our supply chain and the availability and cost of raw materials, water supply, and other components required for the operation of our business, or result in the delay and/or disruption of our ability to deliver products. Such conditions could also result in physical damage to our or our partners’ products, plants and distribution centers, our ability to operate in certain areas, as well as the infrastructure and facilities of hospitals, medical care facilities and other customers. Our programs to plan for and mitigate risk and build resilience to the impacts of climate change may not be successful, and the cost of implementing such programs may be significant. Current or future insurance arrangements may not provide protection for costs that may arise from such events, particularly if such events are catastrophic in nature or occur in combination. In addition, regulations intended to limit greenhouse gas emissions or water usage, such as greenhouse gas emission reduction obligations, carbon pricing, and taxes on emissions, fuel and energy, or to mitigate the impacts of climate change may become more prevalent, which could increase our operating costs and the costs charged by suppliers. These events could have a material adverse effect on the way we operate our business, including the resiliency of our supply chain, our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color w:val="000000"/>
          <w:sz w:val="20"/>
          <w:u w:val="single"/>
        </w:rPr>
      </w:pPr>
      <w:r>
        <w:rPr>
          <w:rFonts w:ascii="Times New Roman;serif" w:hAnsi="Times New Roman;serif"/>
          <w:b/>
          <w:color w:val="000000"/>
          <w:sz w:val="20"/>
          <w:u w:val="single"/>
        </w:rPr>
        <w:t>Finance Risks</w:t>
      </w:r>
    </w:p>
    <w:p>
      <w:pPr>
        <w:pStyle w:val="TextBody"/>
        <w:bidi w:val="0"/>
        <w:spacing w:before="0" w:after="0"/>
        <w:jc w:val="both"/>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There can be no guarantee that we will continue to pay dividends or repurchase shares under our share repurchase program.</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Viatris currently intends to continue to pay quarterly dividends to its shareholders,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operations,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while the Board of Directors has authorized a $2 billion share repurchase program, of which $1.0 billion remains available as of February 26, 2026, there is no guarantee with respect to the timing or amount of any future share repurchases, or that we will repurchase the full amount authorized under our current share repurchase program. Other factors, including changes in tax or securities laws, such as the U.S. Inflation Reduction Act of 2022 which imposes a corporate excise tax of 1% on net stock repurchases, could also impact our share repurchases. A share repurchase program could affect our stock price and increase volatility, and any announcement of a pause in, or termination of, a share repurchase program may result in a decrease in our stock price. Payment of a cash dividend or share repurchases will reduce the amount of cash available to the Company for other activities, including repayment of debt, investment in the business, R&amp;D, business development activities, acquisitions, or other capital expenditures. If we are unable to, or choose not to, pay a quarterly dividend or repurchase shares under our share repurchase program, this may have a negative impact on the perception of the Company as an investment opportunity by shareholders or investment analysts, which may in turn negatively impact our stock price.</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If tax authorities determine that the intercompany pricing applied to our cross-border arrangements is inconsistent with the arms’ length standard or otherwise ineffective, our tax liabilities could increase. </w:t>
      </w:r>
    </w:p>
    <w:p>
      <w:pPr>
        <w:pStyle w:val="TextBody"/>
        <w:bidi w:val="0"/>
        <w:spacing w:before="0" w:after="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potential tax exposures resulting from the varying application of statutes, regulations, and interpretations which include exposures on intercompany pricing of cross-border arrangements among our subsidiaries (including intercompany loans, licenses, sales, and services agreements) in relation to various aspects of our business, including manufacturing, marketing, sales, distribution and enabling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an increased tax liability, including accrued interest and penalties, which would cause our tax expense to increase and could have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We may not be able to maintain competitive financial flexibility and our corporate tax rate which could adversely affect us and our shareholders.</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intercompany transactions, and divestitures. We cannot give any assurance as to what our effective tax rate will be, however, due to uncertainty regarding the tax policies of the jurisdictions where we operate, potential changes of laws and interpretations thereof, the potential for tax audits or challenges, and other complexities. Our actual effective tax rate may vary from our expectation and that variance may be material. For example, in 2022 the U.S. Inflation Reduction Act was signed into law which, among other things, provides for a corporate alternative minimum tax of 15% on adjusted financial statement income and an excise tax of 1% on corporate share repurchases. In addition, on July 4, 2025, the U.S. enacted the One Big Beautiful Bill Act, which contains a broad range of tax reform provisions affecting businesses, including permanent extensions of most expiring Tax Cuts and Jobs Act provisions and international tax changes. Moreover, the rate of tax we pay in other jurisdictions may increase significantly upon the adoption and implementation of the OECD Pillar Two Global Anti-Base Erosion rule, which provides for a minimum 15% tax rate in jurisdictions where adopted. We are continuing to evaluate the impact of these laws, and other proposed changes in corporate tax laws, which may significantly increase our global tax liabilities. In addition, the tax laws of other jurisdictions could change in the future, and such changes could cause a material change in our effective tax rate.</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 factors discussed above could materially increase our overall effective income tax rate, income tax expense and cash taxes paid and could have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Unanticipated changes in our tax provisions or exposure to additional income tax liabilities and changes in income tax laws and tax rulings may have a significant adverse impact on our effective tax rate and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both"/>
        <w:rPr/>
      </w:pPr>
      <w:r>
        <w:rPr>
          <w:rFonts w:ascii="Times New Roman;serif" w:hAnsi="Times New Roman;serif"/>
          <w:b w:val="false"/>
          <w:color w:val="000000"/>
          <w:sz w:val="20"/>
        </w:rPr>
        <w:t>We are subject to income taxes in many jurisdictions. Significant analysis and judgment are required in determining our worldwide provision for income taxes.</w:t>
      </w:r>
      <w:r>
        <w:rPr>
          <w:color w:val="000000"/>
        </w:rPr>
        <w:t xml:space="preserve"> </w:t>
      </w:r>
      <w:r>
        <w:rPr>
          <w:rFonts w:ascii="Times New Roman;serif" w:hAnsi="Times New Roman;serif"/>
          <w:b w:val="false"/>
          <w:color w:val="000000"/>
          <w:sz w:val="20"/>
        </w:rPr>
        <w:t>In the ordinary course of business, there are many transactions and calculations where the ultimate tax determination is uncertain. We are currently subject to tax audits, investigations and litigations in several jurisdictions, and may be subject to other audits, investigations or litigations in the future. The final determination of any tax audits or related litigation could be materially different from our income tax provisions and accruals.</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changes in the effective tax rate as a result of a change in the mix of earnings in countries with differing statutory tax rates, changes in our overall profitability, changes in the valuation of deferred tax assets and liabilities, changes in tax laws or in their application, the results of audits and the examination of previously filed tax returns and related challenges and assessments by taxing authorities, and continuing assessments of our tax exposures could impact our tax liabilities, income tax expense and cash taxes paid, which could have a material adverse effect on our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Viatris may be subject to significant U.S. tax liabilities or be obligated to indemnify Pfizer for any such tax liability imposed on Pfizer in connection with the Combination.</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Combination, Pfizer received a private letter ruling and opinion of counsel, each to the effect that, for U.S. federal income tax purposes, the Distribution, together with certain related transactions, would qualify as a tax-free “reorganization” and the Distribution would qualify as a tax-free distribution. If the Distribution were determined not to have qualified for tax-free treatment,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 </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Currency fluctuations and changes in exchange rates have impacted and could continue to adversely affect our business, financial condition, results of operations, cash flows, ability to pay dividends or repurchase shares, and/or stock price.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and British Pound Sterling. Our financial condition, results of operations, and cash flows, have in the past been and may in the future be adversely affected by certain movements in currency exchange rates. Defaults or restructurings in other countries could have a similar adverse impact on our financial condition, results of operations, and cash flows.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our foreign subsidiaries or businesses located in or conducted within a country imposing restrictions or controls. For example, in China the conversion of currency in the “capital account” (e.g., capital items such as direct investments or loans) requires the approval of, or registration or filing with, relevant governmental authorities in China, which could materially and adversely affect the ability of our Chinese operating subsidiaries and affiliated companies to obtain foreign currencies through equity or debt financing or for capital expenditures, therefore impeding our overall business operations in China.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above risks could cause a material adverse effect on our business, financial condition, results of operations, cash flows, ability to pay dividends or repurchase shares, and/or stock price.</w:t>
      </w:r>
    </w:p>
    <w:p>
      <w:pPr>
        <w:pStyle w:val="TextBody"/>
        <w:bidi w:val="0"/>
        <w:spacing w:lineRule="auto" w:line="276" w:before="0" w:after="240"/>
        <w:jc w:val="both"/>
        <w:rPr/>
      </w:pPr>
      <w:r>
        <w:rPr>
          <w:rFonts w:ascii="Times New Roman;serif" w:hAnsi="Times New Roman;serif"/>
          <w:b/>
          <w:i/>
          <w:color w:val="000000"/>
          <w:sz w:val="20"/>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Times New Roman;serif" w:hAnsi="Times New Roman;serif"/>
          <w:b w:val="false"/>
          <w:color w:val="000000"/>
          <w:sz w:val="20"/>
        </w:rPr>
        <w: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level of indebtedness could have important consequences, including but not limited to:</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increasing our vulnerability to general adverse economic and industry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requiring us to dedicate a substantial portion of our cash flow from operations to make debt service payments, or repay debt, thereby reducing the availability of cash flow to fund working capital, capital expenditures, acquisitions and investments, dividend payments or share repurchases, and other general corporate purposes;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limiting our flexibility in planning for, or reacting to, challenges and opportunities, and changes in our businesses and the markets in which we operate;</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limiting our ability to obtain additional financing to fund our working capital, capital expenditures, acquisitions and debt service requirements, and other financing needs;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increasing our vulnerability to increases in interest rates in general related to any of our indebtedness that bears interest at floating rates or when refinancing maturing debt at higher rates;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increasing our exposure to currency fluctuations, since a significant portion of our indebtedness is denominated in currencies other than the U.S. Dollar, such as our Euro and Japanese Yen denominated debt;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placing us at a competitive disadvantage to our competitors that have less debt.</w:t>
      </w:r>
    </w:p>
    <w:p>
      <w:pPr>
        <w:pStyle w:val="TextBody"/>
        <w:bidi w:val="0"/>
        <w:spacing w:before="0" w:after="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downgrade in the credit rating of Viatris or any indebtedness of Viatris or its subsidiaries could increase the cost of further borrowings or refinancings of such indebtedness, limit access to sources of financing in the future or lead to other adverse consequences. We have in the past been and may in the future be subject to ratings downgrades or negative outlooks by ratings agencies, which could negatively impact our ability to raise debt or borrow funds in amounts or on terms that are favorable to us, if at all.</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or repurchase shares, and/or stock price.</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certain critical accounting estimates, including litigation related contingencies based on estimates of probable future costs, actual costs in the future could be substantially in excess of those reserves.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or repurchase shares, and/or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We must maintain adequate internal controls and be able to provide an assertion as to the effectiveness of such controls on an annual basis.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Viatris has suffered and in the future could suffer additional losses due to impairment charges.</w:t>
      </w:r>
    </w:p>
    <w:p>
      <w:pPr>
        <w:pStyle w:val="TextBody"/>
        <w:bidi w:val="0"/>
        <w:spacing w:lineRule="auto" w:line="256" w:before="0" w:after="0"/>
        <w:ind w:left="0" w:right="0" w:firstLine="720"/>
        <w:jc w:val="both"/>
        <w:rPr/>
      </w:pPr>
      <w:r>
        <w:rPr>
          <w:rFonts w:ascii="Times New Roman;serif" w:hAnsi="Times New Roman;serif"/>
          <w:b w:val="false"/>
          <w:color w:val="000000"/>
          <w:sz w:val="20"/>
        </w:rPr>
        <w:t xml:space="preserve">Viatris has significant amounts of goodwill, IPR&amp;D and intangible assets on its balance sheet. Viatris tests goodwill for impairment during the second quarter of every fiscal year, and on an interim date should events or changes in circumstances indicate the carrying value of goodwill may not be recoverable in accordance with ASC 350,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If the fair value of a reporting unit is revised downward due to declines in business performance or other factors, an impairment under ASC 350 could result and a non-cash charge could be required. Viatris tests intangible assets with indefinite lives for impairment on an annual basis and intangible assets and IPR&amp;D with finite lives for impairment whenever events or changes in circumstances indicate the carrying amount of an asset may not be recoverable. This assessment of the recoverability of intangible assets could result in an impairment and a non-cash charge could be required. In addition, we have incurred and may in the future incur significant impairment charges or losses. For instance, during the years ended December 31, 2024 and 2025, the Company recorded significant goodwill and other long-lived asset impairment charges. Such impairments or losses have in the past and could in the future materially affect Viatris’ business, financial condition, results of operations, cash flows, ability to pay dividends or repurchase shares, and/or stock price.</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Viatris may be adversely affected by disruptions in the credit markets, including disruptions that reduce customers’ access to credit and increase the costs to customers of obtaining credit.</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rates continue to be higher than historical rates paid by Viatris. As such, any debt we refinance in 2026 or beyond may increase, even substantially, our interest expense in future periods. Further, Viatris had approximately $259 million of floating rate debt as of December 31, 2025. A one percentage point increase in the average interest rate of this debt would increase the combined interest expense by approximately $2.6 million per year. Accordingly, for both potential new debt issuances and floating rate exposures, a spike in interest rates could adversely affect our results of operations and cash flows.</w:t>
      </w:r>
    </w:p>
    <w:p>
      <w:pPr>
        <w:pStyle w:val="TextBody"/>
        <w:bidi w:val="0"/>
        <w:spacing w:before="0" w:after="0"/>
        <w:ind w:left="0" w:right="0" w:firstLine="720"/>
        <w:jc w:val="both"/>
        <w:rPr/>
      </w:pPr>
      <w:r>
        <w:rPr/>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Viatris has certain material obligations relating to defined benefit pension and termination benefit programs.</w:t>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Viatris has certain material pension and post-employment benefit obligations associated with acquired businesses in both the U.S. and foreign countries. Our obligations under these plans are significant and future funding obligations are subject to increased interest rates on asset and liability calculations and changes in laws, which could materially increase costs to Viatris. Each of these liabilities and the related future payment obligations could restrict cash available for Viatris’ operations, capital expenditures, acquisitions, dividend payments, share repurchases, and other requirements, and may materially affect Viatris’ financial condition and liquidity.</w:t>
      </w:r>
    </w:p>
    <w:p>
      <w:pPr>
        <w:pStyle w:val="TextBody"/>
        <w:bidi w:val="0"/>
        <w:spacing w:before="0" w:after="0"/>
        <w:ind w:left="0" w:right="0" w:firstLine="720"/>
        <w:jc w:val="left"/>
        <w:rPr/>
      </w:pPr>
      <w:r>
        <w:rPr/>
      </w:r>
    </w:p>
    <w:p>
      <w:pPr>
        <w:pStyle w:val="TextBody"/>
        <w:bidi w:val="0"/>
        <w:spacing w:lineRule="auto" w:line="276" w:before="0" w:after="240"/>
        <w:jc w:val="both"/>
        <w:rPr>
          <w:rFonts w:ascii="Times New Roman;serif" w:hAnsi="Times New Roman;serif"/>
          <w:b/>
          <w:color w:val="000000"/>
          <w:sz w:val="20"/>
          <w:u w:val="single"/>
        </w:rPr>
      </w:pPr>
      <w:r>
        <w:rPr>
          <w:rFonts w:ascii="Times New Roman;serif" w:hAnsi="Times New Roman;serif"/>
          <w:b/>
          <w:color w:val="000000"/>
          <w:sz w:val="20"/>
          <w:u w:val="single"/>
        </w:rPr>
        <w:t>General Risks</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and the value of your investment could materially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who hold shares of Viatris common stock may not be able to sell their shares at or above the price at which they acquired them. The price of Viatris’ common stock has in the past and may continue to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Viatris) and may be instituted against us in the future. Such litigation has in the past and may in the future result in substantial costs and diversion of management’s attention and resources, which could have a material adverse effect on our business, financial condition, results of operations, cash flows, ability to pay dividends or repurchase shares,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 expansion of social media platforms presents new risks and challenges.</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ability to pay dividends or repurchase shares, and/or stock price.</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Provisions in the Viatris Charter and Viatris Bylaws and of applicable law may prevent or delay an acquisition of Viatris, which could decrease the trading price of Viatris common stock.</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rules regarding how stockholders may present proposals or nominate directors for election at shareholder meetings and the right of the Viatris Board to issue preferred stock without shareholder approval. Delaware law also imposes some restrictions on mergers and other business combinations between Viatris and any holder of 15% or more of Viatris’ outstanding common stock.</w:t>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 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or repurchase shares, and/or stock price.</w:t>
      </w:r>
    </w:p>
    <w:p>
      <w:pPr>
        <w:pStyle w:val="TextBody"/>
        <w:bidi w:val="0"/>
        <w:spacing w:lineRule="auto" w:line="276" w:before="0" w:after="240"/>
        <w:jc w:val="both"/>
        <w:rPr>
          <w:rFonts w:ascii="Times New Roman;serif" w:hAnsi="Times New Roman;serif"/>
          <w:b/>
          <w:i/>
          <w:color w:val="000000"/>
          <w:sz w:val="20"/>
        </w:rPr>
      </w:pPr>
      <w:r>
        <w:rPr>
          <w:rFonts w:ascii="Times New Roman;serif" w:hAnsi="Times New Roman;serif"/>
          <w:b/>
          <w:i/>
          <w:color w:val="000000"/>
          <w:sz w:val="20"/>
        </w:rPr>
        <w:t>The exclusive forum provisions in the Viatris Charter could discourage lawsuits against Viatris and its directors and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 The Viatris Charter also provides that unless Viatris (through approval of the Viatris Board)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w:t>
      </w:r>
    </w:p>
    <w:p>
      <w:pPr>
        <w:pStyle w:val="TextBody"/>
        <w:bidi w:val="0"/>
        <w:spacing w:before="0" w:after="0"/>
        <w:ind w:left="0" w:right="0" w:firstLine="720"/>
        <w:jc w:val="both"/>
        <w:rPr/>
      </w:pPr>
      <w:r>
        <w:rPr/>
      </w:r>
    </w:p>
    <w:p>
      <w:pPr>
        <w:pStyle w:val="TextBody"/>
        <w:bidi w:val="0"/>
        <w:spacing w:lineRule="auto" w:line="276"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exclusive forum provisions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these exclusive forum provisions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or repurchase shares, and/or stock price.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by pressures from outside of the control of the company, including, but not limited to, shareholder actions, government regulations and disclosure requirements, and other market dynamics, which could cause us to incur significant expenses, hinder execution of our business strategy and negatively impact our share price.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Shareholder actions, government regulations and disclosure requirements, and other market dynamics involving corporate governance, environmental and social matters, human capital, strategic direction and operations have become increasingly prevalent. Shareholder challenges, extensive government regulation, and the potential for additional intervention in these areas, may create a significant distraction or burden for our management and employees, increase our costs, negatively impact our ability to execute our business plans, require our management to expend significant time and resources, create uncertainties with respect to our financial position and operations, adversely affect our ability to attract and retain key employees or result in loss of potential business opportunities with our current and potential customers and business partners. In addition, such actions, regulation and intervention may cause significant fluctuations in our share price based on temporary or speculative market perceptions, uncertainties or other factors that do not necessarily reflect the underlying fundamentals and prospects of our business, which could cause the market value of our common stock to decline.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1B.Unresolved Staff Comments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1C.Cybersecurity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operates in a complex and rapidly changing environment that involves many potential risks, including IT, information security, cybersecurity, and AI risks. Risk management is an enterprise-wide objective and is subject to oversight by the Viatris Board and its committees. It is the responsibility of Viatris’ management and employees to identify material risks to our business and to implement and administer risk management and mitigation processes and programs, while also maintaining reasonable flexibility in how we operate. Our internal audit function coordinates cross functionally to maintain the Company’s enterprise risk assessment, including the identification of key and emerging risks, and reviews and refreshes this analysis quarterly with executive management. For each key or emerging risk identified, the Company establishes risk monitoring ownership, from which quarterly updates are collected for executive management and the Viatris Board’s Compliance and Risk Oversight Committee.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cybersecurity risks, Viatris maintains a cybersecurity program that is aligned with the National Institute of Standards and Technology (NIST) Cybersecurity Framework, designed to govern, identify, protect, detect, respond to and recover from cybersecurity threats. Viatris’ cybersecurity program includes policies, procedures, awareness communications, testing, and training for employees (including mandatory training programs for privileged users), as well as system monitoring, risk reduction, vulnerability and patch management and monitoring of external threats. The Global Security team is responsible for defining and overseeing the execution of the Company’s cybersecurity program and strategy. The Viatris IT team, led by the Chief Information Officer, is responsible for ongoing security operations such as maintaining firewalls and patch management. In addition, the delivery of many cybersecurity programs relies on IT resources to execute the selection, delivery and implementation of security solutions, such as identity and access management, end-point protection and end-of-life protocols.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Information Security Officer &amp; Head of Global Security, under the direction of the Company’s Chief Administrative and Transformation Officer, reports quarterly to an internal risk committee of senior management, which includes the CEO, CFO, Chief Legal Officer, Chief Administrative and Transformation Officer, Chief People and Corporate Affairs Officer, Chief Information Officer, Chief Compliance Officer, Chief Supply Officer, Chief R&amp;D Officer and Regional Presidents, as well as the Viatris Board on the progress of the cybersecurity program and overall security status. Viatris’ current Chief Information Security Officer &amp; Head of Global Security has over 30 years of experience in cybersecurity within the pharmaceutical industry.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its cybersecurity program, Viatris has adopted a Cybersecurity Incident Response Plan (CIRP) to establish a guide for Viatris’ leadership and incident response stakeholders through an “incident” – a single event or a set of anomalous and adverse “events” or, for purposes of the CIRP, a change in a system, technology device or environment that could impact the confidentiality, integrity, availability or safety of Viatris’ data, employees or assets, caused by malicious intent or accident and impacting Viatris’ network, computing systems, digital information, employees or assets. The CIRP is managed by the Viatris global security team and their managed security service providers and is reviewed at least annually. Viatris tests the CIRP through semi-annual technical exercises and periodically conducts executive tabletop exercises/scenarios. The CIRP provides an overview of critical actions to take throughout the incident response lifecycle and contains a severity matrix used to guide the Company’s incident response stakeholders on communication and escalation protocols. The severity of the incident guides the determination of the parties to whom the incident will be escalated, and the Company may decide to seek assistance from third-party incident response vendors.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Cybersecurity Incident Response Team (CIRT) reports to the Chief Information Security Officer &amp; Head of Global Security and has the role of responding to incidents and executing incident protocols. The CIRT is responsible for determining the potential impacts to the Company, including type and severity, notifying appropriate parties pursuant to the CIRP and determining whether to engage a third-party incident response vendor, among other responsibilities. Critical incidents require implementation of the global crisis plan and high severity incidents require notification to the executive leadership team once such an incident is confirmed. The Company’s Disclosure Controls and Procedures also require (i) the Company’s Cybersecurity function to monitor and escalate, as appropriate, cybersecurity incidents or series of related “incidents” (including with respect to any third party provider to the Company of IT services) and (ii) the Disclosure Committee to determine, without unreasonable delay, the materiality of any such escalated cybersecurity incidents or series of related incidents with input from Global Compliance, Global Privacy, Global Security, Legal, Finance and other groups, as appropriate.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several industry and third-party threat monitoring and information-sharing services, and these engagements provide insight into vulnerabilities and threats which are incorporated into the security operations and IT remediation. Key aspects of the cybersecurity program are also provided by third-party managed security providers, including first- and second-line support for incident response and the Company’s vulnerability assessment process. Our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subcontractors and third-party service providers, including third-party managed security providers, are subject to cybersecurity obligations and controls. We conduct initial risk assessments of third-party suppliers and service providers based on various factors and then review and monitor these third-party suppliers and service providers based on their relative assessed level of risk. We also require our suppliers, subcontractors and third-party service providers to agree to cybersecurity-related contractual terms and conditions of purchase.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Compliance and Risk Oversight Committee of the Viatris Board is responsible for reviewing management’s exercise of its responsibility to identify, assess, and manage material risks not allocated to the Viatris Board or another Committee of the Viatris Board, including data security programs and cybersecurity and IT. In the event of a severe cybersecurity incident, such as a ransomware attack or other incident that has a severe adverse effect on Viatris’ operations, critical systems or sensitive data, or which may cause severe reputational damage, executive management may determine that it is necessary to notify the Viatris Board or the Compliance and Risk Oversight Committee about such a cybersecurity incident immediately. Otherwise, the Compliance and Risk Oversight Committee receives reports from executive management on data security, cybersecurity and information security-related matters on at least a quarterly basis, including with respect to related risks, risk management, risk reduction programs, and relevant legislative, regulatory, and technical developments. On a biannual basis, the Compliance and Risk Oversight Committee and chairs of each other Committee of the Viatris Board receive a cybersecurity update from the Company’s Chief Information Security Officer &amp; Head of Global Security, the Chief Compliance Officer and the Chief Information Officer. The full Viatris Board receives a report on the respective quarterly discussions from the Chair of the Compliance and Risk Oversight Committee each quarter.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and our suppliers, partners, customers and vendors have in the past experienced and will in the future likely continue to experience cybersecurity threats and incidents, including attacks on and compromises of our systems. Although we do not believe such cybersecurity threats or incidents have had a significant impact on us to date, there is no guarantee that a future cybersecurity threat or incident will be detected and remediated to not have a material adverse impact on our business, reputation, financial conditions, cash flows or results of operations. For additional information regarding how cybersecurity threats are reasonably likely to materially affect our business, financial condition, results of operations, cash flows, ability to pay dividends, repurchase shares, and/or stock price, see Part I, Item 1A Risk Factors – “</w:t>
      </w:r>
      <w:r>
        <w:rPr>
          <w:rFonts w:ascii="Times New Roman;serif" w:hAnsi="Times New Roman;serif"/>
          <w:b w:val="false"/>
          <w:i/>
          <w:color w:val="000000"/>
          <w:sz w:val="20"/>
        </w:rPr>
        <w:t xml:space="preserve">We are increasingly dependent on IT and information systems and our systems and infrastructure face certain risks, including cybersecurity and data leakage risks.” </w:t>
      </w:r>
      <w:r>
        <w:rPr>
          <w:rFonts w:ascii="Times New Roman;serif" w:hAnsi="Times New Roman;serif"/>
          <w:b w:val="false"/>
          <w:color w:val="000000"/>
          <w:sz w:val="20"/>
        </w:rPr>
        <w:t>of this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2.Properties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properties, refer to Item 1 “Business” in Part 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3.Legal Proceedings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legal proceedings, refer to Note 20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II, Item 8 of this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5.Market for Registrant’s Common Equity, Related Stockholder Matters and Issuer Purchases of Equity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Stock Market under the symbol “VTRS”. As of February 23, 2026, there were approximately 87,770 holders of record of shares of Viatris common stock.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quarterly cash dividends of $0.12 per share on the Company’s issued and outstanding common stock in March 2025, June 2025, September 2025 and December 2025. On February 23, 2026, the Company’s Board of Directors declared a quarterly cash dividend of $0.12 per share on the Company’s issued and outstanding common stock, which will be payable on March 18, 2026 to shareholders of record as of the close of business on March 9, 2026.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2024 and 2023.</w:t>
      </w:r>
    </w:p>
    <w:p>
      <w:pPr>
        <w:pStyle w:val="TextBody"/>
        <w:bidi w:val="0"/>
        <w:spacing w:before="0" w:after="60"/>
        <w:ind w:left="0" w:right="0" w:firstLine="720"/>
        <w:jc w:val="left"/>
        <w:rPr/>
      </w:pPr>
      <w:r>
        <w:rPr/>
      </w:r>
    </w:p>
    <w:p>
      <w:pPr>
        <w:pStyle w:val="TextBody"/>
        <w:bidi w:val="0"/>
        <w:spacing w:lineRule="auto" w:line="288" w:before="0" w:after="120"/>
        <w:ind w:left="0" w:right="0" w:hanging="1080"/>
        <w:jc w:val="center"/>
        <w:rPr>
          <w:rFonts w:ascii="Times New Roman;serif" w:hAnsi="Times New Roman;serif"/>
          <w:b/>
          <w:i/>
          <w:color w:val="000000"/>
          <w:sz w:val="20"/>
        </w:rPr>
      </w:pPr>
      <w:r>
        <w:rPr>
          <w:rFonts w:ascii="Times New Roman;serif" w:hAnsi="Times New Roman;serif"/>
          <w:b/>
          <w:i/>
          <w:color w:val="000000"/>
          <w:sz w:val="20"/>
        </w:rPr>
        <w:t>UNREGISTERED SALES OF EQUITY SECURITIES AND USE OF PROCEEDS</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Viatris Inc.</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96"/>
        <w:gridCol w:w="381"/>
        <w:gridCol w:w="388"/>
        <w:gridCol w:w="109"/>
        <w:gridCol w:w="109"/>
        <w:gridCol w:w="109"/>
        <w:gridCol w:w="740"/>
        <w:gridCol w:w="402"/>
        <w:gridCol w:w="404"/>
        <w:gridCol w:w="109"/>
        <w:gridCol w:w="109"/>
        <w:gridCol w:w="109"/>
        <w:gridCol w:w="266"/>
        <w:gridCol w:w="779"/>
        <w:gridCol w:w="137"/>
        <w:gridCol w:w="109"/>
        <w:gridCol w:w="109"/>
        <w:gridCol w:w="109"/>
        <w:gridCol w:w="927"/>
        <w:gridCol w:w="622"/>
        <w:gridCol w:w="625"/>
        <w:gridCol w:w="109"/>
        <w:gridCol w:w="109"/>
        <w:gridCol w:w="109"/>
        <w:gridCol w:w="325"/>
        <w:gridCol w:w="2059"/>
        <w:gridCol w:w="246"/>
      </w:tblGrid>
      <w:tr>
        <w:trPr/>
        <w:tc>
          <w:tcPr>
            <w:tcW w:w="5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color w:val="000000"/>
              </w:rPr>
              <w:t xml:space="preserve"> </w:t>
            </w:r>
            <w:r>
              <w:rPr>
                <w:rFonts w:ascii="Times New Roman;serif" w:hAnsi="Times New Roman;serif"/>
                <w:b/>
                <w:color w:val="000000"/>
                <w:sz w:val="10"/>
              </w:rPr>
              <w:t>(a)</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7,126,338 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7,126,338 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1,009,421,070 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928,388 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928,388 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999,532,092 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999,532,092 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8,054,726 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8,054,726 </w:t>
            </w:r>
          </w:p>
        </w:tc>
        <w:tc>
          <w:tcPr>
            <w:tcW w:w="6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999,532,092 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Refer to Part II, Item 7.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Results of Operations – Recent Developments</w:t>
      </w:r>
      <w:r>
        <w:rPr>
          <w:color w:val="000000"/>
        </w:rPr>
        <w:t xml:space="preserve"> </w:t>
      </w:r>
      <w:r>
        <w:rPr>
          <w:rFonts w:ascii="Times New Roman;serif" w:hAnsi="Times New Roman;serif"/>
          <w:b w:val="false"/>
          <w:color w:val="000000"/>
          <w:sz w:val="20"/>
        </w:rPr>
        <w:t>of this Form 10-K for additional information regarding the Company’s authorized share repurchase program. During the three months ended December 31, 2025, the Company repurchased approximately 8.1 million shares of common stock at a cost of approximately $82.1 million under this program.</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number of shares purchased is based on the purchase date and not the settlement date. </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Average price per share includes commissions.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graph below compares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December 31, 2020 to December 31, 2025. </w:t>
      </w:r>
    </w:p>
    <w:p>
      <w:pPr>
        <w:pStyle w:val="TextBody"/>
        <w:bidi w:val="0"/>
        <w:spacing w:before="0" w:after="0"/>
        <w:ind w:left="0" w:right="0" w:firstLine="720"/>
        <w:jc w:val="center"/>
        <w:rPr/>
      </w:pPr>
      <w:r>
        <w:rPr/>
        <w:drawing>
          <wp:inline distT="0" distB="0" distL="0" distR="0">
            <wp:extent cx="5943600" cy="4391025"/>
            <wp:effectExtent l="0" t="0" r="0" b="0"/>
            <wp:docPr id="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 descr=""/>
                    <pic:cNvPicPr>
                      <a:picLocks noChangeAspect="1" noChangeArrowheads="1"/>
                    </pic:cNvPicPr>
                  </pic:nvPicPr>
                  <pic:blipFill>
                    <a:blip r:embed="rId6"/>
                    <a:stretch>
                      <a:fillRect/>
                    </a:stretch>
                  </pic:blipFill>
                  <pic:spPr bwMode="auto">
                    <a:xfrm>
                      <a:off x="0" y="0"/>
                      <a:ext cx="5943600" cy="4391025"/>
                    </a:xfrm>
                    <a:prstGeom prst="rect">
                      <a:avLst/>
                    </a:prstGeom>
                  </pic:spPr>
                </pic:pic>
              </a:graphicData>
            </a:graphic>
          </wp:inline>
        </w:drawing>
      </w:r>
      <w:bookmarkStart w:id="4" w:name="i-5"/>
      <w:bookmarkEnd w:id="4"/>
    </w:p>
    <w:p>
      <w:pPr>
        <w:pStyle w:val="TextBody"/>
        <w:bidi w:val="0"/>
        <w:spacing w:before="0" w:after="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783"/>
        <w:gridCol w:w="687"/>
        <w:gridCol w:w="695"/>
        <w:gridCol w:w="364"/>
        <w:gridCol w:w="360"/>
        <w:gridCol w:w="326"/>
        <w:gridCol w:w="109"/>
        <w:gridCol w:w="109"/>
        <w:gridCol w:w="109"/>
        <w:gridCol w:w="364"/>
        <w:gridCol w:w="360"/>
        <w:gridCol w:w="326"/>
        <w:gridCol w:w="109"/>
        <w:gridCol w:w="109"/>
        <w:gridCol w:w="109"/>
        <w:gridCol w:w="364"/>
        <w:gridCol w:w="360"/>
        <w:gridCol w:w="326"/>
        <w:gridCol w:w="109"/>
        <w:gridCol w:w="109"/>
        <w:gridCol w:w="109"/>
        <w:gridCol w:w="364"/>
        <w:gridCol w:w="360"/>
        <w:gridCol w:w="326"/>
        <w:gridCol w:w="109"/>
        <w:gridCol w:w="109"/>
        <w:gridCol w:w="109"/>
        <w:gridCol w:w="364"/>
        <w:gridCol w:w="360"/>
        <w:gridCol w:w="326"/>
        <w:gridCol w:w="109"/>
        <w:gridCol w:w="109"/>
        <w:gridCol w:w="109"/>
        <w:gridCol w:w="390"/>
        <w:gridCol w:w="332"/>
        <w:gridCol w:w="433"/>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Pharmaceuticals</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6.[Reserved]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7.Management’s Discussion and Analysis of Financial Condition And Results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should be read in conjunction with the consolidated financial statements and the related notes to consolidated financial statements included in Part II, Item 8 in this Form 10-K, and our other SEC filings and public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This Form 10-K contains “forward-looking statements”. These statements are made pursuant to the safe harbor provisions of the Private Securities Litigation Reform Act of 1995. Such forward-looking statements may include, without limitation, </w:t>
      </w:r>
      <w:r>
        <w:rPr>
          <w:rFonts w:ascii="Times New Roman;serif" w:hAnsi="Times New Roman;serif"/>
          <w:b w:val="false"/>
          <w:color w:val="000000"/>
          <w:sz w:val="20"/>
          <w:shd w:fill="FFFFFF" w:val="clear"/>
        </w:rPr>
        <w:t>statements about 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erif" w:hAnsi="Times New Roman;serif"/>
          <w:b w:val="false"/>
          <w:color w:val="000000"/>
          <w:sz w:val="20"/>
        </w:rPr>
        <w:t>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not realize the intended benefits of, or achieve the intended goals or outlooks with respect to, its strategic initiatives and priorities;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possibility that the Company may be unable to achieve the intended or expected benefits of its enterprise-wide strategic review and related cost-saving and restructuring activities within the expected timeframe or at all;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be unable to achieve intended or expected benefits in connection with divestitures, acquisitions, </w:t>
      </w:r>
      <w:r>
        <w:rPr>
          <w:rFonts w:ascii="Times New Roman;serif" w:hAnsi="Times New Roman;serif"/>
          <w:b w:val="false"/>
          <w:color w:val="000000"/>
          <w:sz w:val="20"/>
          <w:shd w:fill="FFFFFF" w:val="clear"/>
        </w:rPr>
        <w:t xml:space="preserve">strategic alliances, collaborations, </w:t>
      </w:r>
      <w:r>
        <w:rPr>
          <w:rFonts w:ascii="Times New Roman;serif" w:hAnsi="Times New Roman;serif"/>
          <w:b w:val="false"/>
          <w:color w:val="000000"/>
          <w:sz w:val="20"/>
        </w:rPr>
        <w:t>or other transactions, or restructuring programs, within the expected timeframes or at all;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goodwill or impairment charges or other losses;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changes in or difficulties with the Company’s manufacturing facilities, including with respect to short- or long-term shutdowns, inspections, remediation and restructuring activities, supply chain continuity, inventory management, or the ability to meet anticipated demand;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Company’s failure to achieve expected or targeted future financial and operating performance and results;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potential impact of natural or man-made disasters, public health outbreaks, fires, accidents, weather, unrest or other emergencies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actions and decisions of healthcare and pharmaceutical regulators;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regulatory, legal or other impediments to the Company’s ability to bring new products to market;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products in development that receive regulatory approval may not achieve expected levels of market acceptance, efficacy or safety;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longer review, response and approval times as a result of evolving regulatory priorities and reductions in personnel at health agencies;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third-party relationships;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and matters beyond the control of management, including but not limited to general political and economic conditions, potential for adverse impacts from future tariffs and trade restrictions,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more detailed information on the risks and uncertainties associated with Viatris, see the risks described in Part I, Item 1A in this Form 10-K, and our other filings with the SEC. You can access Viatris’ filings with the SEC through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more than 30,000 employees. The Company has 27 manufacturing, packaging, and distribution sites worldwide, more than 1,400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Market and Industry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obtaining regulatory approval to manufacture and market new branded and generic pharmaceutical products is rigorous, time consuming, costly, and inherently unpredictable. Complex generic products are often more difficult, costly and time-consuming to receive regulatory approval and bring to market compared with commodity generic pharmaceutical products.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branded products, the majority of the product’s commercial value is usually realized during the period in which the product has market exclusivity. In the U.S. and some other countries, when market exclusivity expires and generic versions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product are approved and marketed, there can often be very substantial and rapid declines in the branded product’s sales. For example, generic entry for Amitiza® 24 μg may occur in Japan in June 2026 depending on the outcome of patent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lower pricing in order to win the tender. Sales continue to be negatively affected by the impact of tender systems in certain countries.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Recent Developments</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 </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Aculys Pharma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15, 2025, the Company acquired Aculys Pharma, a clinical stage biopharmaceutical company focused on commercializing innovative treatments for neurological conditions. Viatris received rights to develop and commercialize pitolisant and Spydia®, two assets in the CNS therapy area, further expanding Viatris' portfolio of innovative products in Japan. As part of the transaction, Viatris acquired exclusive development and commercialization rights in Japan for pitolisant, a selective/inverse agonist of the histamine H3 receptor. One indication is for the treatment of excessive daytime sleepiness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cataplexy in adult patients with narcolepsy and the second is for the treatment of excessive daytime sleepiness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associated with obstructive sleep apnea syndrome. The Japanese NDAs for both indications have been submitted to the Japan Pharmaceuticals and Medical Devices Agency and are under review by the agency. The transaction also includes exclusive rights in Japan and certain other markets in the Asia-Pacific region for Spydia® Nasal Spray, which was approved in Japan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June 2025 for the treatment of status epilepticus and launched in December 2025. Under the terms of the acquisition agreement, the Company made a $35.0 million upfront payment to Aculys Pharma shareholders as consideration for the acquisition, with additional consideration contingent upon the achievement of specified regulatory and commercial milestones, and royalties on net sales. The transaction was accounted for as an asset acquisition, with the upfront payment expensed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in the fourth quarter of 2025</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CCPS in Biocon Biologics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shares are subject to a six-month lock up period.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U.S. markets. </w:t>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Manufacturing Facilities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an inspection by the FDA at our oral finished dose manufacturing facility in Indore, India in 2024, the FDA issued a warning letter and an import alert related to this facility. The import alert affects 11 products that will no longer be accepted into the U.S. until the warning letter is lifted.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substance of FDA’s original inspection observations, the Company immediately implemented a comprehensive remediation plan at the site. During 2025, we made substantial progress on our remediation activities at the facility, including but not limited to related personnel actions. Additionally, we have engaged independent third-party subject matter experts to support the remediation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the FDA during this process and will continue to work to ensure that the FDA is satisfied with the steps we have taken to resolve all the points raised. Our responses to the warning letter and import alert were submitted within the required time periods. The facility will be subject to a reinspection by the FDA. The timing of the reinspection will be determined by the FDA; however, we anticipate that the facility will be ready for reinspection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product continues to be shipped from the Indore facility to markets outside the U.S., as expected, we have also experienced a negative impact in other markets during 2025, including the ARV business in Emerging Markets and select generic products in Europe. The estimated negative impact to total revenues for the year ended December 31, 2025 versus the year ended December 31, 2024 was approximately $370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mid-February 2026, a fire occurred in a service area at the Company's oral solid dose manufacturing facility in Nashik, India. Manufacturing at the facility has been temporarily suspended and the Company currently expects to resume operations beginning in April 2026. The Company believes it has certain insurance coverages for losses, including for assets and business interruption. In the event the plant cannot be returned to normal operations or the Company’s insurance coverage is unavailable or inadequate, this event could have a negative impact on our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(which excluded, for cenerimod only, Japan, South Korea and certain countries in the Asia-Pacific region). A joint development committee was formed to oversee the development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ongoing Phase 3 programs through regulatory approval. The agreements also provided Viatris a right of first refusal and a right of first negotiation for certain other assets in Idorsia’s pipeline. Viatris and Idorsia are both contractually obligated to contribute to the development costs for both programs, which are expected to be incurred through 2027. 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included in Part II, Item 8 of this Form 10-K for more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has been replaced with a transition committee to oversee the transition of both development programs to Viatris.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and recorded a non-cash goodwill impairment charge of $2.94 billion as a result of the interim goodwill impairment test performed.</w:t>
      </w:r>
    </w:p>
    <w:p>
      <w:pPr>
        <w:pStyle w:val="TextBody"/>
        <w:bidi w:val="0"/>
        <w:spacing w:before="0" w:after="0"/>
        <w:ind w:left="0" w:right="0" w:firstLine="36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a summary of the Company’s financial results for the year ended December 31, 2025 compared to the prior year period:</w:t>
      </w:r>
    </w:p>
    <w:tbl>
      <w:tblPr>
        <w:tblW w:w="7175" w:type="dxa"/>
        <w:jc w:val="left"/>
        <w:tblInd w:w="0" w:type="dxa"/>
        <w:tblLayout w:type="fixed"/>
        <w:tblCellMar>
          <w:top w:w="28" w:type="dxa"/>
          <w:left w:w="28" w:type="dxa"/>
          <w:bottom w:w="28" w:type="dxa"/>
          <w:right w:w="28" w:type="dxa"/>
        </w:tblCellMar>
      </w:tblPr>
      <w:tblGrid>
        <w:gridCol w:w="1037"/>
        <w:gridCol w:w="910"/>
        <w:gridCol w:w="918"/>
        <w:gridCol w:w="211"/>
        <w:gridCol w:w="871"/>
        <w:gridCol w:w="109"/>
        <w:gridCol w:w="109"/>
        <w:gridCol w:w="109"/>
        <w:gridCol w:w="109"/>
        <w:gridCol w:w="211"/>
        <w:gridCol w:w="871"/>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these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Part II, Item 7 under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Results of Operations — Use of Non-GAAP Financial Measures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2025 Compared to 2024</w:t>
      </w:r>
    </w:p>
    <w:tbl>
      <w:tblPr>
        <w:tblW w:w="10205" w:type="dxa"/>
        <w:jc w:val="left"/>
        <w:tblInd w:w="0" w:type="dxa"/>
        <w:tblLayout w:type="fixed"/>
        <w:tblCellMar>
          <w:top w:w="28" w:type="dxa"/>
          <w:left w:w="28" w:type="dxa"/>
          <w:bottom w:w="28" w:type="dxa"/>
          <w:right w:w="28" w:type="dxa"/>
        </w:tblCellMar>
      </w:tblPr>
      <w:tblGrid>
        <w:gridCol w:w="752"/>
        <w:gridCol w:w="399"/>
        <w:gridCol w:w="352"/>
        <w:gridCol w:w="211"/>
        <w:gridCol w:w="871"/>
        <w:gridCol w:w="109"/>
        <w:gridCol w:w="109"/>
        <w:gridCol w:w="109"/>
        <w:gridCol w:w="109"/>
        <w:gridCol w:w="211"/>
        <w:gridCol w:w="871"/>
        <w:gridCol w:w="109"/>
        <w:gridCol w:w="109"/>
        <w:gridCol w:w="109"/>
        <w:gridCol w:w="109"/>
        <w:gridCol w:w="198"/>
        <w:gridCol w:w="198"/>
        <w:gridCol w:w="483"/>
        <w:gridCol w:w="109"/>
        <w:gridCol w:w="109"/>
        <w:gridCol w:w="109"/>
        <w:gridCol w:w="246"/>
        <w:gridCol w:w="757"/>
        <w:gridCol w:w="127"/>
        <w:gridCol w:w="109"/>
        <w:gridCol w:w="109"/>
        <w:gridCol w:w="109"/>
        <w:gridCol w:w="258"/>
        <w:gridCol w:w="1065"/>
        <w:gridCol w:w="133"/>
        <w:gridCol w:w="109"/>
        <w:gridCol w:w="109"/>
        <w:gridCol w:w="109"/>
        <w:gridCol w:w="249"/>
        <w:gridCol w:w="246"/>
        <w:gridCol w:w="725"/>
      </w:tblGrid>
      <w:tr>
        <w:trPr/>
        <w:tc>
          <w:tcPr>
            <w:tcW w:w="7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Developed Markets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Markets </w:t>
            </w:r>
            <w:r>
              <w:rPr>
                <w:rFonts w:ascii="Times New Roman;serif" w:hAnsi="Times New Roman;serif"/>
                <w:b w:val="false"/>
                <w:color w:val="000000"/>
                <w:sz w:val="13"/>
              </w:rPr>
              <w:t>(3)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Reductions were driven primarily by the inclusion of net sales in the prior year period related to divestitures that have closed during 2024 and the Indore Impact.</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For the year ended December 31, 2025, other revenues in Developed Markets, JANZ, and Emerging Markets were approximately $38.1 million, $3.9 million, and $7.5 million, respectively.</w:t>
      </w:r>
    </w:p>
    <w:p>
      <w:pPr>
        <w:pStyle w:val="TextBody"/>
        <w:bidi w:val="0"/>
        <w:spacing w:lineRule="auto" w:line="288" w:before="0" w:after="24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exclude intersegment revenue which eliminates on a consolidated basis.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reported total revenues of $14.30 billion, compared to $14.74 billion for the comparable prior year period, representing a decrease of $439.4 million, or 3%. Total revenues include both net sales and other revenues from third parties. Net sales for the year ended December 31, 2025 were $14.25 billion, compared to $14.69 billion for the comparable prior year period, representing a decrease of $442.4 million, or 3%. Other revenues for the year ended December 31, 2025 were $49.5 million, compared to $46.5 million for the comparable prior year period.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approximately $478.0 million, or 3%, due to the inclusion of net sales in the prior year period related to divestitures that closed during 2024. The favorable impact of foreign currency translation was approximately $177.7 million, or 1%, primarily reflecting changes in the U.S. Dollar as compared to the currencies of subsidiaries in the EU. On a constant currency basis, net sales from the remaining business decreased by approximately $142.1 million, or 1%, for the year ended December 31, 2025 compared to the prior year period, driven by net base business erosion of approximately $465.8 million, of which approximately $370 million related to the Indore Impact. This decrease was partially offset by new product sales, primarily in Developed Markets, of approximately $323.7 million. New product sales include new products launched in 2025 and the carryover impact of new products, including business development, launched within the last twelve months.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36% and 33% for the years ended December 31, 2025 and 2024,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are derived from our four reporting segments: Developed Markets, Greater China, JANZ and Emerging Markets.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decreased by $415.4 million, or 5%, for the year ended December 31, 2025 when compared to the prior year. Net sales decreased by approximately $372.7 million, or 4%, due to the inclusion of net sales in the prior year period related to divestitures that closed during 2024. The favorable impact of foreign currency translation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$213.2 million, or 2%. Constant currency net sales from the remaining business decreased by approximately $255.9 million, or 3%, driven primarily by lower net sales of certain existing products, including lenalidomide and everolimus in the U.S., as a result of the Indore Impact of approximately $283 million, partially offset by new product sales. Net sales within North America totaled approximately $3.39 billion and net sales within Europe totaled approximately $5.12 billion.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Greater China increased by $166.0 million, or 8%, for the year ended December 31, 2025 when compared to the prior year. The unfavorable impact of foreign currency translation was approximately $1.5 million. Constant currency net sales increased by approximately $168.2 million, or 8%, when compared to the prior year, driven primarily by strong growth across multiple channels, including e-commerce, retail, and private hospitals, as well as benefits of timing of customer purchasing patterns. Divestitures did not have a significant impact on net sales in either period and the Indore Impact during the year ended December 31, 2025 was not significant.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JANZ decreased by $152.4 million, or 11%, for the year ended December 31, 2025 when compared to the prior year. Net sales decreased by approximately $24.0 million, or 2%, due to the inclusion of net sales in the prior year period related to divestitures that closed during 2024. The decrease was also partially driven by the unfavorable impact of foreign currency translation of approximately $15.5 million, or 1%. Constant currency net sales from the remaining business decreased by approximately $112.9 million, or 8%, when compared to the prior year, driven primarily by lower net sales of existing products in Japan and Australia due to government price reductions and additional competition, and by the Indore Impact of approximately $9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decreased by $40.6 million, or 2%, for the year ended December 31, 2025 when compared to the prior year. Net sales decreased by approximately $80.6 million, or 4%, due to the inclusion of net sales in the prior year period related to divestitures that closed during 2024. The decrease in net sales was also partially driven by the unfavorable impact of foreign currency translation of approximately $18.5 million, or 1%. Constant currency net sales from the remaining business increased by approximately $58.5 million, or 3%, when compared to the prior year, primarily driven by new products in certain Latin American countries and higher volumes and pricing of existing products in certain Middle Eastern and Asian countries. These increases were partially offset by lower volumes in our ARV business, mainly as a result of the Indore Impact of approximately $77 million.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Cost of sales increased from $9.12 billion for the year ended December 31, 2024 to $9.29 billion for the year ended December 31, 2025. The increase in cost of sales was largely driven by higher costs associated with other special items, which are described further in the section titled </w:t>
      </w:r>
      <w:r>
        <w:rPr>
          <w:rFonts w:ascii="Times New Roman;serif" w:hAnsi="Times New Roman;serif"/>
          <w:b w:val="false"/>
          <w:i/>
          <w:color w:val="000000"/>
          <w:sz w:val="20"/>
        </w:rPr>
        <w:t>Use of Non-GAAP Financial Measures</w:t>
      </w:r>
      <w:r>
        <w:rPr>
          <w:rFonts w:ascii="Times New Roman;serif" w:hAnsi="Times New Roman;serif"/>
          <w:b w:val="false"/>
          <w:color w:val="000000"/>
          <w:sz w:val="20"/>
        </w:rPr>
        <w:t xml:space="preserve">, and by product mix as a result of the Indore Impact. These increases were partially offset by the impact of the decrease in net sales, and lower IPR&amp;D intangible asset impairment charges. Refer to Note 8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 xml:space="preserve">included in Part II, Item 8 of this Form 10-K for more information.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the year ended December 31, 2025 was $5.01 billion and gross margins were 35%. For the year ended December 31, 2024, gross profit was $5.62 billion and gross margins were 38%. The changes in gross profit and gross margins are primarily related to the increase in cost of sales. Adjusted gross margins were approximately 56% for the year ended December 31, 2025, compared to 58%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year ended December 31, 2025 compared to the year ended December 31, 2024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68" w:before="0" w:after="24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 for the year ended December 31, 2025 was $965.9 million, compared to $808.7 million for the prior year, an increase of $157.2 million. This increase was primarily the result of higher expenses for the selatogrel and cenerimod development programs.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expense for the year ended December 31, 2025 was $48.3 million, compared to $28.3 million for the prior year, an increase of $20.0 million. The increase was primarily due to an upfront payment related to the acquisition of Aculys Pharma of $35.0 million recorded during the fourth quarter of 2025, and an upfront licensing payment for rights to cenerimod in Japan, South Korea and certain countries in the Asia-Pacific region during the first quarter of 2025. This was partially offset by an upfront licensing payment of $25.0 million to Lexicon related to sotagliflozin recorded during the fourth quarter of 2024.</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 for the year ended December 31, 2025 was $3.79 billion, compared to $4.10 billion for the prior year, a decrease of $310.5 million. The decrease was primarily due to the impact of the divestitures, and lower acquisition and divestiture-related costs of approximately $205.7 million.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conjunction with an interim goodwill impairment test performed as of March 31, 2025, the Company recorded a goodwill impairment charge of $2.94 billion in the first quarter of 2025, allocated across the North America, Europe, JANZ, and Emerging Markets reporting units. Following that impairment, there was no remaining goodwill in the JANZ reporting unit. The Company also performed its annual goodwill impairment test on April 1, 2025, which resulted in no further impairment charges being recorded. Refer to Note 8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 xml:space="preserve">in Part II, Item 8 of this Form 10-K for more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prior year, the Company recorded a goodwill impairment charge of $321.0 million related to its JANZ reporting unit in conjunction with its annual goodwill impairment test performed as of April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(gains)/losses recognized in litigation settlements and other contingencies, net during the years ended December 31, 2025 and 2024, respectively:</w:t>
      </w:r>
    </w:p>
    <w:tbl>
      <w:tblPr>
        <w:tblW w:w="7089" w:type="dxa"/>
        <w:jc w:val="left"/>
        <w:tblInd w:w="0" w:type="dxa"/>
        <w:tblLayout w:type="fixed"/>
        <w:tblCellMar>
          <w:top w:w="28" w:type="dxa"/>
          <w:left w:w="28" w:type="dxa"/>
          <w:bottom w:w="28" w:type="dxa"/>
          <w:right w:w="28" w:type="dxa"/>
        </w:tblCellMar>
      </w:tblPr>
      <w:tblGrid>
        <w:gridCol w:w="1728"/>
        <w:gridCol w:w="1515"/>
        <w:gridCol w:w="1527"/>
        <w:gridCol w:w="211"/>
        <w:gridCol w:w="691"/>
        <w:gridCol w:w="109"/>
        <w:gridCol w:w="109"/>
        <w:gridCol w:w="109"/>
        <w:gridCol w:w="109"/>
        <w:gridCol w:w="211"/>
        <w:gridCol w:w="61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and Note 9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II, Item 8 of this Form 10-K for more information with respect to the contingent consideration adjustment.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refer to Note 20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II, Item 8 of this Form 10-K for more information on litigation settlements, net.</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year ended December 31, 2025 totaled $471.3 million, compared to $550.0 million for the year ended December 31, 2024, a decrease of $78.7 million. The decrease was primarily due to the impact of 2024 debt repayments.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net for the year ended December 31, 2025 totaled $530.6 million, compared to $83.3 million for the year ended December 31, 2024, an increase of $447.3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was primarily driven by a loss of $534.8 million recorded in the current year period as a result of changes in the fair value of the CCPS in Biocon Biologics, compared to a net gain in the prior year period of $(373.5) million, lower interest income of $56.6 million, and lower TSA income of $30.5 million. The reduction in the fair value of the CCPS in Biocon Biologics was primarily the result of the Company entering into definitive agreements with Biocon for the sale of the Company’s equity stake in Biocon Biologics. Under the terms of the definitive agreements, Biocon acquired all of Viatris’ CCPS in Biocon Biologics for total consideration of $815.0 million.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This was partially offset by: (1) a decrease in loss on divestitures of $298.5 million compared to the prior year period; (2) charges of $184.6 million recorded in the prior year related to the impairment of our equity investment in Mapi and advances for GA Depot inventory (refer to Note 19 </w:t>
      </w:r>
      <w:r>
        <w:rPr>
          <w:rFonts w:ascii="Times New Roman;serif" w:hAnsi="Times New Roman;serif"/>
          <w:b w:val="false"/>
          <w:i/>
          <w:color w:val="000000"/>
          <w:sz w:val="20"/>
        </w:rPr>
        <w:t>Licensing and Other Partner Agreements</w:t>
      </w:r>
      <w:r>
        <w:rPr>
          <w:color w:val="000000"/>
        </w:rPr>
        <w:t xml:space="preserve"> </w:t>
      </w:r>
      <w:r>
        <w:rPr>
          <w:rFonts w:ascii="Times New Roman;serif" w:hAnsi="Times New Roman;serif"/>
          <w:b w:val="false"/>
          <w:color w:val="000000"/>
          <w:sz w:val="20"/>
        </w:rPr>
        <w:t xml:space="preserve">included in Part II, Item 8 of this Form 10-K for more information); and (3) a gain on debt extinguishments of $16.5 million recorded in the prior year.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Company recognized an income tax benefit of $150.1 million, compared to an income tax provision of $11.0 million for the prior year, a change of $161.1 million. The benefit in the current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income tax provision for the year ended December 31, 2024 includes a tax benefit related to certain gains on the sale of subsidiaries in connection with the divestiture of the OTC Business which were partially exempt from tax. This benefit was partially offset by the goodwill impairment charge recorded in the second quarter of 2024, for which no tax benefit was realized. The current year and prior year provisions were also impacted by the levels of income and the changing mix at which it is earned in jurisdictions with differing tax rates.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2024 Compared to 2023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Discussions of 2023 items and year-to-year comparisons between 2024 and 2023 are not included in this Form 10-K, and can be found in “Management’s Discussion and Analysis of Financial Condition and Results of Operations” in Part II, Item 7 of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Cost of Sales and Adjusted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items excluded from adjusted cost of sales, adjusted EBITDA, adjusted net earnings, and adjusted EPS include:</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6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 and divestiture costs, including costs relating to integration and planning, contractual obligations, including under supply agreements,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costs, incurred from time to time, related to certain special events or activities that lead to gains or losses, including, but not limited to, incremental manufacturing variances, contractual termination costs, certain remediation activities,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Gains or losses from divestitures, including impairments of held for sale assets;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Litigation Settlements, 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and gains related to legal matters, such as those discussed in Note 20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II, Item 8 of this Form 10-K are generally excluded from adjusted EBITDA, adjusted net earnings, and adjusted EPS. Normal, ongoing defense costs of the Company made in the normal course of our business are not excluded.</w:t>
      </w:r>
    </w:p>
    <w:p>
      <w:pPr>
        <w:pStyle w:val="TextBody"/>
        <w:bidi w:val="0"/>
        <w:spacing w:lineRule="auto" w:line="288" w:before="0" w:after="60"/>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Reconciliation of U.S. GAAP Net (Loss) Earnings to Adjusted Net Earnings and U.S. GAAP (Loss) Earnings Per Share to Adjusted EPS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net (loss) earnings and diluted (loss) earnings per share as reported under U.S. GAAP, and adjusted net earnings and adjusted EPS for the periods shown follows:</w:t>
      </w:r>
    </w:p>
    <w:tbl>
      <w:tblPr>
        <w:tblW w:w="10205" w:type="dxa"/>
        <w:jc w:val="left"/>
        <w:tblInd w:w="0" w:type="dxa"/>
        <w:tblLayout w:type="fixed"/>
        <w:tblCellMar>
          <w:top w:w="28" w:type="dxa"/>
          <w:left w:w="28" w:type="dxa"/>
          <w:bottom w:w="28" w:type="dxa"/>
          <w:right w:w="28" w:type="dxa"/>
        </w:tblCellMar>
      </w:tblPr>
      <w:tblGrid>
        <w:gridCol w:w="1434"/>
        <w:gridCol w:w="627"/>
        <w:gridCol w:w="633"/>
        <w:gridCol w:w="211"/>
        <w:gridCol w:w="792"/>
        <w:gridCol w:w="109"/>
        <w:gridCol w:w="109"/>
        <w:gridCol w:w="109"/>
        <w:gridCol w:w="109"/>
        <w:gridCol w:w="211"/>
        <w:gridCol w:w="537"/>
        <w:gridCol w:w="109"/>
        <w:gridCol w:w="109"/>
        <w:gridCol w:w="109"/>
        <w:gridCol w:w="109"/>
        <w:gridCol w:w="211"/>
        <w:gridCol w:w="766"/>
        <w:gridCol w:w="109"/>
        <w:gridCol w:w="109"/>
        <w:gridCol w:w="109"/>
        <w:gridCol w:w="109"/>
        <w:gridCol w:w="211"/>
        <w:gridCol w:w="537"/>
        <w:gridCol w:w="109"/>
        <w:gridCol w:w="109"/>
        <w:gridCol w:w="109"/>
        <w:gridCol w:w="109"/>
        <w:gridCol w:w="211"/>
        <w:gridCol w:w="766"/>
        <w:gridCol w:w="109"/>
        <w:gridCol w:w="109"/>
        <w:gridCol w:w="109"/>
        <w:gridCol w:w="109"/>
        <w:gridCol w:w="211"/>
        <w:gridCol w:w="511"/>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22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 and U.S. GAAP diluted (loss)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accounting amortization (primarily included in cost of sales) </w:t>
            </w:r>
            <w:r>
              <w:rPr>
                <w:rFonts w:ascii="Times New Roman;serif" w:hAnsi="Times New Roman;serif"/>
                <w:b w:val="false"/>
                <w:color w:val="000000"/>
                <w:sz w:val="13"/>
              </w:rPr>
              <w:t>(a)</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goodwill </w:t>
            </w:r>
            <w:r>
              <w:rPr>
                <w:rFonts w:ascii="Times New Roman;serif" w:hAnsi="Times New Roman;serif"/>
                <w:b w:val="false"/>
                <w:color w:val="000000"/>
                <w:sz w:val="13"/>
              </w:rPr>
              <w:t>(b)</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amortization of premiums and discounts on long term debt)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6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divestiture-related costs (primarily included in cost of sales and SG&amp;A) </w:t>
            </w:r>
            <w:r>
              <w:rPr>
                <w:rFonts w:ascii="Times New Roman;serif" w:hAnsi="Times New Roman;serif"/>
                <w:b w:val="false"/>
                <w:color w:val="000000"/>
                <w:sz w:val="13"/>
              </w:rPr>
              <w:t>(c)</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on divestitures of businesses (included in other expense (income), net) </w:t>
            </w:r>
            <w:r>
              <w:rPr>
                <w:rFonts w:ascii="Times New Roman;serif" w:hAnsi="Times New Roman;serif"/>
                <w:b w:val="false"/>
                <w:color w:val="000000"/>
                <w:sz w:val="13"/>
              </w:rPr>
              <w:t>(d)</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included in:</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(f)</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(g)</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the above items and other income tax related items</w:t>
            </w:r>
            <w:r>
              <w:rPr>
                <w:color w:val="000000"/>
              </w:rPr>
              <w:t xml:space="preserve"> </w:t>
            </w:r>
            <w:r>
              <w:rPr>
                <w:rFonts w:ascii="Times New Roman;serif" w:hAnsi="Times New Roman;serif"/>
                <w:b w:val="false"/>
                <w:color w:val="000000"/>
                <w:sz w:val="13"/>
              </w:rPr>
              <w:t>(h)</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0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Significant items for the year ended December 31, 2025 include the following:</w:t>
      </w:r>
    </w:p>
    <w:p>
      <w:pPr>
        <w:pStyle w:val="TextBody"/>
        <w:bidi w:val="0"/>
        <w:spacing w:lineRule="auto" w:line="288" w:before="0" w:after="60"/>
        <w:ind w:left="0" w:right="0" w:hanging="360"/>
        <w:jc w:val="left"/>
        <w:rPr/>
      </w:pPr>
      <w:r>
        <w:rPr>
          <w:rFonts w:ascii="Times New Roman;serif" w:hAnsi="Times New Roman;serif"/>
          <w:b w:val="false"/>
          <w:color w:val="000000"/>
          <w:sz w:val="10"/>
        </w:rPr>
        <w:t>(a)    </w:t>
      </w:r>
      <w:r>
        <w:rPr>
          <w:rFonts w:ascii="Times New Roman;serif" w:hAnsi="Times New Roman;serif"/>
          <w:b w:val="false"/>
          <w:color w:val="000000"/>
          <w:sz w:val="20"/>
        </w:rPr>
        <w:t>Includes an IPR&amp;D intangible asset impairment charge of $73.9 million as the Company concluded that one of its IPR&amp;D assets was fully impaired due to unfavorable clinical results which led to the termination of the development program.</w:t>
      </w:r>
    </w:p>
    <w:p>
      <w:pPr>
        <w:pStyle w:val="TextBody"/>
        <w:bidi w:val="0"/>
        <w:spacing w:lineRule="auto" w:line="288" w:before="0" w:after="60"/>
        <w:ind w:left="0" w:right="0" w:hanging="360"/>
        <w:jc w:val="left"/>
        <w:rPr/>
      </w:pPr>
      <w:r>
        <w:rPr>
          <w:rFonts w:ascii="Times New Roman;serif" w:hAnsi="Times New Roman;serif"/>
          <w:b w:val="false"/>
          <w:color w:val="000000"/>
          <w:sz w:val="10"/>
        </w:rPr>
        <w:t>(b)    </w:t>
      </w:r>
      <w:r>
        <w:rPr>
          <w:rFonts w:ascii="Times New Roman;serif" w:hAnsi="Times New Roman;serif"/>
          <w:b w:val="false"/>
          <w:color w:val="000000"/>
          <w:sz w:val="20"/>
        </w:rPr>
        <w:t>Includes a goodwill impairment charge of $2.94 billion as a result of the interim goodwill impairment test performed as of March 31, 2025.</w:t>
      </w:r>
    </w:p>
    <w:p>
      <w:pPr>
        <w:pStyle w:val="TextBody"/>
        <w:bidi w:val="0"/>
        <w:spacing w:lineRule="auto" w:line="288" w:before="0" w:after="60"/>
        <w:ind w:left="0" w:right="0" w:hanging="360"/>
        <w:jc w:val="left"/>
        <w:rPr/>
      </w:pPr>
      <w:r>
        <w:rPr>
          <w:rFonts w:ascii="Times New Roman;serif" w:hAnsi="Times New Roman;serif"/>
          <w:b w:val="false"/>
          <w:color w:val="000000"/>
          <w:sz w:val="10"/>
        </w:rPr>
        <w:t>(c)     </w:t>
      </w:r>
      <w:r>
        <w:rPr>
          <w:rFonts w:ascii="Times New Roman;serif" w:hAnsi="Times New Roman;serif"/>
          <w:b w:val="false"/>
          <w:color w:val="000000"/>
          <w:sz w:val="20"/>
        </w:rPr>
        <w:t>Acquisition and divestiture-related costs consist primarily of contractual obligations related to divestitures, transaction costs including legal and consulting fees, and integration activities.</w:t>
      </w:r>
    </w:p>
    <w:p>
      <w:pPr>
        <w:pStyle w:val="TextBody"/>
        <w:bidi w:val="0"/>
        <w:spacing w:lineRule="auto" w:line="288" w:before="0" w:after="60"/>
        <w:ind w:left="0" w:right="0" w:hanging="360"/>
        <w:jc w:val="left"/>
        <w:rPr/>
      </w:pPr>
      <w:r>
        <w:rPr>
          <w:rFonts w:ascii="Times New Roman;serif" w:hAnsi="Times New Roman;serif"/>
          <w:b w:val="false"/>
          <w:color w:val="000000"/>
          <w:sz w:val="10"/>
        </w:rPr>
        <w:t>(d)    </w:t>
      </w:r>
      <w:r>
        <w:rPr>
          <w:rFonts w:ascii="Times New Roman;serif" w:hAnsi="Times New Roman;serif"/>
          <w:b w:val="false"/>
          <w:color w:val="000000"/>
          <w:sz w:val="20"/>
        </w:rPr>
        <w:t>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pStyle w:val="TextBody"/>
        <w:bidi w:val="0"/>
        <w:spacing w:lineRule="auto" w:line="288" w:before="0" w:after="60"/>
        <w:ind w:left="0" w:right="0" w:hanging="360"/>
        <w:jc w:val="left"/>
        <w:rPr/>
      </w:pPr>
      <w:r>
        <w:rPr>
          <w:rFonts w:ascii="Times New Roman;serif" w:hAnsi="Times New Roman;serif"/>
          <w:b w:val="false"/>
          <w:color w:val="000000"/>
          <w:sz w:val="10"/>
        </w:rPr>
        <w:t>(e)    </w:t>
      </w:r>
      <w:r>
        <w:rPr>
          <w:rFonts w:ascii="Times New Roman;serif" w:hAnsi="Times New Roman;serif"/>
          <w:b w:val="false"/>
          <w:color w:val="000000"/>
          <w:sz w:val="20"/>
        </w:rPr>
        <w:t xml:space="preserve">Includes approximately $67.8 million in cost of sales, approximately $4.7 million in R&amp;D, and approximately $97.5 million in SG&amp;A. </w:t>
      </w:r>
    </w:p>
    <w:p>
      <w:pPr>
        <w:pStyle w:val="TextBody"/>
        <w:bidi w:val="0"/>
        <w:spacing w:lineRule="auto" w:line="288" w:before="0" w:after="60"/>
        <w:ind w:left="0" w:right="0" w:hanging="360"/>
        <w:jc w:val="left"/>
        <w:rPr/>
      </w:pPr>
      <w:r>
        <w:rPr>
          <w:rFonts w:ascii="Times New Roman;serif" w:hAnsi="Times New Roman;serif"/>
          <w:b w:val="false"/>
          <w:color w:val="000000"/>
          <w:sz w:val="10"/>
        </w:rPr>
        <w:t>(f)    </w:t>
      </w:r>
      <w:r>
        <w:rPr>
          <w:rFonts w:ascii="Times New Roman;serif" w:hAnsi="Times New Roman;serif"/>
          <w:b w:val="false"/>
          <w:color w:val="000000"/>
          <w:sz w:val="20"/>
        </w:rPr>
        <w:t>Includes certain asset impairments, contractual termination costs, and incremental manufacturing variances and certain remediation costs at plants slated for sale or closure or undergoing remediation activities of approximately $356.6 million.</w:t>
      </w:r>
    </w:p>
    <w:p>
      <w:pPr>
        <w:pStyle w:val="TextBody"/>
        <w:bidi w:val="0"/>
        <w:spacing w:lineRule="auto" w:line="288" w:before="0" w:after="60"/>
        <w:ind w:left="0" w:right="0" w:hanging="360"/>
        <w:jc w:val="left"/>
        <w:rPr/>
      </w:pPr>
      <w:r>
        <w:rPr>
          <w:rFonts w:ascii="Times New Roman;serif" w:hAnsi="Times New Roman;serif"/>
          <w:b w:val="false"/>
          <w:color w:val="000000"/>
          <w:sz w:val="10"/>
        </w:rPr>
        <w:t>(g)</w:t>
      </w:r>
      <w:r>
        <w:rPr>
          <w:color w:val="000000"/>
        </w:rPr>
        <w:t>    </w:t>
      </w:r>
      <w:r>
        <w:rPr>
          <w:rFonts w:ascii="Times New Roman;serif" w:hAnsi="Times New Roman;serif"/>
          <w:b w:val="false"/>
          <w:color w:val="000000"/>
          <w:sz w:val="20"/>
        </w:rPr>
        <w:t>Includes a loss of approximately $534.8 million as a result of remeasuring the CCPS in Biocon Biologics to fair value.</w:t>
      </w:r>
    </w:p>
    <w:p>
      <w:pPr>
        <w:pStyle w:val="TextBody"/>
        <w:bidi w:val="0"/>
        <w:spacing w:lineRule="auto" w:line="288" w:before="0" w:after="240"/>
        <w:ind w:left="0" w:right="0" w:hanging="360"/>
        <w:jc w:val="left"/>
        <w:rPr/>
      </w:pPr>
      <w:r>
        <w:rPr>
          <w:rFonts w:ascii="Times New Roman;serif" w:hAnsi="Times New Roman;serif"/>
          <w:b w:val="false"/>
          <w:color w:val="000000"/>
          <w:sz w:val="10"/>
        </w:rPr>
        <w:t>(h)</w:t>
      </w:r>
      <w:r>
        <w:rPr>
          <w:color w:val="000000"/>
        </w:rPr>
        <w:t>    </w:t>
      </w:r>
      <w:r>
        <w:rPr>
          <w:rFonts w:ascii="Times New Roman;serif" w:hAnsi="Times New Roman;serif"/>
          <w:b w:val="false"/>
          <w:color w:val="000000"/>
          <w:sz w:val="20"/>
        </w:rPr>
        <w:t xml:space="preserve">Adjusted for changes for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Earnings to EBITDA and Adjusted EBITDA</w:t>
      </w:r>
    </w:p>
    <w:p>
      <w:pPr>
        <w:pStyle w:val="TextBody"/>
        <w:bidi w:val="0"/>
        <w:spacing w:before="0" w:after="0"/>
        <w:ind w:left="0" w:right="0" w:firstLine="27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(loss) earnings to EBITDA and adjusted EBITDA for the year ended December 31, 2025 compared to the prior year periods:</w:t>
      </w:r>
    </w:p>
    <w:tbl>
      <w:tblPr>
        <w:tblW w:w="10205" w:type="dxa"/>
        <w:jc w:val="left"/>
        <w:tblInd w:w="0" w:type="dxa"/>
        <w:tblLayout w:type="fixed"/>
        <w:tblCellMar>
          <w:top w:w="28" w:type="dxa"/>
          <w:left w:w="28" w:type="dxa"/>
          <w:bottom w:w="28" w:type="dxa"/>
          <w:right w:w="28" w:type="dxa"/>
        </w:tblCellMar>
      </w:tblPr>
      <w:tblGrid>
        <w:gridCol w:w="2219"/>
        <w:gridCol w:w="1918"/>
        <w:gridCol w:w="1927"/>
        <w:gridCol w:w="109"/>
        <w:gridCol w:w="211"/>
        <w:gridCol w:w="839"/>
        <w:gridCol w:w="109"/>
        <w:gridCol w:w="109"/>
        <w:gridCol w:w="109"/>
        <w:gridCol w:w="109"/>
        <w:gridCol w:w="211"/>
        <w:gridCol w:w="766"/>
        <w:gridCol w:w="109"/>
        <w:gridCol w:w="109"/>
        <w:gridCol w:w="109"/>
        <w:gridCol w:w="109"/>
        <w:gridCol w:w="211"/>
        <w:gridCol w:w="766"/>
        <w:gridCol w:w="156"/>
      </w:tblGrid>
      <w:tr>
        <w:trPr/>
        <w:tc>
          <w:tcPr>
            <w:tcW w:w="221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 of businesses</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acquisition and divestiture-related and other special items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 xml:space="preserve">See items detailed in the Reconciliation of U.S. GAAP Net (Loss) Earnings to Adjusted Net Earnings. </w:t>
      </w:r>
    </w:p>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net cash provided by operating activities, which was $2.32 billion for the year ended December 31, 2025.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$13.0 million to $2.32 billion for the year ended December 31, 2025, as compared to net cash provided by operating activities of $2.30 billion for the year ended December 31, 2024. Net cash provided by operating activities is derived from net (loss) earnings adjusted for non-cash operating items, including impairment of goodwill and fair value adjustments related to the Biocon Biologics CCPS investment,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net cash provided by operating activities was principally due to the timing of cash payments and collections, partially offset by lower operating earnings, including as a result of divestitures that closed in 2024, and the Indore Impact.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$427.7 million for the year ended December 31, 2025, as compared to net cash from investing activities of $1.80 billion for the year ended December 31, 2024, a decrease of $2.23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In 2025, significant items in investing activities included the following: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$378.8 million. While there can be no assurance that current expectations will be realized, capital expenditures for the 2026 calendar year are expected to be approximately $350 million to $450 million.</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 2024,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proceeds from the sale of assets and businesses of $2.51 billion, primarily related to the divestitures of the OTC Business, the API business in India and the women’s healthcare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paid for acquisitions, net of cash acquired, of $350.0 million related to the Idorsia Transaction;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$326.0 million.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$1.29 billion for the year ended December 31, 2025, as compared to net cash used in financing activities of $4.33 billion for the year ended December 31, 2024, a decrease of $3.04 billion. </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 xml:space="preserve">In 2025, significant items in financing activities included the following: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share repurchases of $500.5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$561.2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cash of $188.2 million paid on behalf of other partners, which is included in Other items, net.</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In 2024,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Senior Notes through tender offers for and satisfaction and discharge of approximately $1.86 billion of Senior Notes;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Senior Notes at maturity of approximately $1.86 billion, consisting of the 1.023% Euro Senior Notes and the 2.250% Euro Senior Notes;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share repurchases of $250.0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$574.8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receipt of $245.0 million in deferred consideration from the Biocon Biologics Transaction, and net cash of $52.7 million collected on behalf of various partners, including Biocon Biologics, which are included in Other items, net.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the consolidated statements of cash flows in Part II, Item 8 of this Form 10-K for additional details on other significant sources and uses of cash during the years ended December 31, 2025 and 2024.</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Capital Resources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totaled $1.32 billion at December 31, 2025. The majority of our cash is invested in U.S. government money market funds and in bank deposits. In order to support our global operations, we maintain significant cash and cash equivalents within the global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December 31, 2025, the Company did not have any borrowings outstanding under the Commercial Paper Program or the 2024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As of December 31, 2025, the Company did not have any borrowings outstanding under the Receivables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 our consolidated balance sheets. In addition, the agreement governing the Receivables Facility contains various customary affirmative and negative covenants, and customary default and termination provisions.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$301.9 million and $68.5 million of accounts receivable as of December 31, 2025 and 2024, respectively, under these factoring arrangements. Additionally, we have a similar arrangement for certain European countries. As of December 31, 2024, we assigned and derecognized approximately $29.9 million of </w:t>
      </w:r>
      <w:r>
        <w:rPr>
          <w:rFonts w:ascii="Times New Roman;serif" w:hAnsi="Times New Roman;serif"/>
          <w:b w:val="false"/>
          <w:i/>
          <w:color w:val="000000"/>
          <w:sz w:val="20"/>
        </w:rPr>
        <w:t>Trade Receivables, Net</w:t>
      </w:r>
      <w:r>
        <w:rPr>
          <w:rFonts w:ascii="Times New Roman;serif" w:hAnsi="Times New Roman;serif"/>
          <w:b w:val="false"/>
          <w:color w:val="000000"/>
          <w:sz w:val="20"/>
        </w:rPr>
        <w:t xml:space="preserve">, 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 As of December 31, 2025, no amounts were assigned and derecognized.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2025 and 2024 were $34.5 million and $41.9 million, respectively. These amounts are included within </w:t>
      </w:r>
      <w:r>
        <w:rPr>
          <w:rFonts w:ascii="Times New Roman;serif" w:hAnsi="Times New Roman;serif"/>
          <w:b w:val="false"/>
          <w:i/>
          <w:color w:val="000000"/>
          <w:sz w:val="20"/>
        </w:rPr>
        <w:t>Accounts payable</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 xml:space="preserve">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w:t>
      </w:r>
      <w:r>
        <w:rPr>
          <w:rFonts w:ascii="Times New Roman;serif" w:hAnsi="Times New Roman;serif"/>
          <w:b w:val="false"/>
          <w:color w:val="000000"/>
          <w:sz w:val="20"/>
        </w:rPr>
        <w:t>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dividends paid and declared and share repurchase program, refer to Note 13 </w:t>
      </w:r>
      <w:r>
        <w:rPr>
          <w:rFonts w:ascii="Times New Roman;serif" w:hAnsi="Times New Roman;serif"/>
          <w:b w:val="false"/>
          <w:i/>
          <w:color w:val="000000"/>
          <w:sz w:val="20"/>
        </w:rPr>
        <w:t>(Loss) Earnings per Share</w:t>
      </w:r>
      <w:r>
        <w:rPr>
          <w:color w:val="000000"/>
        </w:rPr>
        <w:t xml:space="preserve"> </w:t>
      </w:r>
      <w:r>
        <w:rPr>
          <w:rFonts w:ascii="Times New Roman;serif" w:hAnsi="Times New Roman;serif"/>
          <w:b w:val="false"/>
          <w:color w:val="000000"/>
          <w:sz w:val="20"/>
        </w:rPr>
        <w:t>included in Part II, Item 8 of this Form 10-K.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Long-term Debt Maturity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debt agreements and mandatory minimum repayments remaining on the outstanding notional amount of long-term debt at December 31, 2025,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II, Item 8 of this Form 10-K.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 compliance with its covenants at December 31, 2025 and expects to remain in compliance for the next twelve months.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transactions, by tender offer or otherwise, or extend or refinance any of our outstanding indebtedness.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II, Item 8 of this Form 10-K for more information.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Financial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summarized financial information of Viatris Inc., Mylan Inc., Utah Acquisition Sub Inc., and Mylan II B.V. on a combined basis as of and for the years ended December 31, 2025 and 2024.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75"/>
        <w:gridCol w:w="767"/>
        <w:gridCol w:w="721"/>
        <w:gridCol w:w="690"/>
        <w:gridCol w:w="2507"/>
        <w:gridCol w:w="356"/>
        <w:gridCol w:w="356"/>
        <w:gridCol w:w="356"/>
        <w:gridCol w:w="356"/>
        <w:gridCol w:w="698"/>
        <w:gridCol w:w="2016"/>
        <w:gridCol w:w="507"/>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Balance Sheet Information of Viatris Inc., Mylan Inc., Utah Acquisition Sub Inc. and Mylan II B.V. </w:t>
            </w:r>
          </w:p>
        </w:tc>
      </w:tr>
      <w:tr>
        <w:trPr/>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61,424.7 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30,796.9 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12,779.0 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5"/>
        <w:gridCol w:w="549"/>
        <w:gridCol w:w="539"/>
        <w:gridCol w:w="997"/>
        <w:gridCol w:w="1881"/>
        <w:gridCol w:w="504"/>
        <w:gridCol w:w="504"/>
        <w:gridCol w:w="504"/>
        <w:gridCol w:w="504"/>
        <w:gridCol w:w="997"/>
        <w:gridCol w:w="1881"/>
        <w:gridCol w:w="720"/>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Income Statement Information of Viatris Inc., Mylan Inc., Utah Acquisition Sub Inc. and Mylan II B.V. </w:t>
            </w:r>
          </w:p>
        </w:tc>
      </w:tr>
      <w:tr>
        <w:trPr/>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$535 million accrued for legal contingencies at December 31,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 Some of these agreements include various ongoing financial obligations. The transition services were substantially concluded as of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our material cash requirements from known contractual and other obligations primarily relate to repayment of outstanding borrowings and interest, open purchase orders, post-employment benefit plans, unrecognized tax benefits, capital expenditures, dividends and leases. For additional information, refer to Notes 7, 10, 12, 13, 15, and 17 included in Part II, Item 8 of this Form 10-K. We anticipate our cash requirements related to ordinary course purchases of goods and services will be consistent with our past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Viatris periodically enters into acquisition, divestiture, collaboration, employment, legal settlement and other agreements which incorporate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employment and other agreements with certain executives and other employees that provide for compensation and certain other benefits. These agreements provide for severance payments under certain circumstances.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Under our licensing and other partner agreements, our potential maximum development milestones not accrued for at December 31, 2025 totaled approximately $416 million. We estimate that the amounts that may be paid during the next twelve months to be approximately $163 million. These agreements may also include potential sales-based milestones and call for us to pay a percentage of amounts earned from the sale of the product as a royalty or a profit share. Refer to Note 19 </w:t>
      </w:r>
      <w:r>
        <w:rPr>
          <w:rFonts w:ascii="Times New Roman;serif" w:hAnsi="Times New Roman;serif"/>
          <w:b w:val="false"/>
          <w:i/>
          <w:color w:val="000000"/>
          <w:sz w:val="20"/>
        </w:rPr>
        <w:t xml:space="preserve">Licensing and Other Partner Agreements </w:t>
      </w:r>
      <w:r>
        <w:rPr>
          <w:rFonts w:ascii="Times New Roman;serif" w:hAnsi="Times New Roman;serif"/>
          <w:b w:val="false"/>
          <w:color w:val="000000"/>
          <w:sz w:val="20"/>
        </w:rPr>
        <w:t>included in Part II, Item 8 of this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Application of Critical Accounting Policies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Our significant accounting policies are described in Note 2 </w:t>
      </w:r>
      <w:r>
        <w:rPr>
          <w:rFonts w:ascii="Times New Roman;serif" w:hAnsi="Times New Roman;serif"/>
          <w:b w:val="false"/>
          <w:i/>
          <w:color w:val="000000"/>
          <w:sz w:val="20"/>
        </w:rPr>
        <w:t xml:space="preserve">Summary of Significant Accounting Policies </w:t>
      </w:r>
      <w:r>
        <w:rPr>
          <w:rFonts w:ascii="Times New Roman;serif" w:hAnsi="Times New Roman;serif"/>
          <w:b w:val="false"/>
          <w:color w:val="000000"/>
          <w:sz w:val="20"/>
        </w:rPr>
        <w:t>included in Part II, Item 8 of this Form 10-K and are in accordance with U.S. GAAP.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accounting for acquisitions, including intangible assets, goodwill and contingent consideration; income taxes; and the impact of existing legal matters.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recognize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Chargebacks</w:t>
      </w:r>
      <w:r>
        <w:rPr>
          <w:rFonts w:ascii="Times New Roman;serif" w:hAnsi="Times New Roman;serif"/>
          <w:b w:val="false"/>
          <w:color w:val="000000"/>
          <w:sz w:val="20"/>
        </w:rPr>
        <w:t>: the Company has agreements with certain indirect customers, such as independent pharmacies, retail pharmacy chains, managed care organizations, hospitals, nursing homes, governmental agencies and PBMs,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Rebates, promotional programs and other sales allowances</w:t>
      </w:r>
      <w:r>
        <w:rPr>
          <w:rFonts w:ascii="Times New Roman;serif" w:hAnsi="Times New Roman;serif"/>
          <w:b w:val="false"/>
          <w:color w:val="000000"/>
          <w:sz w:val="20"/>
        </w:rPr>
        <w:t>: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$56.7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Returns</w:t>
      </w:r>
      <w:r>
        <w:rPr>
          <w:rFonts w:ascii="Times New Roman;serif" w:hAnsi="Times New Roman;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 A change of 5% would have an effect on our reserve balance of approximately $17.5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Governmental rebate programs</w:t>
      </w:r>
      <w:r>
        <w:rPr>
          <w:rFonts w:ascii="Times New Roman;serif" w:hAnsi="Times New Roman;serif"/>
          <w:b w:val="false"/>
          <w:color w:val="000000"/>
          <w:sz w:val="20"/>
        </w:rPr>
        <w:t xml:space="preserve">: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change of 5% would have an effect on our reserve balance of approximately $17.2 million.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rollforward of the categories of variable consideration during 2025:</w:t>
      </w:r>
    </w:p>
    <w:tbl>
      <w:tblPr>
        <w:tblW w:w="10205" w:type="dxa"/>
        <w:jc w:val="left"/>
        <w:tblInd w:w="0" w:type="dxa"/>
        <w:tblLayout w:type="fixed"/>
        <w:tblCellMar>
          <w:top w:w="28" w:type="dxa"/>
          <w:left w:w="28" w:type="dxa"/>
          <w:bottom w:w="28" w:type="dxa"/>
          <w:right w:w="28" w:type="dxa"/>
        </w:tblCellMar>
      </w:tblPr>
      <w:tblGrid>
        <w:gridCol w:w="735"/>
        <w:gridCol w:w="569"/>
        <w:gridCol w:w="573"/>
        <w:gridCol w:w="251"/>
        <w:gridCol w:w="911"/>
        <w:gridCol w:w="129"/>
        <w:gridCol w:w="109"/>
        <w:gridCol w:w="109"/>
        <w:gridCol w:w="109"/>
        <w:gridCol w:w="330"/>
        <w:gridCol w:w="1199"/>
        <w:gridCol w:w="170"/>
        <w:gridCol w:w="109"/>
        <w:gridCol w:w="109"/>
        <w:gridCol w:w="109"/>
        <w:gridCol w:w="109"/>
        <w:gridCol w:w="109"/>
        <w:gridCol w:w="266"/>
        <w:gridCol w:w="1010"/>
        <w:gridCol w:w="137"/>
        <w:gridCol w:w="109"/>
        <w:gridCol w:w="109"/>
        <w:gridCol w:w="109"/>
        <w:gridCol w:w="267"/>
        <w:gridCol w:w="648"/>
        <w:gridCol w:w="138"/>
        <w:gridCol w:w="109"/>
        <w:gridCol w:w="109"/>
        <w:gridCol w:w="109"/>
        <w:gridCol w:w="249"/>
        <w:gridCol w:w="906"/>
        <w:gridCol w:w="191"/>
      </w:tblGrid>
      <w:tr>
        <w:trPr/>
        <w:tc>
          <w:tcPr>
            <w:tcW w:w="7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Provision Related to Sales Made in the Current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(9,842.3)</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2025 and 2024,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Acquisitions, including Intangible Assets, Goodwill and Contingent Consideration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accounts for acquired businesses using the acquisition method of accounting in accordance with the provisions of ASC 805</w:t>
      </w:r>
      <w:r>
        <w:rPr>
          <w:rFonts w:ascii="Times New Roman;serif" w:hAnsi="Times New Roman;serif"/>
          <w:b w:val="false"/>
          <w:i/>
          <w:color w:val="000000"/>
          <w:sz w:val="20"/>
        </w:rPr>
        <w:t>, Business Combinations</w:t>
      </w:r>
      <w:r>
        <w:rPr>
          <w:rFonts w:ascii="Times New Roman;serif" w:hAnsi="Times New Roman;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serif" w:hAnsi="Times New Roman;serif"/>
          <w:b w:val="false"/>
          <w:i/>
          <w:color w:val="000000"/>
          <w:sz w:val="20"/>
        </w:rPr>
        <w:t xml:space="preserve">Acquisitions and Other Transactions </w:t>
      </w:r>
      <w:r>
        <w:rPr>
          <w:rFonts w:ascii="Times New Roman;serif" w:hAnsi="Times New Roman;serif"/>
          <w:b w:val="false"/>
          <w:color w:val="000000"/>
          <w:sz w:val="20"/>
        </w:rPr>
        <w:t>and Note</w:t>
      </w:r>
      <w:r>
        <w:rPr>
          <w:color w:val="000000"/>
        </w:rPr>
        <w:t xml:space="preserve"> </w:t>
      </w:r>
      <w:r>
        <w:rPr>
          <w:rFonts w:ascii="Times New Roman;serif" w:hAnsi="Times New Roman;serif"/>
          <w:b w:val="false"/>
          <w:color w:val="000000"/>
          <w:sz w:val="20"/>
        </w:rPr>
        <w:t xml:space="preserve">8 </w:t>
      </w:r>
      <w:r>
        <w:rPr>
          <w:rFonts w:ascii="Times New Roman;serif" w:hAnsi="Times New Roman;serif"/>
          <w:b w:val="false"/>
          <w:i/>
          <w:color w:val="000000"/>
          <w:sz w:val="20"/>
        </w:rPr>
        <w:t xml:space="preserve">Goodwill and Intangible Assets </w:t>
      </w:r>
      <w:r>
        <w:rPr>
          <w:rFonts w:ascii="Times New Roman;serif" w:hAnsi="Times New Roman;serif"/>
          <w:b w:val="false"/>
          <w:color w:val="000000"/>
          <w:sz w:val="20"/>
        </w:rPr>
        <w:t>included in Part II, Item 8 of this Form 10-K</w:t>
      </w:r>
      <w:r>
        <w:rPr>
          <w:color w:val="000000"/>
          <w:shd w:fill="FFFFFF" w:val="clear"/>
        </w:rPr>
        <w:t xml:space="preserve"> </w:t>
      </w:r>
      <w:r>
        <w:rPr>
          <w:rFonts w:ascii="Times New Roman;serif" w:hAnsi="Times New Roman;serif"/>
          <w:b w:val="false"/>
          <w:color w:val="000000"/>
          <w:sz w:val="20"/>
          <w:shd w:fill="FFFFFF" w:val="clear"/>
        </w:rPr>
        <w:t>for additional information.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of developed products and licenses that are accounted for as asset acquisitions, including milestone payments related to development compounds due upon receipt of regulatory approvals, are capitalized as intangible assets and amortized over an estimated useful life. IPR&amp;D assets acquired as part of an asset acquisition are expensed immediately if they have no alternative future uses.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assess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At December 31, 2025 and 2024, the Company’s finite-lived intangible assets totaled $14.40 billion and $16.26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2025 and 2024, the Company recorded $73.9 million and $177.1 million, respectively, of impairment charges, which were recorded as a component of amortization expense. There were no IPR&amp;D impairment charges in 2023. At December 31, 2025 and 2024, the Company’s IPR&amp;D assets totaled $706.0 million and $814.2 million, respectively.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erif" w:hAnsi="Times New Roman;serif"/>
          <w:b w:val="false"/>
          <w:i/>
          <w:color w:val="000000"/>
          <w:sz w:val="20"/>
        </w:rPr>
        <w:t xml:space="preserve">Financial Instruments and Risk Management </w:t>
      </w:r>
      <w:r>
        <w:rPr>
          <w:rFonts w:ascii="Times New Roman;serif" w:hAnsi="Times New Roman;serif"/>
          <w:b w:val="false"/>
          <w:color w:val="000000"/>
          <w:sz w:val="20"/>
        </w:rPr>
        <w:t xml:space="preserve">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2025, our reserve for unrecognized tax benefits totaled $263.2 million, of which $170.1 million was recorded in connection with the Combination and is subject to Pfizer’s indemnification obligations to Viatris under the Tax Matters Agreement.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2025. Such objective evidence limits the ability to consider other subjective evidence such as our projections for future growth.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this evaluation and other factors, as of December 31, 2025, a valuation allowance of $1.44 billion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2025 and 2024, the Company’s net deferred tax assets totaled $1.06 billion and $753.0 million,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variance of 5% between estimated reserves and valuation allowances and actual resolution and realization of these tax items would have an effect on our reserve balance and valuation allowance of approximately $85.0 million.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ability to pay dividends or repurchase shares, and/or stock price, such estimates are considered to be critical accounting estimates.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 variance of 5% between estimated and recorded litigation reserves and actual resolution of certain legal matters would have an effect on our litigation reserve balance of approximately $26.7 million. Refer to Note 20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included in Part II, Item 8 of this Form 10-K for further discussion of litigation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Impact of Currency Fluctuations and Inflation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In recent years, the global economy has experienced significant volatility, including inflation, increased interest rates and rising energy costs. While inflationary and other macroeconomic pressures may ease and interest rates may decline, we do not expect to see a corresponding reduction in these higher costs. These macroeconomic pressures combined with the volatility in foreign exchange rates, including the strengthening of the U.S. Dollar versus certain of the other currencies in which we operate, have impacted and may continue to impact our results of operations. We proactively look to manage such macroeconomic pressures by implementing strategies to mitigate and partially offset the impact of these factors.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Refer to Note 2 </w:t>
      </w:r>
      <w:r>
        <w:rPr>
          <w:rFonts w:ascii="Times New Roman;serif" w:hAnsi="Times New Roman;serif"/>
          <w:b w:val="false"/>
          <w:i/>
          <w:color w:val="000000"/>
          <w:sz w:val="20"/>
        </w:rPr>
        <w:t xml:space="preserve">Summary of Significant Accounting Policies </w:t>
      </w:r>
      <w:r>
        <w:rPr>
          <w:rFonts w:ascii="Times New Roman;serif" w:hAnsi="Times New Roman;serif"/>
          <w:b w:val="false"/>
          <w:color w:val="000000"/>
          <w:sz w:val="20"/>
        </w:rPr>
        <w:t>included in Part II, Item 8 of this Form 10-K for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7A.Quantitative and Qualitative Disclosures About Market Risk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Any unhedged foreign exchange exposures continue to be subject to market fluctuations.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instrument holdings at year end were analyzed to determine their sensitivity to foreign exchange rate changes. The fair values of these instruments were determined as follows: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foreign currency forward-exchange contracts — net present values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foreign currency denominated receivables, payables, debt and loans — changes in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sensitivity analysis, we assumed that the change in one currency’s rate relative to the U.S. Dollar would not have an effect on other currencies’ rates relative to the U.S. Dollar. All other factors were held constant.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there were an adverse change in foreign currency exchange rates of 10%, the expected net effect on net income related to Viatris’ foreign currency denominated financial instruments would not be material.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also exposed to translation risk on non-U.S. Dollar-denominated net assets. Non-U.S. Dollar borrowings, principally our Euro and Yen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and Long-Term Debt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Viatris’ outstanding fixed rate borrowings consist principally of $13.72 billion notional amount of senior U.S. Dollar and Euro notes. Generally, the fair value of fixed interest rate debt will decrease as interest rates rise and increase as interest rates fall. As of December 31, 2025, the fair value of our outstanding fixed rate senior U.S. Dollar and Euro notes was approximately $11.99 billion. As of December 31, 2025, Viatris’ outstanding variable rate borrowings consist principally of borrowings under the Yen Term Loan Facility of $255.2 million. A 100 basis point change in interest rates on Viatris’ variable rate debt would result in a change in interest expense of approximately $2.6 million per year.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Risk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fair value risk exposure relates primarily to our equity investments that do not have readily determinable fair values, principally the CCPS received as part of the Biocon Biologics Transaction. As of December 31, 2025 and 2024, the carrying value of these investments were approximately $815.0 million and $1.35 billion, respectively. A hypothetical 20 percent decline in the fair value of these investments would have decreased the carrying value and increased other expense (income), net by approximately $163.0 million at December 31, 2025.</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8.Financial Statements And Supplementary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 and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Supplementary Financial Information</w:t>
      </w:r>
    </w:p>
    <w:tbl>
      <w:tblPr>
        <w:tblW w:w="10125" w:type="dxa"/>
        <w:jc w:val="left"/>
        <w:tblInd w:w="0" w:type="dxa"/>
        <w:tblLayout w:type="fixed"/>
        <w:tblCellMar>
          <w:top w:w="28" w:type="dxa"/>
          <w:left w:w="28" w:type="dxa"/>
          <w:bottom w:w="28" w:type="dxa"/>
          <w:right w:w="28" w:type="dxa"/>
        </w:tblCellMar>
      </w:tblPr>
      <w:tblGrid>
        <w:gridCol w:w="3458"/>
        <w:gridCol w:w="3045"/>
        <w:gridCol w:w="3051"/>
        <w:gridCol w:w="167"/>
        <w:gridCol w:w="167"/>
        <w:gridCol w:w="237"/>
      </w:tblGrid>
      <w:tr>
        <w:trPr/>
        <w:tc>
          <w:tcPr>
            <w:tcW w:w="3458"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30">
              <w:r>
                <w:rPr>
                  <w:rStyle w:val="InternetLink"/>
                  <w:rFonts w:ascii="Times New Roman;serif" w:hAnsi="Times New Roman;serif"/>
                  <w:b w:val="false"/>
                  <w:color w:val="0000FF"/>
                  <w:sz w:val="20"/>
                  <w:u w:val="single"/>
                </w:rPr>
                <w:t>Management’s Report on Internal Control over Financial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30">
              <w:r>
                <w:rPr>
                  <w:rStyle w:val="InternetLink"/>
                  <w:rFonts w:ascii="Times New Roman;serif" w:hAnsi="Times New Roman;serif"/>
                  <w:b w:val="false"/>
                  <w:color w:val="0000FF"/>
                  <w:sz w:val="20"/>
                  <w:u w:val="single"/>
                </w:rPr>
                <w:t>83</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33">
              <w:r>
                <w:rPr>
                  <w:rStyle w:val="InternetLink"/>
                  <w:rFonts w:ascii="Times New Roman;serif" w:hAnsi="Times New Roman;serif"/>
                  <w:b w:val="false"/>
                  <w:color w:val="0000FF"/>
                  <w:sz w:val="20"/>
                  <w:u w:val="single"/>
                </w:rPr>
                <w:t xml:space="preserve">Reports of Independent Registered Public Accounting Firm </w:t>
              </w:r>
            </w:hyperlink>
            <w:r>
              <w:rPr>
                <w:rFonts w:ascii="Times New Roman;serif" w:hAnsi="Times New Roman;serif"/>
                <w:b w:val="false"/>
                <w:color w:val="000000"/>
                <w:sz w:val="20"/>
              </w:rPr>
              <w:t>(PCAOB ID No. 34)</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33">
              <w:r>
                <w:rPr>
                  <w:rStyle w:val="InternetLink"/>
                  <w:rFonts w:ascii="Times New Roman;serif" w:hAnsi="Times New Roman;serif"/>
                  <w:b w:val="false"/>
                  <w:color w:val="0000FF"/>
                  <w:sz w:val="20"/>
                  <w:u w:val="single"/>
                </w:rPr>
                <w:t>84</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39">
              <w:r>
                <w:rPr>
                  <w:rStyle w:val="InternetLink"/>
                  <w:rFonts w:ascii="Times New Roman;serif" w:hAnsi="Times New Roman;serif"/>
                  <w:b w:val="false"/>
                  <w:color w:val="000080"/>
                  <w:sz w:val="20"/>
                  <w:u w:val="single"/>
                </w:rPr>
                <w:t>Consolidated Balance Sheets as of December 31, 202</w:t>
              </w:r>
            </w:hyperlink>
            <w:hyperlink w:anchor="ibf5bec8029254c079063330130bbea5e_139">
              <w:r>
                <w:rPr>
                  <w:rStyle w:val="InternetLink"/>
                  <w:rFonts w:ascii="Times New Roman;serif" w:hAnsi="Times New Roman;serif"/>
                  <w:b w:val="false"/>
                  <w:color w:val="000080"/>
                  <w:sz w:val="20"/>
                  <w:u w:val="single"/>
                </w:rPr>
                <w:t>5</w:t>
              </w:r>
            </w:hyperlink>
            <w:hyperlink w:anchor="ibf5bec8029254c079063330130bbea5e_139">
              <w:r>
                <w:rPr>
                  <w:rStyle w:val="InternetLink"/>
                  <w:rFonts w:ascii="Times New Roman;serif" w:hAnsi="Times New Roman;serif"/>
                  <w:b w:val="false"/>
                  <w:color w:val="000080"/>
                  <w:sz w:val="20"/>
                  <w:u w:val="single"/>
                </w:rPr>
                <w:t xml:space="preserve"> and 20</w:t>
              </w:r>
            </w:hyperlink>
            <w:hyperlink w:anchor="ibf5bec8029254c079063330130bbea5e_139">
              <w:r>
                <w:rPr>
                  <w:rStyle w:val="InternetLink"/>
                  <w:rFonts w:ascii="Times New Roman;serif" w:hAnsi="Times New Roman;serif"/>
                  <w:b w:val="false"/>
                  <w:color w:val="000080"/>
                  <w:sz w:val="20"/>
                  <w:u w:val="single"/>
                </w:rPr>
                <w:t>24</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39">
              <w:r>
                <w:rPr>
                  <w:rStyle w:val="InternetLink"/>
                  <w:rFonts w:ascii="Times New Roman;serif" w:hAnsi="Times New Roman;serif"/>
                  <w:b w:val="false"/>
                  <w:color w:val="0000FF"/>
                  <w:sz w:val="20"/>
                  <w:u w:val="single"/>
                </w:rPr>
                <w:t>87</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42">
              <w:r>
                <w:rPr>
                  <w:rStyle w:val="InternetLink"/>
                  <w:rFonts w:ascii="Times New Roman;serif" w:hAnsi="Times New Roman;serif"/>
                  <w:b w:val="false"/>
                  <w:color w:val="000080"/>
                  <w:sz w:val="20"/>
                  <w:u w:val="single"/>
                </w:rPr>
                <w:t>Consolidated Statements of Operations for the Years Ended December 31, 202</w:t>
              </w:r>
            </w:hyperlink>
            <w:hyperlink w:anchor="ibf5bec8029254c079063330130bbea5e_142">
              <w:r>
                <w:rPr>
                  <w:rStyle w:val="InternetLink"/>
                  <w:rFonts w:ascii="Times New Roman;serif" w:hAnsi="Times New Roman;serif"/>
                  <w:b w:val="false"/>
                  <w:color w:val="000080"/>
                  <w:sz w:val="20"/>
                  <w:u w:val="single"/>
                </w:rPr>
                <w:t>5</w:t>
              </w:r>
            </w:hyperlink>
            <w:hyperlink w:anchor="ibf5bec8029254c079063330130bbea5e_142">
              <w:r>
                <w:rPr>
                  <w:rStyle w:val="InternetLink"/>
                  <w:rFonts w:ascii="Times New Roman;serif" w:hAnsi="Times New Roman;serif"/>
                  <w:b w:val="false"/>
                  <w:color w:val="000080"/>
                  <w:sz w:val="20"/>
                  <w:u w:val="single"/>
                </w:rPr>
                <w:t>, 202</w:t>
              </w:r>
            </w:hyperlink>
            <w:hyperlink w:anchor="ibf5bec8029254c079063330130bbea5e_142">
              <w:r>
                <w:rPr>
                  <w:rStyle w:val="InternetLink"/>
                  <w:rFonts w:ascii="Times New Roman;serif" w:hAnsi="Times New Roman;serif"/>
                  <w:b w:val="false"/>
                  <w:color w:val="000080"/>
                  <w:sz w:val="20"/>
                  <w:u w:val="single"/>
                </w:rPr>
                <w:t>4</w:t>
              </w:r>
            </w:hyperlink>
            <w:hyperlink w:anchor="ibf5bec8029254c079063330130bbea5e_142">
              <w:r>
                <w:rPr>
                  <w:rStyle w:val="InternetLink"/>
                  <w:rFonts w:ascii="Times New Roman;serif" w:hAnsi="Times New Roman;serif"/>
                  <w:b w:val="false"/>
                  <w:color w:val="000080"/>
                  <w:sz w:val="20"/>
                  <w:u w:val="single"/>
                </w:rPr>
                <w:t xml:space="preserve"> and 20</w:t>
              </w:r>
            </w:hyperlink>
            <w:hyperlink w:anchor="ibf5bec8029254c079063330130bbea5e_142">
              <w:r>
                <w:rPr>
                  <w:rStyle w:val="InternetLink"/>
                  <w:rFonts w:ascii="Times New Roman;serif" w:hAnsi="Times New Roman;serif"/>
                  <w:b w:val="false"/>
                  <w:color w:val="000080"/>
                  <w:sz w:val="20"/>
                  <w:u w:val="single"/>
                </w:rPr>
                <w:t>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42">
              <w:r>
                <w:rPr>
                  <w:rStyle w:val="InternetLink"/>
                  <w:rFonts w:ascii="Times New Roman;serif" w:hAnsi="Times New Roman;serif"/>
                  <w:b w:val="false"/>
                  <w:color w:val="0000FF"/>
                  <w:sz w:val="20"/>
                  <w:u w:val="single"/>
                </w:rPr>
                <w:t>88</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45">
              <w:r>
                <w:rPr>
                  <w:rStyle w:val="InternetLink"/>
                  <w:rFonts w:ascii="Times New Roman;serif" w:hAnsi="Times New Roman;serif"/>
                  <w:b w:val="false"/>
                  <w:color w:val="000080"/>
                  <w:sz w:val="20"/>
                  <w:u w:val="single"/>
                </w:rPr>
                <w:t>Consolidated Statements of Comprehensive (Loss) Earnings for the Years Ended December 31, 202</w:t>
              </w:r>
            </w:hyperlink>
            <w:hyperlink w:anchor="ibf5bec8029254c079063330130bbea5e_145">
              <w:r>
                <w:rPr>
                  <w:rStyle w:val="InternetLink"/>
                  <w:rFonts w:ascii="Times New Roman;serif" w:hAnsi="Times New Roman;serif"/>
                  <w:b w:val="false"/>
                  <w:color w:val="000080"/>
                  <w:sz w:val="20"/>
                  <w:u w:val="single"/>
                </w:rPr>
                <w:t>5</w:t>
              </w:r>
            </w:hyperlink>
            <w:hyperlink w:anchor="ibf5bec8029254c079063330130bbea5e_145">
              <w:r>
                <w:rPr>
                  <w:rStyle w:val="InternetLink"/>
                  <w:rFonts w:ascii="Times New Roman;serif" w:hAnsi="Times New Roman;serif"/>
                  <w:b w:val="false"/>
                  <w:color w:val="000080"/>
                  <w:sz w:val="20"/>
                  <w:u w:val="single"/>
                </w:rPr>
                <w:t>, 202</w:t>
              </w:r>
            </w:hyperlink>
            <w:hyperlink w:anchor="ibf5bec8029254c079063330130bbea5e_145">
              <w:r>
                <w:rPr>
                  <w:rStyle w:val="InternetLink"/>
                  <w:rFonts w:ascii="Times New Roman;serif" w:hAnsi="Times New Roman;serif"/>
                  <w:b w:val="false"/>
                  <w:color w:val="000080"/>
                  <w:sz w:val="20"/>
                  <w:u w:val="single"/>
                </w:rPr>
                <w:t>4</w:t>
              </w:r>
            </w:hyperlink>
            <w:hyperlink w:anchor="ibf5bec8029254c079063330130bbea5e_145">
              <w:r>
                <w:rPr>
                  <w:rStyle w:val="InternetLink"/>
                  <w:rFonts w:ascii="Times New Roman;serif" w:hAnsi="Times New Roman;serif"/>
                  <w:b w:val="false"/>
                  <w:color w:val="000080"/>
                  <w:sz w:val="20"/>
                  <w:u w:val="single"/>
                </w:rPr>
                <w:t xml:space="preserve"> and 20</w:t>
              </w:r>
            </w:hyperlink>
            <w:hyperlink w:anchor="ibf5bec8029254c079063330130bbea5e_145">
              <w:r>
                <w:rPr>
                  <w:rStyle w:val="InternetLink"/>
                  <w:rFonts w:ascii="Times New Roman;serif" w:hAnsi="Times New Roman;serif"/>
                  <w:b w:val="false"/>
                  <w:color w:val="000080"/>
                  <w:sz w:val="20"/>
                  <w:u w:val="single"/>
                </w:rPr>
                <w:t>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45">
              <w:r>
                <w:rPr>
                  <w:rStyle w:val="InternetLink"/>
                  <w:rFonts w:ascii="Times New Roman;serif" w:hAnsi="Times New Roman;serif"/>
                  <w:b w:val="false"/>
                  <w:color w:val="0000FF"/>
                  <w:sz w:val="20"/>
                  <w:u w:val="single"/>
                </w:rPr>
                <w:t>89</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bf5bec8029254c079063330130bbea5e_148">
              <w:r>
                <w:rPr>
                  <w:rStyle w:val="InternetLink"/>
                  <w:rFonts w:ascii="Times New Roman;serif" w:hAnsi="Times New Roman;serif"/>
                  <w:b w:val="false"/>
                  <w:color w:val="000080"/>
                  <w:sz w:val="20"/>
                  <w:u w:val="single"/>
                </w:rPr>
                <w:t>Consolidated Statements of Equity for the Years Ended December 31, 202</w:t>
              </w:r>
            </w:hyperlink>
            <w:hyperlink w:anchor="ibf5bec8029254c079063330130bbea5e_148">
              <w:r>
                <w:rPr>
                  <w:rStyle w:val="InternetLink"/>
                  <w:rFonts w:ascii="Times New Roman;serif" w:hAnsi="Times New Roman;serif"/>
                  <w:b w:val="false"/>
                  <w:color w:val="000080"/>
                  <w:sz w:val="20"/>
                  <w:u w:val="single"/>
                </w:rPr>
                <w:t>5</w:t>
              </w:r>
            </w:hyperlink>
            <w:hyperlink w:anchor="ibf5bec8029254c079063330130bbea5e_148">
              <w:r>
                <w:rPr>
                  <w:rStyle w:val="InternetLink"/>
                  <w:rFonts w:ascii="Times New Roman;serif" w:hAnsi="Times New Roman;serif"/>
                  <w:b w:val="false"/>
                  <w:color w:val="000080"/>
                  <w:sz w:val="20"/>
                  <w:u w:val="single"/>
                </w:rPr>
                <w:t>, 202</w:t>
              </w:r>
            </w:hyperlink>
            <w:hyperlink w:anchor="ibf5bec8029254c079063330130bbea5e_148">
              <w:r>
                <w:rPr>
                  <w:rStyle w:val="InternetLink"/>
                  <w:rFonts w:ascii="Times New Roman;serif" w:hAnsi="Times New Roman;serif"/>
                  <w:b w:val="false"/>
                  <w:color w:val="000080"/>
                  <w:sz w:val="20"/>
                  <w:u w:val="single"/>
                </w:rPr>
                <w:t>4</w:t>
              </w:r>
            </w:hyperlink>
            <w:hyperlink w:anchor="ibf5bec8029254c079063330130bbea5e_148">
              <w:r>
                <w:rPr>
                  <w:rStyle w:val="InternetLink"/>
                  <w:rFonts w:ascii="Times New Roman;serif" w:hAnsi="Times New Roman;serif"/>
                  <w:b w:val="false"/>
                  <w:color w:val="000080"/>
                  <w:sz w:val="20"/>
                  <w:u w:val="single"/>
                </w:rPr>
                <w:t xml:space="preserve"> and 20</w:t>
              </w:r>
            </w:hyperlink>
            <w:hyperlink w:anchor="ibf5bec8029254c079063330130bbea5e_148">
              <w:r>
                <w:rPr>
                  <w:rStyle w:val="InternetLink"/>
                  <w:rFonts w:ascii="Times New Roman;serif" w:hAnsi="Times New Roman;serif"/>
                  <w:b w:val="false"/>
                  <w:color w:val="000080"/>
                  <w:sz w:val="20"/>
                  <w:u w:val="single"/>
                </w:rPr>
                <w:t>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48">
              <w:r>
                <w:rPr>
                  <w:rStyle w:val="InternetLink"/>
                  <w:rFonts w:ascii="Times New Roman;serif" w:hAnsi="Times New Roman;serif"/>
                  <w:b w:val="false"/>
                  <w:color w:val="0000FF"/>
                  <w:sz w:val="20"/>
                  <w:u w:val="single"/>
                </w:rPr>
                <w:t>90</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51">
              <w:r>
                <w:rPr>
                  <w:rStyle w:val="InternetLink"/>
                  <w:rFonts w:ascii="Times New Roman;serif" w:hAnsi="Times New Roman;serif"/>
                  <w:b w:val="false"/>
                  <w:color w:val="000080"/>
                  <w:sz w:val="20"/>
                  <w:u w:val="single"/>
                </w:rPr>
                <w:t>Consolidated Statements of Cash Flows for the Years Ended December 31, 202</w:t>
              </w:r>
            </w:hyperlink>
            <w:hyperlink w:anchor="ibf5bec8029254c079063330130bbea5e_151">
              <w:r>
                <w:rPr>
                  <w:rStyle w:val="InternetLink"/>
                  <w:rFonts w:ascii="Times New Roman;serif" w:hAnsi="Times New Roman;serif"/>
                  <w:b w:val="false"/>
                  <w:color w:val="000080"/>
                  <w:sz w:val="20"/>
                  <w:u w:val="single"/>
                </w:rPr>
                <w:t>5,</w:t>
              </w:r>
            </w:hyperlink>
            <w:hyperlink w:anchor="ibf5bec8029254c079063330130bbea5e_151">
              <w:r>
                <w:rPr>
                  <w:rStyle w:val="InternetLink"/>
                  <w:rFonts w:ascii="Times New Roman;serif" w:hAnsi="Times New Roman;serif"/>
                  <w:b w:val="false"/>
                  <w:color w:val="000080"/>
                  <w:sz w:val="20"/>
                  <w:u w:val="single"/>
                </w:rPr>
                <w:t xml:space="preserve"> 202</w:t>
              </w:r>
            </w:hyperlink>
            <w:hyperlink w:anchor="ibf5bec8029254c079063330130bbea5e_151">
              <w:r>
                <w:rPr>
                  <w:rStyle w:val="InternetLink"/>
                  <w:rFonts w:ascii="Times New Roman;serif" w:hAnsi="Times New Roman;serif"/>
                  <w:b w:val="false"/>
                  <w:color w:val="000080"/>
                  <w:sz w:val="20"/>
                  <w:u w:val="single"/>
                </w:rPr>
                <w:t>4</w:t>
              </w:r>
            </w:hyperlink>
            <w:hyperlink w:anchor="ibf5bec8029254c079063330130bbea5e_151">
              <w:r>
                <w:rPr>
                  <w:rStyle w:val="InternetLink"/>
                  <w:rFonts w:ascii="Times New Roman;serif" w:hAnsi="Times New Roman;serif"/>
                  <w:b w:val="false"/>
                  <w:color w:val="000080"/>
                  <w:sz w:val="20"/>
                  <w:u w:val="single"/>
                </w:rPr>
                <w:t xml:space="preserve"> and 20</w:t>
              </w:r>
            </w:hyperlink>
            <w:hyperlink w:anchor="ibf5bec8029254c079063330130bbea5e_151">
              <w:r>
                <w:rPr>
                  <w:rStyle w:val="InternetLink"/>
                  <w:rFonts w:ascii="Times New Roman;serif" w:hAnsi="Times New Roman;serif"/>
                  <w:b w:val="false"/>
                  <w:color w:val="000080"/>
                  <w:sz w:val="20"/>
                  <w:u w:val="single"/>
                </w:rPr>
                <w:t>23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51">
              <w:r>
                <w:rPr>
                  <w:rStyle w:val="InternetLink"/>
                  <w:rFonts w:ascii="Times New Roman;serif" w:hAnsi="Times New Roman;serif"/>
                  <w:b w:val="false"/>
                  <w:color w:val="0000FF"/>
                  <w:sz w:val="20"/>
                  <w:u w:val="single"/>
                </w:rPr>
                <w:t>91</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f5bec8029254c079063330130bbea5e_154">
              <w:r>
                <w:rPr>
                  <w:rStyle w:val="InternetLink"/>
                  <w:rFonts w:ascii="Times New Roman;serif" w:hAnsi="Times New Roman;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f5bec8029254c079063330130bbea5e_154">
              <w:r>
                <w:rPr>
                  <w:rStyle w:val="InternetLink"/>
                  <w:rFonts w:ascii="Times New Roman;serif" w:hAnsi="Times New Roman;serif"/>
                  <w:b w:val="false"/>
                  <w:color w:val="0000FF"/>
                  <w:sz w:val="20"/>
                  <w:u w:val="single"/>
                </w:rPr>
                <w:t>92</w:t>
              </w:r>
            </w:hyperlink>
          </w:p>
        </w:tc>
      </w:tr>
      <w:tr>
        <w:trPr/>
        <w:tc>
          <w:tcPr>
            <w:tcW w:w="9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240"/>
        <w:ind w:left="0" w:right="0" w:firstLine="720"/>
        <w:jc w:val="left"/>
        <w:rPr/>
      </w:pPr>
      <w:r>
        <w:rPr>
          <w:rFonts w:ascii="Times New Roman;serif" w:hAnsi="Times New Roman;serif"/>
          <w:b w:val="false"/>
          <w:color w:val="000000"/>
          <w:sz w:val="20"/>
        </w:rPr>
        <w:t>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w:t>
      </w:r>
      <w:r>
        <w:rPr>
          <w:color w:val="000000"/>
        </w:rPr>
        <w:t xml:space="preserv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2013)</w:t>
      </w:r>
      <w:r>
        <w:rPr>
          <w:rFonts w:ascii="Times New Roman;serif" w:hAnsi="Times New Roman;serif"/>
          <w:b w:val="false"/>
          <w:color w:val="000000"/>
          <w:sz w:val="20"/>
        </w:rPr>
        <w:t>, issued by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As a result of this assessment, management has concluded that the Company maintained effective internal control over financial reporting as of December 31, 2025 based on the criteria in</w:t>
      </w:r>
      <w:r>
        <w:rPr>
          <w:color w:val="000000"/>
        </w:rPr>
        <w:t xml:space="preserve">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Deloitte &amp; Touche LLP (PCAOB ID No. 34), has audited the effectiveness of the Company’s internal control over financial reporting. Deloitte &amp; Touche LLP’s opinion on the Company’s internal control over financial reporting appears on page 86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Viatris Inc.:</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Viatris Inc. and subsidiaries (the "Company") as of December 31, 2025 and 2024, the related consolidated statements of operations, comprehensive (loss) earnings,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 xml:space="preserve">Internal Control — Integrated Framework (2013) </w:t>
      </w:r>
      <w:r>
        <w:rPr>
          <w:rFonts w:ascii="Times New Roman;serif" w:hAnsi="Times New Roman;serif"/>
          <w:b w:val="false"/>
          <w:color w:val="000000"/>
          <w:sz w:val="20"/>
        </w:rPr>
        <w:t>issued by the Committee of Sponsoring Organizations of the Treadway Commission and our report dated February 26, 2026, expressed an unqualified opinion on the Company's internal control over financial reporting.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Goodwill – Viatris Inc. All Reporting Units – Refer to Note 8 to the financial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an interim goodwill impairment test as of March 31, 2025 and an annual goodwill impairment test as of April 1, 2025. As of March 31, 2025, the Company had approximately $9.4 billion of consolidated goodwill, which was allocated to its North America ($3.1 billion), Europe ($3.9 billion), Greater China ($0.9 billion), JANZ ($0.3 billion), and Emerging Markets ($1.2 billion) reporting units prior to any impairment charges. The Company’s evaluation of goodwill for impairment involves the comparison of the estimated fair value of each reporting unit to its carrying value. The Company performed its valuation analysis, using an income-based approach, to determine the fair value of its reporting units. The determination of the fair value requires management to make significant estimates and assumptions that affect the reporting unit’s expected future cash flows. These estimates and assumptions, utilizing Level 3 valuation inputs, primarily include, but are not limited to, discount rates, terminal growth rates, operating income before depreciation and amortization, and capital expenditures forecasts. During the quarter ended March 31, 2025, the Company recorded goodwill impairment charges for the North America ($707.0 million), Europe ($1,554.0 million), JANZ ($300.8 million), and Emerging Markets ($375.0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reporting units, for a total of $2.9 billion. The impairment charges were primarily the result of significant increases in the business risks and uncertainty, which led to increases in discount rate assumptions for each reporting unit. The fair value of the Greater China reporting unit exceeded its carrying value by approximately $322 million, or 5.8% as of March 31, 2025 and April 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that the reporting units’ revenues are sensitive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future revenues, and the selection of the discount rates and terminal growth rates required a high degree of auditor judgment and an increased extent of effort, including the need to involve our fair value specialists.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before="0" w:after="0"/>
        <w:jc w:val="left"/>
        <w:rPr/>
      </w:pPr>
      <w:r>
        <w:rPr/>
      </w:r>
    </w:p>
    <w:p>
      <w:pPr>
        <w:pStyle w:val="TextBody"/>
        <w:bidi w:val="0"/>
        <w:spacing w:lineRule="auto" w:line="28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the forecasts of future revenues (“forecasts”), and the selection of the discount rates and terminal growth rates for each reporting unit included the following procedures, among others: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We tested the effectiveness of controls over the review of the goodwill impairment tests, including those over the development of the business forecasts of future revenues and the selection of the discount rates and terminal growth rates.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evaluated management’s ability to accurately forecast future revenues of the reporting units by comparing actual results to management’s historical forecasts.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With the assistance of our fair value specialists, we evaluated the reasonableness of the valuation methodology, discount rates, and terminal growth rates, including (1) testing the source information underlying the determination of the discount rates and terminal growth rates and the mathematical accuracy of the calculations, (2) developing a range of independent estimates and comparing those to the discount rates selected by management, and (3) considering third party macroeconomic reports.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01"/>
        <w:jc w:val="left"/>
        <w:rPr/>
      </w:pPr>
      <w:r>
        <w:rPr/>
      </w:r>
    </w:p>
    <w:p>
      <w:pPr>
        <w:pStyle w:val="TextBody"/>
        <w:bidi w:val="0"/>
        <w:spacing w:before="0" w:after="0"/>
        <w:ind w:left="0" w:right="0" w:firstLine="101"/>
        <w:jc w:val="left"/>
        <w:rPr/>
      </w:pPr>
      <w:r>
        <w:rPr/>
      </w:r>
    </w:p>
    <w:p>
      <w:pPr>
        <w:pStyle w:val="TextBody"/>
        <w:bidi w:val="0"/>
        <w:spacing w:lineRule="auto" w:line="276" w:before="0" w:after="0"/>
        <w:ind w:left="0" w:right="0" w:firstLine="101"/>
        <w:jc w:val="left"/>
        <w:rPr>
          <w:rFonts w:ascii="Times New Roman;serif" w:hAnsi="Times New Roman;serif"/>
          <w:b/>
          <w:i/>
          <w:color w:val="000000"/>
          <w:sz w:val="20"/>
        </w:rPr>
      </w:pPr>
      <w:r>
        <w:rPr>
          <w:rFonts w:ascii="Times New Roman;serif" w:hAnsi="Times New Roman;serif"/>
          <w:b/>
          <w:i/>
          <w:color w:val="000000"/>
          <w:sz w:val="20"/>
        </w:rPr>
        <w:t>/s/ DELOITTE &amp; TOUCHE LLP</w:t>
      </w:r>
    </w:p>
    <w:p>
      <w:pPr>
        <w:pStyle w:val="TextBody"/>
        <w:bidi w:val="0"/>
        <w:spacing w:lineRule="auto" w:line="360" w:before="0" w:after="0"/>
        <w:ind w:left="0" w:right="0" w:firstLine="101"/>
        <w:jc w:val="left"/>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720" w:before="0" w:after="0"/>
        <w:ind w:left="0" w:right="0" w:firstLine="101"/>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720" w:before="0" w:after="0"/>
        <w:ind w:left="0" w:right="0" w:firstLine="10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1976.</w:t>
      </w:r>
    </w:p>
    <w:p>
      <w:pPr>
        <w:pStyle w:val="TextBody"/>
        <w:bidi w:val="0"/>
        <w:spacing w:before="0" w:after="24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To the shareholders and the Board of Directors of Viatris Inc.: </w:t>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0"/>
        <w:jc w:val="left"/>
        <w:rPr/>
      </w:pPr>
      <w:r>
        <w:rPr>
          <w:rFonts w:ascii="Times New Roman;serif" w:hAnsi="Times New Roman;serif"/>
          <w:b w:val="false"/>
          <w:color w:val="000000"/>
          <w:sz w:val="20"/>
        </w:rPr>
        <w:t xml:space="preserve">We have audited the internal control over financial reporting of Viatris,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 DELOITTE &amp; TOUCHE LLP</w:t>
      </w:r>
    </w:p>
    <w:p>
      <w:pPr>
        <w:pStyle w:val="TextBody"/>
        <w:bidi w:val="0"/>
        <w:spacing w:lineRule="auto" w:line="360" w:before="0" w:after="0"/>
        <w:ind w:left="0" w:right="0" w:firstLine="101"/>
        <w:jc w:val="left"/>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360" w:before="0" w:after="0"/>
        <w:ind w:left="0" w:right="0" w:firstLine="101"/>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2827"/>
        <w:gridCol w:w="2323"/>
        <w:gridCol w:w="2300"/>
        <w:gridCol w:w="211"/>
        <w:gridCol w:w="871"/>
        <w:gridCol w:w="109"/>
        <w:gridCol w:w="109"/>
        <w:gridCol w:w="109"/>
        <w:gridCol w:w="109"/>
        <w:gridCol w:w="211"/>
        <w:gridCol w:w="871"/>
        <w:gridCol w:w="155"/>
      </w:tblGrid>
      <w:tr>
        <w:trPr/>
        <w:tc>
          <w:tcPr>
            <w:tcW w:w="282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3,000,000,000 shares authorized; shares issued: 1,245,391,929 as of December 31, 2025 and 1,234,131,491 as of December 31,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 at cost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94,176,848 as of December 31, 2025 and 40,483,663 as of December 31,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3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2580"/>
                <wp:effectExtent l="0" t="0" r="0" b="0"/>
                <wp:wrapNone/>
                <wp:docPr id="91" name="Frame8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9582" w:type="dxa"/>
        <w:jc w:val="left"/>
        <w:tblInd w:w="0" w:type="dxa"/>
        <w:tblLayout w:type="fixed"/>
        <w:tblCellMar>
          <w:top w:w="28" w:type="dxa"/>
          <w:left w:w="28" w:type="dxa"/>
          <w:bottom w:w="28" w:type="dxa"/>
          <w:right w:w="28" w:type="dxa"/>
        </w:tblCellMar>
      </w:tblPr>
      <w:tblGrid>
        <w:gridCol w:w="1924"/>
        <w:gridCol w:w="1688"/>
        <w:gridCol w:w="1698"/>
        <w:gridCol w:w="211"/>
        <w:gridCol w:w="871"/>
        <w:gridCol w:w="109"/>
        <w:gridCol w:w="109"/>
        <w:gridCol w:w="109"/>
        <w:gridCol w:w="109"/>
        <w:gridCol w:w="211"/>
        <w:gridCol w:w="871"/>
        <w:gridCol w:w="109"/>
        <w:gridCol w:w="109"/>
        <w:gridCol w:w="109"/>
        <w:gridCol w:w="109"/>
        <w:gridCol w:w="211"/>
        <w:gridCol w:w="871"/>
        <w:gridCol w:w="154"/>
      </w:tblGrid>
      <w:tr>
        <w:trPr/>
        <w:tc>
          <w:tcPr>
            <w:tcW w:w="1924"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from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earnings before income taxes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attributable to Viatris Inc. shareholders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2580"/>
                <wp:effectExtent l="0" t="0" r="0" b="0"/>
                <wp:wrapNone/>
                <wp:docPr id="92" name="Frame8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Earnings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341"/>
        <w:gridCol w:w="2034"/>
        <w:gridCol w:w="1997"/>
        <w:gridCol w:w="211"/>
        <w:gridCol w:w="831"/>
        <w:gridCol w:w="109"/>
        <w:gridCol w:w="109"/>
        <w:gridCol w:w="109"/>
        <w:gridCol w:w="109"/>
        <w:gridCol w:w="211"/>
        <w:gridCol w:w="831"/>
        <w:gridCol w:w="109"/>
        <w:gridCol w:w="109"/>
        <w:gridCol w:w="109"/>
        <w:gridCol w:w="109"/>
        <w:gridCol w:w="211"/>
        <w:gridCol w:w="511"/>
        <w:gridCol w:w="155"/>
      </w:tblGrid>
      <w:tr>
        <w:trPr/>
        <w:tc>
          <w:tcPr>
            <w:tcW w:w="2341"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tax:</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gain (loss) and prior service cost related to defined benefit plans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(loss) gain on derivatives in cash flow hedging relationships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(loss) gain on derivatives in net investment hedging relationships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available-for-sale fixed income securities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 before tax</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net of tax</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2580"/>
                <wp:effectExtent l="0" t="0" r="0" b="0"/>
                <wp:wrapNone/>
                <wp:docPr id="93" name="Frame8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bookmarkStart w:id="5" w:name="ie10fc8a92e2c461da4cb47a82dfffa8a_99"/>
      <w:bookmarkEnd w:id="5"/>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amounts)</w:t>
      </w:r>
    </w:p>
    <w:tbl>
      <w:tblPr>
        <w:tblW w:w="13452" w:type="dxa"/>
        <w:jc w:val="center"/>
        <w:tblInd w:w="0" w:type="dxa"/>
        <w:tblLayout w:type="fixed"/>
        <w:tblCellMar>
          <w:top w:w="28" w:type="dxa"/>
          <w:left w:w="28" w:type="dxa"/>
          <w:bottom w:w="28" w:type="dxa"/>
          <w:right w:w="28" w:type="dxa"/>
        </w:tblCellMar>
      </w:tblPr>
      <w:tblGrid>
        <w:gridCol w:w="757"/>
        <w:gridCol w:w="296"/>
        <w:gridCol w:w="298"/>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81"/>
        <w:gridCol w:w="109"/>
        <w:gridCol w:w="109"/>
        <w:gridCol w:w="109"/>
        <w:gridCol w:w="109"/>
        <w:gridCol w:w="540"/>
        <w:gridCol w:w="541"/>
        <w:gridCol w:w="196"/>
        <w:gridCol w:w="109"/>
        <w:gridCol w:w="109"/>
        <w:gridCol w:w="109"/>
        <w:gridCol w:w="211"/>
        <w:gridCol w:w="781"/>
        <w:gridCol w:w="109"/>
        <w:gridCol w:w="109"/>
        <w:gridCol w:w="109"/>
        <w:gridCol w:w="109"/>
        <w:gridCol w:w="233"/>
        <w:gridCol w:w="862"/>
        <w:gridCol w:w="121"/>
        <w:gridCol w:w="109"/>
        <w:gridCol w:w="109"/>
        <w:gridCol w:w="109"/>
        <w:gridCol w:w="109"/>
        <w:gridCol w:w="109"/>
        <w:gridCol w:w="211"/>
        <w:gridCol w:w="871"/>
        <w:gridCol w:w="109"/>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1,213,793,231 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and stock options exercised,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7,892,041 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21,239,521 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$0.48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1,221,994,491 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21,239,521 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and stock options exercised,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11,918,687 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$0.48 per common share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1,234,131,491 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10,997,022 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53,693,185 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$0.48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1,245,391,929 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94,176,848 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2580"/>
                <wp:effectExtent l="0" t="0" r="0" b="0"/>
                <wp:wrapNone/>
                <wp:docPr id="94" name="Frame8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9459" w:type="dxa"/>
        <w:jc w:val="center"/>
        <w:tblInd w:w="0" w:type="dxa"/>
        <w:tblLayout w:type="fixed"/>
        <w:tblCellMar>
          <w:top w:w="28" w:type="dxa"/>
          <w:left w:w="28" w:type="dxa"/>
          <w:bottom w:w="28" w:type="dxa"/>
          <w:right w:w="28" w:type="dxa"/>
        </w:tblCellMar>
      </w:tblPr>
      <w:tblGrid>
        <w:gridCol w:w="2130"/>
        <w:gridCol w:w="1867"/>
        <w:gridCol w:w="1882"/>
        <w:gridCol w:w="196"/>
        <w:gridCol w:w="766"/>
        <w:gridCol w:w="109"/>
        <w:gridCol w:w="109"/>
        <w:gridCol w:w="109"/>
        <w:gridCol w:w="109"/>
        <w:gridCol w:w="196"/>
        <w:gridCol w:w="631"/>
        <w:gridCol w:w="109"/>
        <w:gridCol w:w="109"/>
        <w:gridCol w:w="109"/>
        <w:gridCol w:w="109"/>
        <w:gridCol w:w="199"/>
        <w:gridCol w:w="56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contingencies,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product rights and other,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IPR&amp;D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subsidiaries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marketable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financing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short-term borrowings,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Non-contingent payments for product rights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cash of changes in exchange rates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 —</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2580"/>
                <wp:effectExtent l="0" t="0" r="0" b="0"/>
                <wp:wrapNone/>
                <wp:docPr id="95" name="Frame9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1.Nature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patients around the world.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more than 165 countries and territories with more than 30,000 employees. The Company has 27 manufacturing, packaging, and distribution sites worldwide, more than 1,400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We conduct our business through four segments: Developed Markets, Greater China, JANZ, and Emerging Markets. Viatris is headquartered in the U.S., with global centers in Pittsburgh, Pennsylvania, Shanghai, China and Hyderabad, India.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Certain reclassifications were made to conform the prior period consolidated financial statements to the current period presentation. Charges related to the impairment of goodwill, which were previously presented in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 xml:space="preserve">in the consolidated statements of operations, and which were previously presented in </w:t>
      </w:r>
      <w:r>
        <w:rPr>
          <w:rFonts w:ascii="Times New Roman;serif" w:hAnsi="Times New Roman;serif"/>
          <w:b w:val="false"/>
          <w:i/>
          <w:color w:val="000000"/>
          <w:sz w:val="20"/>
        </w:rPr>
        <w:t xml:space="preserve">Other non-cash items </w:t>
      </w:r>
      <w:r>
        <w:rPr>
          <w:rFonts w:ascii="Times New Roman;serif" w:hAnsi="Times New Roman;serif"/>
          <w:b w:val="false"/>
          <w:color w:val="000000"/>
          <w:sz w:val="20"/>
        </w:rPr>
        <w:t xml:space="preserve">in the consolidated statements of cash flows, are now presented in </w:t>
      </w:r>
      <w:r>
        <w:rPr>
          <w:rFonts w:ascii="Times New Roman;serif" w:hAnsi="Times New Roman;serif"/>
          <w:b w:val="false"/>
          <w:i/>
          <w:color w:val="000000"/>
          <w:sz w:val="20"/>
        </w:rPr>
        <w:t>Impairment of Goodwill</w:t>
      </w:r>
      <w:r>
        <w:rPr>
          <w:color w:val="000000"/>
        </w:rPr>
        <w:t xml:space="preserve"> </w:t>
      </w:r>
      <w:r>
        <w:rPr>
          <w:rFonts w:ascii="Times New Roman;serif" w:hAnsi="Times New Roman;serif"/>
          <w:b w:val="false"/>
          <w:color w:val="000000"/>
          <w:sz w:val="20"/>
        </w:rPr>
        <w:t>in the consolidated statements of operations and the consolidated statements of cash flows.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2.Summary of Significant Accounting Policies</w:t>
      </w:r>
    </w:p>
    <w:p>
      <w:pPr>
        <w:pStyle w:val="TextBody"/>
        <w:bidi w:val="0"/>
        <w:spacing w:lineRule="auto" w:line="288" w:before="0" w:after="240"/>
        <w:ind w:left="0" w:right="0" w:firstLine="720"/>
        <w:jc w:val="left"/>
        <w:rPr/>
      </w:pPr>
      <w:r>
        <w:rPr>
          <w:rFonts w:ascii="Times New Roman;serif" w:hAnsi="Times New Roman;serif"/>
          <w:b/>
          <w:i/>
          <w:color w:val="000000"/>
          <w:sz w:val="20"/>
        </w:rPr>
        <w:t>Principles of Consolidation.</w:t>
      </w:r>
      <w:r>
        <w:rPr>
          <w:color w:val="000000"/>
        </w:rPr>
        <w:t> </w:t>
      </w:r>
      <w:r>
        <w:rPr>
          <w:rFonts w:ascii="Times New Roman;serif" w:hAnsi="Times New Roman;serif"/>
          <w:b w:val="false"/>
          <w:color w:val="000000"/>
          <w:sz w:val="20"/>
        </w:rPr>
        <w:t xml:space="preserve">The consolidated financial statements include the accounts of Viatris and those of its wholly owned and majority-owned subsidiaries. All intercompany accounts and transactions have been eliminated in consolidation. </w:t>
      </w:r>
    </w:p>
    <w:p>
      <w:pPr>
        <w:pStyle w:val="TextBody"/>
        <w:bidi w:val="0"/>
        <w:spacing w:lineRule="auto" w:line="288" w:before="0" w:after="240"/>
        <w:ind w:left="0" w:right="0" w:firstLine="720"/>
        <w:jc w:val="left"/>
        <w:rPr/>
      </w:pPr>
      <w:r>
        <w:rPr>
          <w:rFonts w:ascii="Times New Roman;serif" w:hAnsi="Times New Roman;serif"/>
          <w:b/>
          <w:i/>
          <w:color w:val="000000"/>
          <w:sz w:val="20"/>
        </w:rPr>
        <w:t>Use of Estimates in the Preparation of Financial Statements.</w:t>
      </w:r>
      <w:r>
        <w:rPr>
          <w:color w:val="000000"/>
        </w:rPr>
        <w:t> </w:t>
      </w: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pStyle w:val="TextBody"/>
        <w:bidi w:val="0"/>
        <w:spacing w:lineRule="auto" w:line="288" w:before="0" w:after="240"/>
        <w:ind w:left="0" w:right="0" w:firstLine="720"/>
        <w:jc w:val="left"/>
        <w:rPr/>
      </w:pPr>
      <w:r>
        <w:rPr>
          <w:rFonts w:ascii="Times New Roman;serif" w:hAnsi="Times New Roman;serif"/>
          <w:b/>
          <w:i/>
          <w:color w:val="000000"/>
          <w:sz w:val="20"/>
        </w:rPr>
        <w:t>Foreign Currencies.</w:t>
      </w:r>
      <w:r>
        <w:rPr>
          <w:color w:val="000000"/>
        </w:rPr>
        <w:t> </w:t>
      </w:r>
      <w:r>
        <w:rPr>
          <w:rFonts w:ascii="Times New Roman;serif" w:hAnsi="Times New Roman;serif"/>
          <w:b w:val="false"/>
          <w:color w:val="000000"/>
          <w:sz w:val="20"/>
        </w:rPr>
        <w:t>The consolidated financial statements are presented in U.S. Dollars, the reporting currency of Viatris. Statements of 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Under ASC 830, </w:t>
      </w:r>
      <w:r>
        <w:rPr>
          <w:rFonts w:ascii="Times New Roman;serif" w:hAnsi="Times New Roman;serif"/>
          <w:b w:val="false"/>
          <w:i/>
          <w:color w:val="000000"/>
          <w:sz w:val="20"/>
        </w:rPr>
        <w:t>Foreign Currency Matters</w:t>
      </w:r>
      <w:r>
        <w:rPr>
          <w:color w:val="000000"/>
        </w:rPr>
        <w:t xml:space="preserve"> </w:t>
      </w:r>
      <w:r>
        <w:rPr>
          <w:rFonts w:ascii="Times New Roman;serif" w:hAnsi="Times New Roman;serif"/>
          <w:b w:val="false"/>
          <w:color w:val="000000"/>
          <w:sz w:val="20"/>
        </w:rPr>
        <w:t xml:space="preserve">(“ASC 830”), a highly inflationary economy is one that has cumulative inflation of approximately 100% or more over a three-year period. Effective October 1, 2024, we classified Egypt as highly inflationary and began to utilize the U.S. Dollar as our functional currency in Egypt, which historically utilized the Egyptian pound as the functional currency. Effective April 1, 2022, we classified Turkey as highly inflationary and began to utilize the U.S. Dollar as our functional currency in Turkey, which historically utilized the Turkish lira as the functional currency. Application of the guidance in ASC 830 did not have a material impact on our consolidated financial statements for the three years ended December 31, 2025. </w:t>
      </w:r>
    </w:p>
    <w:p>
      <w:pPr>
        <w:pStyle w:val="TextBody"/>
        <w:bidi w:val="0"/>
        <w:spacing w:lineRule="auto" w:line="288" w:before="0" w:after="240"/>
        <w:ind w:left="0" w:right="0" w:firstLine="720"/>
        <w:jc w:val="left"/>
        <w:rPr/>
      </w:pPr>
      <w:r>
        <w:rPr>
          <w:rFonts w:ascii="Times New Roman;serif" w:hAnsi="Times New Roman;serif"/>
          <w:b/>
          <w:i/>
          <w:color w:val="000000"/>
          <w:sz w:val="20"/>
        </w:rPr>
        <w:t>Cash and Cash Equivalents.</w:t>
      </w:r>
      <w:r>
        <w:rPr>
          <w:color w:val="000000"/>
        </w:rPr>
        <w:t> </w:t>
      </w:r>
      <w:r>
        <w:rPr>
          <w:rFonts w:ascii="Times New Roman;serif" w:hAnsi="Times New Roman;serif"/>
          <w:b w:val="false"/>
          <w:color w:val="000000"/>
          <w:sz w:val="20"/>
        </w:rPr>
        <w:t>Cash and cash equivalents are comprised of highly liquid investments with an original maturity of three months or less at the date of purchase.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i/>
          <w:color w:val="000000"/>
          <w:sz w:val="20"/>
        </w:rPr>
        <w:t>Debt and Equity Securities.</w:t>
      </w:r>
      <w:r>
        <w:rPr>
          <w:color w:val="000000"/>
        </w:rPr>
        <w:t> </w:t>
      </w:r>
      <w:r>
        <w:rPr>
          <w:rFonts w:ascii="Times New Roman;serif" w:hAnsi="Times New Roman;serif"/>
          <w:b w:val="false"/>
          <w:color w:val="000000"/>
          <w:sz w:val="20"/>
        </w:rPr>
        <w:t xml:space="preserve">Debt securities classified as available-for-sale on the date of purchase are 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statements of operations. Debt securities classified as trading securities are valued using the quoted market price from broker or dealer quotations or transparent pricing sources at the reporting date, with gains and losses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Changes in the fair value of equity securities are recorded in </w:t>
      </w:r>
      <w:r>
        <w:rPr>
          <w:rFonts w:ascii="Times New Roman;serif" w:hAnsi="Times New Roman;serif"/>
          <w:b w:val="false"/>
          <w:i/>
          <w:color w:val="000000"/>
          <w:sz w:val="20"/>
        </w:rPr>
        <w:t xml:space="preserve">Other expense (income), net </w:t>
      </w:r>
      <w:r>
        <w:rPr>
          <w:rFonts w:ascii="Times New Roman;serif" w:hAnsi="Times New Roman;serif"/>
          <w:b w:val="false"/>
          <w:color w:val="000000"/>
          <w:sz w:val="20"/>
        </w:rPr>
        <w:t>in the consolidated statements of operations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Investments in equity securities with readily determinable fair values are recorded at fair value. Investments in equity securities without readily determinable fair values for which the Company has elected to utilize the measurement alternative under ASC 321, </w:t>
      </w:r>
      <w:r>
        <w:rPr>
          <w:rFonts w:ascii="Times New Roman;serif" w:hAnsi="Times New Roman;serif"/>
          <w:b w:val="false"/>
          <w:i/>
          <w:color w:val="000000"/>
          <w:sz w:val="20"/>
        </w:rPr>
        <w:t xml:space="preserve">Investments - Equity Securities </w:t>
      </w:r>
      <w:r>
        <w:rPr>
          <w:rFonts w:ascii="Times New Roman;serif" w:hAnsi="Times New Roman;serif"/>
          <w:b w:val="false"/>
          <w:color w:val="000000"/>
          <w:sz w:val="20"/>
        </w:rPr>
        <w:t>are recorded at cost minus any impairment, plus or minus changes in their estimated fair value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w:t>
      </w:r>
    </w:p>
    <w:p>
      <w:pPr>
        <w:pStyle w:val="TextBody"/>
        <w:bidi w:val="0"/>
        <w:spacing w:lineRule="auto" w:line="288" w:before="0" w:after="240"/>
        <w:ind w:left="0" w:right="0" w:firstLine="720"/>
        <w:jc w:val="left"/>
        <w:rPr/>
      </w:pPr>
      <w:r>
        <w:rPr>
          <w:rFonts w:ascii="Times New Roman;serif" w:hAnsi="Times New Roman;serif"/>
          <w:b/>
          <w:i/>
          <w:color w:val="000000"/>
          <w:sz w:val="20"/>
        </w:rPr>
        <w:t>Concentrations of Credit Risk.</w:t>
      </w:r>
      <w:r>
        <w:rPr>
          <w:color w:val="000000"/>
        </w:rPr>
        <w:t> </w:t>
      </w:r>
      <w:r>
        <w:rPr>
          <w:rFonts w:ascii="Times New Roman;serif" w:hAnsi="Times New Roman;serif"/>
          <w:b w:val="false"/>
          <w:color w:val="000000"/>
          <w:sz w:val="20"/>
        </w:rPr>
        <w:t>Financial instruments that potentially subject the Company to credit risk consist principally of interest-bearing investments, derivatives and accounts receivable.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pStyle w:val="TextBody"/>
        <w:bidi w:val="0"/>
        <w:spacing w:lineRule="auto" w:line="288" w:before="0" w:after="240"/>
        <w:ind w:left="0" w:right="0" w:firstLine="720"/>
        <w:jc w:val="left"/>
        <w:rPr/>
      </w:pPr>
      <w:r>
        <w:rPr>
          <w:rFonts w:ascii="Times New Roman;serif" w:hAnsi="Times New Roman;serif"/>
          <w:b/>
          <w:i/>
          <w:color w:val="000000"/>
          <w:sz w:val="20"/>
        </w:rPr>
        <w:t>Inventories.</w:t>
      </w:r>
      <w:r>
        <w:rPr>
          <w:color w:val="000000"/>
        </w:rPr>
        <w:t> </w:t>
      </w:r>
      <w:r>
        <w:rPr>
          <w:rFonts w:ascii="Times New Roman;serif" w:hAnsi="Times New Roman;serif"/>
          <w:b w:val="false"/>
          <w:color w:val="000000"/>
          <w:sz w:val="20"/>
        </w:rPr>
        <w:t xml:space="preserve">Inventories are stated at the lower of cost and net realizable value, with cost principally determined by the weighted average cost 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 </w:t>
      </w:r>
    </w:p>
    <w:p>
      <w:pPr>
        <w:pStyle w:val="TextBody"/>
        <w:bidi w:val="0"/>
        <w:spacing w:lineRule="auto" w:line="288" w:before="0" w:after="240"/>
        <w:ind w:left="0" w:right="0" w:firstLine="720"/>
        <w:jc w:val="left"/>
        <w:rPr/>
      </w:pPr>
      <w:r>
        <w:rPr>
          <w:rFonts w:ascii="Times New Roman;serif" w:hAnsi="Times New Roman;serif"/>
          <w:b/>
          <w:i/>
          <w:color w:val="000000"/>
          <w:sz w:val="20"/>
        </w:rPr>
        <w:t>Property, Plant and Equipment.</w:t>
      </w:r>
      <w:r>
        <w:rPr>
          <w:color w:val="000000"/>
        </w:rPr>
        <w:t> </w:t>
      </w:r>
      <w:r>
        <w:rPr>
          <w:rFonts w:ascii="Times New Roman;serif" w:hAnsi="Times New Roman;serif"/>
          <w:b w:val="false"/>
          <w:color w:val="000000"/>
          <w:sz w:val="20"/>
        </w:rPr>
        <w:t xml:space="preserve">Property, plant and equipment are stated at cost less accumulated depreciation. Depreciation is computed and 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 </w:t>
      </w:r>
    </w:p>
    <w:p>
      <w:pPr>
        <w:pStyle w:val="TextBody"/>
        <w:bidi w:val="0"/>
        <w:spacing w:lineRule="auto" w:line="288" w:before="0" w:after="240"/>
        <w:ind w:left="0" w:right="0" w:firstLine="720"/>
        <w:jc w:val="left"/>
        <w:rPr/>
      </w:pPr>
      <w:r>
        <w:rPr>
          <w:rFonts w:ascii="Times New Roman;serif" w:hAnsi="Times New Roman;serif"/>
          <w:b/>
          <w:i/>
          <w:color w:val="000000"/>
          <w:sz w:val="20"/>
        </w:rPr>
        <w:t>Intangible Assets and Goodwill.</w:t>
      </w:r>
      <w:r>
        <w:rPr>
          <w:color w:val="000000"/>
        </w:rPr>
        <w:t> </w:t>
      </w:r>
      <w:r>
        <w:rPr>
          <w:rFonts w:ascii="Times New Roman;serif" w:hAnsi="Times New Roman;serif"/>
          <w:b w:val="false"/>
          <w:color w:val="000000"/>
          <w:sz w:val="20"/>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accounts for acquired businesses using the acquisition method of accounting in accordance with the provisions of ASC 805,</w:t>
      </w:r>
      <w:r>
        <w:rPr>
          <w:color w:val="000000"/>
        </w:rPr>
        <w:t xml:space="preserve"> </w:t>
      </w:r>
      <w:r>
        <w:rPr>
          <w:rFonts w:ascii="Times New Roman;serif" w:hAnsi="Times New Roman;serif"/>
          <w:b w:val="false"/>
          <w:i/>
          <w:color w:val="000000"/>
          <w:sz w:val="20"/>
        </w:rPr>
        <w:t>Business Combinations</w:t>
      </w:r>
      <w:r>
        <w:rPr>
          <w:rFonts w:ascii="Times New Roman;serif" w:hAnsi="Times New Roman;serif"/>
          <w:b w:val="false"/>
          <w:color w:val="000000"/>
          <w:sz w:val="20"/>
        </w:rPr>
        <w:t xml:space="preserve">,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are amortized over the expected life of the asset. Any excess of the purchase price over the estimated fair values of the net assets acquired is recorded as goodwill.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Purchases of developed products and licenses that are accounted for as asset acquisitions, including milestone payments related to development compounds due upon receipt of regulatory approvals, are capitalized as intangible assets and amortized over an estimated useful life. IPR&amp;D assets acquired as part of an asset acquisition are expensed immediately if they have no alternative future uses.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principally IPR&amp;D acquired as part of business combinations,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pStyle w:val="TextBody"/>
        <w:bidi w:val="0"/>
        <w:spacing w:lineRule="auto" w:line="288" w:before="0" w:after="240"/>
        <w:ind w:left="0" w:right="0" w:firstLine="720"/>
        <w:jc w:val="left"/>
        <w:rPr/>
      </w:pPr>
      <w:r>
        <w:rPr>
          <w:rFonts w:ascii="Times New Roman;serif" w:hAnsi="Times New Roman;serif"/>
          <w:b/>
          <w:i/>
          <w:color w:val="000000"/>
          <w:sz w:val="20"/>
        </w:rPr>
        <w:t>Contingent Consideration.</w:t>
      </w:r>
      <w:r>
        <w:rPr>
          <w:color w:val="000000"/>
        </w:rPr>
        <w:t xml:space="preserve"> </w:t>
      </w:r>
      <w:r>
        <w:rPr>
          <w:rFonts w:ascii="Times New Roman;serif" w:hAnsi="Times New Roman;serif"/>
          <w:b w:val="false"/>
          <w:color w:val="000000"/>
          <w:sz w:val="20"/>
        </w:rPr>
        <w:t xml:space="preserve">Viatris records contingent consideration liabilities resulting from business acquisitions or divestitures at its estimated fair value on the acquisition or divestiture date. Each reporting period thereafter, the Company revalues these obligations and records increases or decreases in their fair value as adjustments to </w:t>
      </w:r>
      <w:r>
        <w:rPr>
          <w:rFonts w:ascii="Times New Roman;serif" w:hAnsi="Times New Roman;serif"/>
          <w:b w:val="false"/>
          <w:i/>
          <w:color w:val="000000"/>
          <w:sz w:val="20"/>
        </w:rPr>
        <w:t>Litigation settlements and other contingencies, net</w:t>
      </w:r>
      <w:r>
        <w:rPr>
          <w:color w:val="000000"/>
        </w:rPr>
        <w:t xml:space="preserve"> </w:t>
      </w:r>
      <w:r>
        <w:rPr>
          <w:rFonts w:ascii="Times New Roman;serif" w:hAnsi="Times New Roman;serif"/>
          <w:b w:val="false"/>
          <w:color w:val="000000"/>
          <w:sz w:val="20"/>
        </w:rPr>
        <w:t xml:space="preserve">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operating results, sales targets and profitability. These fair value measurements represent Level 3 measurements as they are based on significant inputs not observable in the market.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judgment is employed in determining the assumptions utilized as of the acquisition or divestiture date and for each subsequent measurement period. Accordingly, changes in the assumptions described above could have a material impact on the Company’s consolidated financial condition and results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records contingent consideration assets resulting from divestitures when the contingent consideration is resolved.</w:t>
      </w:r>
    </w:p>
    <w:p>
      <w:pPr>
        <w:pStyle w:val="TextBody"/>
        <w:bidi w:val="0"/>
        <w:spacing w:lineRule="auto" w:line="288" w:before="0" w:after="240"/>
        <w:ind w:left="0" w:right="0" w:firstLine="720"/>
        <w:jc w:val="left"/>
        <w:rPr/>
      </w:pPr>
      <w:r>
        <w:rPr>
          <w:rFonts w:ascii="Times New Roman;serif" w:hAnsi="Times New Roman;serif"/>
          <w:b/>
          <w:i/>
          <w:color w:val="000000"/>
          <w:sz w:val="20"/>
        </w:rPr>
        <w:t>Impairment of Long-Lived Assets.</w:t>
      </w:r>
      <w:r>
        <w:rPr>
          <w:color w:val="000000"/>
        </w:rPr>
        <w:t> </w:t>
      </w:r>
      <w:r>
        <w:rPr>
          <w:rFonts w:ascii="Times New Roman;serif" w:hAnsi="Times New Roman;serif"/>
          <w:b w:val="false"/>
          <w:color w:val="000000"/>
          <w:sz w:val="20"/>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erif" w:hAnsi="Times New Roman;serif"/>
          <w:b/>
          <w:i/>
          <w:color w:val="000000"/>
          <w:sz w:val="20"/>
        </w:rPr>
        <w:t xml:space="preserve">Divestitures. </w:t>
      </w:r>
      <w:r>
        <w:rPr>
          <w:rFonts w:ascii="Times New Roman;serif" w:hAnsi="Times New Roman;serif"/>
          <w:b w:val="false"/>
          <w:color w:val="000000"/>
          <w:sz w:val="20"/>
        </w:rPr>
        <w:t xml:space="preserve">For businesses that are divested, including divestitures of products that qualify as a business, the Company records the net gain or loss on the sale within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and allocates the relative fair value of goodwill associated with the businesses in the determining the gain or loss on sale. Any resulting goodwill impairment is recorded within </w:t>
      </w:r>
      <w:r>
        <w:rPr>
          <w:rFonts w:ascii="Times New Roman;serif" w:hAnsi="Times New Roman;serif"/>
          <w:b w:val="false"/>
          <w:i/>
          <w:color w:val="000000"/>
          <w:sz w:val="20"/>
        </w:rPr>
        <w:t>Impairment of Goodwill</w:t>
      </w:r>
      <w:r>
        <w:rPr>
          <w:rFonts w:ascii="Times New Roman;serif" w:hAnsi="Times New Roman;serif"/>
          <w:b w:val="false"/>
          <w:color w:val="000000"/>
          <w:sz w:val="20"/>
        </w:rPr>
        <w:t xml:space="preserve">. The Company records amounts received as part of TSAs within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For divestitures of products that qualify as assets, the Company records the gain or loss on sale within SG&amp;A.</w:t>
      </w:r>
    </w:p>
    <w:p>
      <w:pPr>
        <w:pStyle w:val="TextBody"/>
        <w:bidi w:val="0"/>
        <w:spacing w:lineRule="auto" w:line="288" w:before="0" w:after="240"/>
        <w:ind w:left="0" w:right="0" w:firstLine="720"/>
        <w:jc w:val="left"/>
        <w:rPr/>
      </w:pPr>
      <w:r>
        <w:rPr>
          <w:rFonts w:ascii="Times New Roman;serif" w:hAnsi="Times New Roman;serif"/>
          <w:b/>
          <w:i/>
          <w:color w:val="000000"/>
          <w:sz w:val="20"/>
        </w:rPr>
        <w:t>Short-Term Borrowings.</w:t>
      </w:r>
      <w:r>
        <w:rPr>
          <w:color w:val="000000"/>
        </w:rPr>
        <w:t> </w:t>
      </w:r>
      <w:r>
        <w:rPr>
          <w:rFonts w:ascii="Times New Roman;serif" w:hAnsi="Times New Roman;serif"/>
          <w:b w:val="false"/>
          <w:color w:val="000000"/>
          <w:sz w:val="20"/>
        </w:rPr>
        <w:t>The Company’s subsidiaries in India have working capital facilities with several banks. The Company also has the Commercial Paper Program and Receivables Facility. Under the terms of the Receivables Facility, certain of our accounts receivable secure the amounts borrowed and cannot be used to pay our other debts or liabilities. As the accounts receivable do not transfer to the banks, any amounts outstanding under the facility are recorded as borrowings and the underlying receivables continue to be included in accounts receivable, net,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The Company recognizes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Chargebacks</w:t>
      </w:r>
      <w:r>
        <w:rPr>
          <w:rFonts w:ascii="Times New Roman;serif" w:hAnsi="Times New Roman;serif"/>
          <w:b w:val="false"/>
          <w:color w:val="000000"/>
          <w:sz w:val="20"/>
        </w:rPr>
        <w:t>: the Company has agreements with certain indirect customers, such as independent pharmacies, retail pharmacy chains, managed care organizations, hospitals, nursing homes, governmental agencies and PBMs,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Rebates, promotional programs and other sales allowances</w:t>
      </w:r>
      <w:r>
        <w:rPr>
          <w:rFonts w:ascii="Times New Roman;serif" w:hAnsi="Times New Roman;serif"/>
          <w:b w:val="false"/>
          <w:color w:val="000000"/>
          <w:sz w:val="20"/>
        </w:rPr>
        <w:t xml:space="preserve">: this category includes rebate and other programs to assist in product sales. These 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Returns</w:t>
      </w:r>
      <w:r>
        <w:rPr>
          <w:rFonts w:ascii="Times New Roman;serif" w:hAnsi="Times New Roman;serif"/>
          <w:b w:val="false"/>
          <w:color w:val="000000"/>
          <w:sz w:val="20"/>
        </w:rPr>
        <w:t>: consistent with industry practice, Viatris maintains a return policy that allows customers to return a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Governmental rebate programs</w:t>
      </w:r>
      <w:r>
        <w:rPr>
          <w:rFonts w:ascii="Times New Roman;serif" w:hAnsi="Times New Roman;serif"/>
          <w:b w:val="false"/>
          <w:color w:val="000000"/>
          <w:sz w:val="20"/>
        </w:rPr>
        <w:t xml:space="preserve">: government reimbursement programs in the U.S. include Medicare, Medicaid, and State Pharmacy Assistance 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consolidated statements of operations.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including deferred consideration, with terms in excess of one year are initially recorded at their net present value using discount rates reflecting the relative credit risk.</w:t>
      </w:r>
    </w:p>
    <w:p>
      <w:pPr>
        <w:pStyle w:val="TextBody"/>
        <w:bidi w:val="0"/>
        <w:spacing w:lineRule="auto" w:line="288" w:before="0" w:after="240"/>
        <w:ind w:left="0" w:right="0" w:firstLine="720"/>
        <w:jc w:val="left"/>
        <w:rPr/>
      </w:pPr>
      <w:r>
        <w:rPr>
          <w:rFonts w:ascii="Times New Roman;serif" w:hAnsi="Times New Roman;serif"/>
          <w:b/>
          <w:i/>
          <w:color w:val="000000"/>
          <w:sz w:val="20"/>
        </w:rPr>
        <w:t>Research and Development.</w:t>
      </w:r>
      <w:r>
        <w:rPr>
          <w:color w:val="000000"/>
        </w:rPr>
        <w:t> </w:t>
      </w:r>
      <w:r>
        <w:rPr>
          <w:rFonts w:ascii="Times New Roman;serif" w:hAnsi="Times New Roman;serif"/>
          <w:b w:val="false"/>
          <w:color w:val="000000"/>
          <w:sz w:val="20"/>
        </w:rPr>
        <w:t>R&amp;D expenses are charged to operations as incurred. R&amp;D expense consists of costs incurred in performing research and development activities, including but not limited to, compensation and benefits, facilities and overhead expense, clinical trial expense and fees paid to contract research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i/>
          <w:color w:val="000000"/>
          <w:sz w:val="20"/>
        </w:rPr>
        <w:t xml:space="preserve">Acquired IPR&amp;D. </w:t>
      </w:r>
      <w:r>
        <w:rPr>
          <w:rFonts w:ascii="Times New Roman;serif" w:hAnsi="Times New Roman;serif"/>
          <w:b w:val="false"/>
          <w:color w:val="000000"/>
          <w:sz w:val="20"/>
        </w:rPr>
        <w:t>Acquired IPR&amp;D expense includes the initial cost of externally developed IPR&amp;D projects, acquired directly in a transaction other than a business combination, that do not have an alternative future use. Additionally, the related milestone payment obligations that are incurred prior to regulatory approval of the compound are recorded as acquired IPR&amp;D expense when the event triggering the obligation to pay the milestone occurs.</w:t>
      </w:r>
    </w:p>
    <w:p>
      <w:pPr>
        <w:pStyle w:val="TextBody"/>
        <w:bidi w:val="0"/>
        <w:spacing w:lineRule="auto" w:line="288" w:before="0" w:after="240"/>
        <w:ind w:left="0" w:right="0" w:firstLine="720"/>
        <w:jc w:val="left"/>
        <w:rPr/>
      </w:pPr>
      <w:r>
        <w:rPr>
          <w:rFonts w:ascii="Times New Roman;serif" w:hAnsi="Times New Roman;serif"/>
          <w:b/>
          <w:i/>
          <w:color w:val="000000"/>
          <w:sz w:val="20"/>
        </w:rPr>
        <w:t>Income Taxes.</w:t>
      </w:r>
      <w:r>
        <w:rPr>
          <w:color w:val="000000"/>
        </w:rPr>
        <w:t> </w:t>
      </w:r>
      <w:r>
        <w:rPr>
          <w:rFonts w:ascii="Times New Roman;serif" w:hAnsi="Times New Roman;serif"/>
          <w:b w:val="false"/>
          <w:color w:val="000000"/>
          <w:sz w:val="20"/>
        </w:rPr>
        <w:t>Income taxes have been provided for using an asset and liability approach in which deferred income taxes reflect the tax 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pStyle w:val="TextBody"/>
        <w:bidi w:val="0"/>
        <w:spacing w:lineRule="auto" w:line="288" w:before="0" w:after="240"/>
        <w:ind w:left="0" w:right="0" w:firstLine="720"/>
        <w:jc w:val="left"/>
        <w:rPr/>
      </w:pPr>
      <w:r>
        <w:rPr>
          <w:rFonts w:ascii="Times New Roman;serif" w:hAnsi="Times New Roman;serif"/>
          <w:b/>
          <w:i/>
          <w:color w:val="000000"/>
          <w:sz w:val="20"/>
        </w:rPr>
        <w:t>Earnings per Share.</w:t>
      </w:r>
      <w:r>
        <w:rPr>
          <w:color w:val="000000"/>
        </w:rPr>
        <w:t> </w:t>
      </w:r>
      <w:r>
        <w:rPr>
          <w:rFonts w:ascii="Times New Roman;serif" w:hAnsi="Times New Roman;serif"/>
          <w:b w:val="false"/>
          <w:color w:val="000000"/>
          <w:sz w:val="20"/>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68" w:before="0" w:after="240"/>
        <w:ind w:left="0" w:right="0" w:firstLine="720"/>
        <w:jc w:val="left"/>
        <w:rPr/>
      </w:pPr>
      <w:r>
        <w:rPr>
          <w:rFonts w:ascii="Times New Roman;serif" w:hAnsi="Times New Roman;serif"/>
          <w:b/>
          <w:i/>
          <w:color w:val="000000"/>
          <w:sz w:val="20"/>
        </w:rPr>
        <w:t>Share-Based Compensation.</w:t>
      </w:r>
      <w:r>
        <w:rPr>
          <w:color w:val="000000"/>
        </w:rPr>
        <w:t> </w:t>
      </w:r>
      <w:r>
        <w:rPr>
          <w:rFonts w:ascii="Times New Roman;serif" w:hAnsi="Times New Roman;serif"/>
          <w:b w:val="false"/>
          <w:color w:val="000000"/>
          <w:sz w:val="20"/>
        </w:rPr>
        <w:t>The fair value of share-based compensation is recognized as expense in the consolidated statements of operations over the vesting period.</w:t>
      </w:r>
    </w:p>
    <w:p>
      <w:pPr>
        <w:pStyle w:val="TextBody"/>
        <w:bidi w:val="0"/>
        <w:spacing w:lineRule="auto" w:line="288" w:before="0" w:after="240"/>
        <w:ind w:left="0" w:right="0" w:firstLine="720"/>
        <w:jc w:val="left"/>
        <w:rPr/>
      </w:pPr>
      <w:r>
        <w:rPr>
          <w:rFonts w:ascii="Times New Roman;serif" w:hAnsi="Times New Roman;serif"/>
          <w:b/>
          <w:i/>
          <w:color w:val="000000"/>
          <w:sz w:val="20"/>
        </w:rPr>
        <w:t>Derivatives.</w:t>
      </w:r>
      <w:r>
        <w:rPr>
          <w:color w:val="000000"/>
        </w:rPr>
        <w:t> </w:t>
      </w:r>
      <w:r>
        <w:rPr>
          <w:rFonts w:ascii="Times New Roman;serif" w:hAnsi="Times New Roman;serif"/>
          <w:b w:val="false"/>
          <w:color w:val="000000"/>
          <w:sz w:val="20"/>
        </w:rPr>
        <w:t xml:space="preserve">From time to time the Company may enter into derivative financial instruments (including but not limited to foreign currency forward contracts, interest rate swaps and cross currency swaps)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a net investment in a foreign operation, or 6) economically hedge the foreign currency exposure associated with the purchase price of non-U.S. acquisitions or divestitures. Derivatives are recognized as assets or liabilities in the consolidated balance sheets at their fair value. When the derivative instrument qualifies as a cash flow hedge or a net investment hedge, changes in the fair value are deferred through other comprehensive earnings. If a derivative instrument qualifies as a fair value hedge, the changes in the fair value, as well as the offsetting changes in the fair value of the hedged items, are generally included within the same line item in the consolidated statements of operations as the hedged item. When such instruments do not qualify for hedge accounting the changes in fair value are recorded in the consolidated statements of operations within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left"/>
        <w:rPr/>
      </w:pPr>
      <w:r>
        <w:rPr>
          <w:rFonts w:ascii="Times New Roman;serif" w:hAnsi="Times New Roman;serif"/>
          <w:b/>
          <w:i/>
          <w:color w:val="000000"/>
          <w:sz w:val="20"/>
        </w:rPr>
        <w:t>Financial Instruments.</w:t>
      </w:r>
      <w:r>
        <w:rPr>
          <w:color w:val="000000"/>
        </w:rPr>
        <w:t> </w:t>
      </w:r>
      <w:r>
        <w:rPr>
          <w:rFonts w:ascii="Times New Roman;serif" w:hAnsi="Times New Roman;serif"/>
          <w:b w:val="false"/>
          <w:color w:val="000000"/>
          <w:sz w:val="20"/>
        </w:rPr>
        <w:t>The Company’s financial instruments consist primarily of short-term and long-term debt, interest rate and cross currency swaps, and forward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carries derivative instruments in the consolidated balance sheets at fair value, determined by reference to market data such as forward rates for currencies, implied volatility, and interest 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Adoption of New Accounting Standards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 xml:space="preserve">(“ASU 2023-09”), which requires expanded income tax disclosures, including greater disaggregation of information in the effective tax rate reconciliation and of income taxes paid. The amendments in ASU 2023-09 are effective for all public entities for fiscal years beginning after December 15, 2024, with early adoption permitted. We adopted this ASU on a prospective basis beginning with the year ended December 31, 2025. Refer to Note 12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additional information. The adoption of ASU 2023-09 did not affect the Company’s financial condition, results of operations or cash flows as the guidance only requires additional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Issued Not Yet Adopted</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entities to disclose specified information about certain costs and expenses, including amounts of purchases of inventory, employee compensation, depreciation, and intangible asset amortization. The amendments in ASU 2024-03 are effective for annual reporting periods beginning after December 15, 2026, and interim reporting periods beginning after December 15, 2027, with early adoption permitted. The Company is currently assessing the impact of the adoption of this guidance on its consolidated financial statement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permitting an entity to assume that conditions as of the balance sheet date remain unchanged over the life of the asset when estimating expected credit losses for current accounts receivable and current contract assets. ASU 2025-05 is effective for annual reporting periods beginning after December 15, 2025, and interim reporting periods within those annual reporting periods, with early adoption permitted. Entities should apply the new guidance prospectively. The Company does not expect the adoption of this guidance to have a material impact on its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which amends certain aspects of the accounting for, and disclosure of, internal-use software costs under ASC 350-40,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ASU 2025-06 is intended to simplify and modernize the accounting for internal-use software costs by removing all references to prescriptive and sequential software development stages under Subtopic 350-40. The amendments in ASU 2025-06 are effective for annual reporting periods beginning after December 15, 2027, and interim reporting periods within those annual reporting periods, with early adoption permitted as of the beginning of an annual reporting period. The guidance can be applied prospectively, retrospectively or under a modified transition approach. The Company is currently assessing the impact of the adoption of this guidance on its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which establishes guidance on the recognition, measurement, and presentation of government grants received by business entities. The amendments in ASU 2025-10 are effective for annual reporting periods beginning after December 15, 2028, and interim reporting periods within those annual reporting periods, with early adoption permitted. The guidance can be applied under a modified prospective approach, a modified retrospective approach, or a full retrospective approach. The Company is currently assessing the impact of the adoption of this guidance on its consolidated financial statements and disclosures.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3.Revenue Recognition and Accounts Receivable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by product category for each of our reportable segments for the years ended December 31, 2025, 2024, and 2023, respectively:</w:t>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 Net Sales</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76" w:before="6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Amounts reflected in the above tables include net sales attributable to divested businesses until the date of disposition. Refer to Note 5 </w:t>
      </w:r>
      <w:r>
        <w:rPr>
          <w:rFonts w:ascii="Times New Roman;serif" w:hAnsi="Times New Roman;serif"/>
          <w:b w:val="false"/>
          <w:i/>
          <w:color w:val="000000"/>
          <w:sz w:val="20"/>
        </w:rPr>
        <w:t xml:space="preserve">Divestitures </w:t>
      </w:r>
      <w:r>
        <w:rPr>
          <w:rFonts w:ascii="Times New Roman;serif" w:hAnsi="Times New Roman;serif"/>
          <w:b w:val="false"/>
          <w:color w:val="000000"/>
          <w:sz w:val="20"/>
        </w:rPr>
        <w:t>for additional information. Amounts also reflect the impact of foreign currency fluctuations. 2025 amounts further reflect the Indore Impact.</w:t>
      </w:r>
    </w:p>
    <w:p>
      <w:pPr>
        <w:pStyle w:val="TextBody"/>
        <w:bidi w:val="0"/>
        <w:spacing w:before="60" w:after="283"/>
        <w:ind w:left="0" w:right="0" w:firstLine="720"/>
        <w:jc w:val="both"/>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sales on a consolidated basis for select key products for the years ended December 31, 2025, 2024, and 2023, respectively:</w:t>
      </w:r>
    </w:p>
    <w:tbl>
      <w:tblPr>
        <w:tblW w:w="6848" w:type="dxa"/>
        <w:jc w:val="left"/>
        <w:tblInd w:w="0" w:type="dxa"/>
        <w:tblLayout w:type="fixed"/>
        <w:tblCellMar>
          <w:top w:w="28" w:type="dxa"/>
          <w:left w:w="28" w:type="dxa"/>
          <w:bottom w:w="28" w:type="dxa"/>
          <w:right w:w="28" w:type="dxa"/>
        </w:tblCellMar>
      </w:tblPr>
      <w:tblGrid>
        <w:gridCol w:w="930"/>
        <w:gridCol w:w="816"/>
        <w:gridCol w:w="818"/>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Select Key Global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Lipitor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Norvasc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EpiPen® Auto-Injectors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Viagra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Celebrex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Effexor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Zoloft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Xalabrands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Segment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Influvac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Dymista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The Company does not disclose net sales for any products considered competitively sensitive.</w:t>
      </w:r>
    </w:p>
    <w:p>
      <w:pPr>
        <w:pStyle w:val="TextBody"/>
        <w:bidi w:val="0"/>
        <w:spacing w:lineRule="auto" w:line="276"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Products disclosed may change in future periods, including as a result of seasonality, competition or new product launches.</w:t>
      </w:r>
    </w:p>
    <w:p>
      <w:pPr>
        <w:pStyle w:val="TextBody"/>
        <w:bidi w:val="0"/>
        <w:spacing w:lineRule="auto" w:line="276"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Amounts include the impact of foreign currency translations compared to the prior year period.</w:t>
      </w:r>
    </w:p>
    <w:p>
      <w:pPr>
        <w:pStyle w:val="TextBody"/>
        <w:bidi w:val="0"/>
        <w:spacing w:lineRule="auto" w:line="276" w:before="0" w:after="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Refer to intellectual property matters included in Note 20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for additional information regarding Yupelri® and Amitiza®.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erif" w:hAnsi="Times New Roman;serif"/>
          <w:b/>
          <w:color w:val="000000"/>
          <w:sz w:val="20"/>
        </w:rPr>
        <w:t>Variable Consideration and Accounts Receivable</w:t>
      </w:r>
      <w:r>
        <w:rPr>
          <w:color w:val="000000"/>
        </w:rPr>
        <w:t>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sales to net sales by each significant category of variable consideration during the years ended December 31, 2025, 2024 and 2023, respectively:</w:t>
      </w:r>
    </w:p>
    <w:tbl>
      <w:tblPr>
        <w:tblW w:w="9267" w:type="dxa"/>
        <w:jc w:val="center"/>
        <w:tblInd w:w="0" w:type="dxa"/>
        <w:tblLayout w:type="fixed"/>
        <w:tblCellMar>
          <w:top w:w="28" w:type="dxa"/>
          <w:left w:w="28" w:type="dxa"/>
          <w:bottom w:w="28" w:type="dxa"/>
          <w:right w:w="28" w:type="dxa"/>
        </w:tblCellMar>
      </w:tblPr>
      <w:tblGrid>
        <w:gridCol w:w="1754"/>
        <w:gridCol w:w="1539"/>
        <w:gridCol w:w="1552"/>
        <w:gridCol w:w="211"/>
        <w:gridCol w:w="871"/>
        <w:gridCol w:w="109"/>
        <w:gridCol w:w="109"/>
        <w:gridCol w:w="109"/>
        <w:gridCol w:w="109"/>
        <w:gridCol w:w="211"/>
        <w:gridCol w:w="946"/>
        <w:gridCol w:w="109"/>
        <w:gridCol w:w="109"/>
        <w:gridCol w:w="109"/>
        <w:gridCol w:w="109"/>
        <w:gridCol w:w="211"/>
        <w:gridCol w:w="94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adjustments: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to net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 xml:space="preserve">Amounts reflected in the above table include net sales attributable to divested businesses until the date of disposition. Refer to Note 5 </w:t>
      </w:r>
      <w:r>
        <w:rPr>
          <w:rFonts w:ascii="Times New Roman;serif" w:hAnsi="Times New Roman;serif"/>
          <w:b w:val="false"/>
          <w:i/>
          <w:color w:val="000000"/>
          <w:sz w:val="20"/>
        </w:rPr>
        <w:t xml:space="preserve">Divestitures </w:t>
      </w:r>
      <w:r>
        <w:rPr>
          <w:rFonts w:ascii="Times New Roman;serif" w:hAnsi="Times New Roman;serif"/>
          <w:b w:val="false"/>
          <w:color w:val="000000"/>
          <w:sz w:val="20"/>
        </w:rPr>
        <w:t>for additional information. Amounts also reflect the impact of foreign currency fluctuations. 2025 amounts further reflect the Indore Impact.</w:t>
      </w:r>
    </w:p>
    <w:p>
      <w:pPr>
        <w:pStyle w:val="TextBody"/>
        <w:bidi w:val="0"/>
        <w:spacing w:before="0" w:after="0"/>
        <w:jc w:val="both"/>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rollforward of the categories of variable consideration during 2025:</w:t>
      </w:r>
    </w:p>
    <w:tbl>
      <w:tblPr>
        <w:tblW w:w="10205" w:type="dxa"/>
        <w:jc w:val="left"/>
        <w:tblInd w:w="0" w:type="dxa"/>
        <w:tblLayout w:type="fixed"/>
        <w:tblCellMar>
          <w:top w:w="28" w:type="dxa"/>
          <w:left w:w="28" w:type="dxa"/>
          <w:bottom w:w="28" w:type="dxa"/>
          <w:right w:w="28" w:type="dxa"/>
        </w:tblCellMar>
      </w:tblPr>
      <w:tblGrid>
        <w:gridCol w:w="735"/>
        <w:gridCol w:w="569"/>
        <w:gridCol w:w="573"/>
        <w:gridCol w:w="251"/>
        <w:gridCol w:w="911"/>
        <w:gridCol w:w="129"/>
        <w:gridCol w:w="109"/>
        <w:gridCol w:w="109"/>
        <w:gridCol w:w="109"/>
        <w:gridCol w:w="330"/>
        <w:gridCol w:w="1199"/>
        <w:gridCol w:w="170"/>
        <w:gridCol w:w="109"/>
        <w:gridCol w:w="109"/>
        <w:gridCol w:w="109"/>
        <w:gridCol w:w="109"/>
        <w:gridCol w:w="109"/>
        <w:gridCol w:w="266"/>
        <w:gridCol w:w="1010"/>
        <w:gridCol w:w="137"/>
        <w:gridCol w:w="109"/>
        <w:gridCol w:w="109"/>
        <w:gridCol w:w="109"/>
        <w:gridCol w:w="267"/>
        <w:gridCol w:w="648"/>
        <w:gridCol w:w="138"/>
        <w:gridCol w:w="109"/>
        <w:gridCol w:w="109"/>
        <w:gridCol w:w="109"/>
        <w:gridCol w:w="249"/>
        <w:gridCol w:w="906"/>
        <w:gridCol w:w="191"/>
      </w:tblGrid>
      <w:tr>
        <w:trPr/>
        <w:tc>
          <w:tcPr>
            <w:tcW w:w="7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Current Provision Related to Sales Made in the Current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Checks/ Credits Issued to Third Parties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Effects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(9,842.3)</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Accruals for these provisions are presented in the consolidated financial statements as reductions in determining net revenues and as a contra asset in accounts receivable, net (if settled via credit) and other current liabilities (if paid in cash). Accounts receivable are presented net of allowances relating to these provisions, which were comprised of the following at December 31, 2025 and 2024, respectively:</w:t>
      </w:r>
    </w:p>
    <w:tbl>
      <w:tblPr>
        <w:tblW w:w="4675" w:type="dxa"/>
        <w:jc w:val="center"/>
        <w:tblInd w:w="0" w:type="dxa"/>
        <w:tblLayout w:type="fixed"/>
        <w:tblCellMar>
          <w:top w:w="28" w:type="dxa"/>
          <w:left w:w="28" w:type="dxa"/>
          <w:bottom w:w="28" w:type="dxa"/>
          <w:right w:w="28" w:type="dxa"/>
        </w:tblCellMar>
      </w:tblPr>
      <w:tblGrid>
        <w:gridCol w:w="765"/>
        <w:gridCol w:w="670"/>
        <w:gridCol w:w="679"/>
        <w:gridCol w:w="212"/>
        <w:gridCol w:w="773"/>
        <w:gridCol w:w="110"/>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comprised of the following at December 31, 2025 and 2024, respectively:</w:t>
      </w:r>
    </w:p>
    <w:tbl>
      <w:tblPr>
        <w:tblW w:w="5531" w:type="dxa"/>
        <w:jc w:val="left"/>
        <w:tblInd w:w="0" w:type="dxa"/>
        <w:tblLayout w:type="fixed"/>
        <w:tblCellMar>
          <w:top w:w="28" w:type="dxa"/>
          <w:left w:w="28" w:type="dxa"/>
          <w:bottom w:w="28" w:type="dxa"/>
          <w:right w:w="28" w:type="dxa"/>
        </w:tblCellMar>
      </w:tblPr>
      <w:tblGrid>
        <w:gridCol w:w="780"/>
        <w:gridCol w:w="686"/>
        <w:gridCol w:w="694"/>
        <w:gridCol w:w="291"/>
        <w:gridCol w:w="1058"/>
        <w:gridCol w:w="150"/>
        <w:gridCol w:w="109"/>
        <w:gridCol w:w="109"/>
        <w:gridCol w:w="109"/>
        <w:gridCol w:w="288"/>
        <w:gridCol w:w="1047"/>
        <w:gridCol w:w="210"/>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allowances for doubtful accounts were $136.0 million and $107.6 million at December 31, 2025 and 2024, respectively. Viatris performs ongoing credit evaluations of its customers and generally does not require collateral. Approximately 24% and 29% of the accounts receivable balances represent amounts due from three customers at December 31, 2025 and 2024, respectively.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$301.9 million and $68.5 million of accounts receivable as of December 31, 2025 and 2024, respectively, under these factoring arrangements. Additionally, we have a similar arrangement for certain European countries. As of December 31, 2024, we assigned and derecognized approximately $29.9 million of </w:t>
      </w:r>
      <w:r>
        <w:rPr>
          <w:rFonts w:ascii="Times New Roman;serif" w:hAnsi="Times New Roman;serif"/>
          <w:b w:val="false"/>
          <w:i/>
          <w:color w:val="000000"/>
          <w:sz w:val="20"/>
        </w:rPr>
        <w:t>Trade Receivables, Net,</w:t>
      </w:r>
      <w:r>
        <w:rPr>
          <w:color w:val="000000"/>
        </w:rPr>
        <w:t xml:space="preserve"> </w:t>
      </w:r>
      <w:r>
        <w:rPr>
          <w:rFonts w:ascii="Times New Roman;serif" w:hAnsi="Times New Roman;serif"/>
          <w:b w:val="false"/>
          <w:color w:val="000000"/>
          <w:sz w:val="20"/>
        </w:rPr>
        <w:t xml:space="preserve">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 As of December 31, 2025, no amounts were assigned and derecognized.</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4.Acquisitions and Other Transactions</w:t>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The transaction expanded our portfolio of innovative assets by adding two Phase 3 assets and combines our financial strength and worldwide operational infrastructure with Idorsia’s proven, highly-productive drug development team and innovation engine.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years ended December 31, 2025 and 2024, the Company incurred acquisition-related costs of approximately $26.8 million and $3.9 million, respectively, which were recorded primarily in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9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allocation of the purchase price to the assets acquired and liabilities assumed is shown below. There were no measurement period adjustments.</w:t>
      </w:r>
    </w:p>
    <w:tbl>
      <w:tblPr>
        <w:tblW w:w="3232" w:type="dxa"/>
        <w:jc w:val="left"/>
        <w:tblInd w:w="0" w:type="dxa"/>
        <w:tblLayout w:type="fixed"/>
        <w:tblCellMar>
          <w:top w:w="28" w:type="dxa"/>
          <w:left w:w="28" w:type="dxa"/>
          <w:bottom w:w="28" w:type="dxa"/>
          <w:right w:w="28" w:type="dxa"/>
        </w:tblCellMar>
      </w:tblPr>
      <w:tblGrid>
        <w:gridCol w:w="658"/>
        <w:gridCol w:w="578"/>
        <w:gridCol w:w="579"/>
        <w:gridCol w:w="211"/>
        <w:gridCol w:w="61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are both contractually obligated to contribute to the development costs for both programs, which are expected to be incurred through 2027.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goodwill of $19.5 million arising from the acquisition consisted largely of the value of the employee workforce and the expected value of products, including additional indications,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during the years ended December 31, 2024 and 2023.</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was replaced with a transition committee to oversee the transition of both development programs to Viatris. Refer to Note 9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for additional information on the fair value adjustment to the Idorsia Transaction contingent consideration liability recorded during the year ended December 31, 2025 as a result of the February 25, 2025 letter agreement.</w:t>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Oyster Point Acquisition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2023, the Company completed the acquisition of Oyster Point for approximately $427.4 million in cash, which included $11 per share paid to Oyster Point stockholders through a tender offer, payment for vested share-based awards, and the repayment of the Oyster Point debt.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Vested share-based awards to acquire Oyster Point common stock that were outstanding immediately prior to the closing of the acquisition were cancelled in exchange for the right to receive an amount in cash based upon a formula contained within the merger agreement. The unvested share-based awards were converted into Viatris share-based awards based upon a formula contained within the merger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During the year ended December 31, 2023, the Company incurred acquisition related costs of approximately $22.8 million, which were recorded primarily in SG&amp;A in the consolidated statement of operations.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recorded a step-up in the fair value of inventory of approximately $29.3 million, which was fully amortized during the year ended December 31, 2023 and was included 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consolidated statement of operations.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Oyster Point have been included in the Company’s consolidated statements of operations since the acquisition date. The total revenues of Oyster Point for the period from the acquisition date to December 31, 2023 were $41.7 million and net loss, net of tax, was approximately $163.1 million. The net loss for the period includes the effect of the purchase accounting adjustments and acquisition related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unaudited pro forma information for the acquisition, as if it had occurred on January 1, 2022.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acquisition. Accordingly, the unaudited pro forma results are not necessarily indicative of the results that actually would have occurred had the acquisitions been completed on the stated date above, nor are they indicative of the future operating results of Viatris and its subsidiaries.</w:t>
      </w:r>
    </w:p>
    <w:p>
      <w:pPr>
        <w:pStyle w:val="TextBody"/>
        <w:bidi w:val="0"/>
        <w:spacing w:before="0" w:after="0"/>
        <w:ind w:left="0" w:right="0" w:firstLine="720"/>
        <w:jc w:val="left"/>
        <w:rPr/>
      </w:pPr>
      <w:r>
        <w:rPr/>
      </w:r>
    </w:p>
    <w:tbl>
      <w:tblPr>
        <w:tblW w:w="6725" w:type="dxa"/>
        <w:jc w:val="left"/>
        <w:tblInd w:w="0" w:type="dxa"/>
        <w:tblLayout w:type="fixed"/>
        <w:tblCellMar>
          <w:top w:w="28" w:type="dxa"/>
          <w:left w:w="28" w:type="dxa"/>
          <w:bottom w:w="28" w:type="dxa"/>
          <w:right w:w="28" w:type="dxa"/>
        </w:tblCellMar>
      </w:tblPr>
      <w:tblGrid>
        <w:gridCol w:w="1331"/>
        <w:gridCol w:w="1170"/>
        <w:gridCol w:w="1174"/>
        <w:gridCol w:w="109"/>
        <w:gridCol w:w="109"/>
        <w:gridCol w:w="961"/>
        <w:gridCol w:w="109"/>
        <w:gridCol w:w="265"/>
        <w:gridCol w:w="1097"/>
        <w:gridCol w:w="137"/>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(Unaudited,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Famy Life Sciences Acquisition</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November 7, 2022, the Company entered into a definitive agreement to acquire the remaining equity shares of Famy Life Sciences, a privately-owned research company with a complementary portfolio of ophthalmology therapies under development, for consideration of $281 million. The Company had previously entered into a Master Development Agreement with Famy Life Sciences on December 20, 2019 under which the Company obtained rights with respect to acquiring certain pharmaceutical products and a 13.5% equity interest in Famy Life Sciences for $25.0 million. The investment was accounted for in accordance with ASC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transaction to acquire the remaining equity shares of Famy Life Sciences closed during the first quarter of 2023. The Company recognized a gain of $18.9 million during the first quarter of 2023 as a result of remeasuring its pre-existing 13.5% equity interest in Famy Life Sciences to fair value, which was recognized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allocated to the transaction was $325.0 million, which consisted of $281 million of cash consideration paid for the remaining equity shares and $43.9 million for the fair value of the pre-existing 13.5% equity interest.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acquisition did not have a material impact on the Company’s results of operations since the acquisition date or on a pro forma basis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5.Divestitures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2023, the Company announced it had received an offer for the divestiture of its OTC Business and had entered into definitive agreements to divest its women’s healthcare business primarily related to oral and injectable contraceptives, its API business in India, its rights to two women’s healthcare products in certain countries, and commercialization rights in the Upjohn Distributor Markets. The Company had substantially completed all these divestitures by the end of 2024. The OTC, API and women’s healthcare businesses were deemed businesses for U.S. GAAP accounting purposes. As such, the assets and liabilities included an allocation of goodwill. The sale of the rights to two women’s healthcare products in certain countries was accounted for as an asset sale. 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The transition services were substantially concluded as of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year ended December 31, 2025, the Company recorded additional pre-tax charges of approximately $101.0 million, primarily related to the divestitures of the OTC and API businesses. The additional charges were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 and were primarily due to an increase in estimated transaction related costs, including the assumption of additional contractual obligations, as well as the impact of working capital and other transaction-related adjustments.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years ended December 31, 2025, 2024 and 2023, the Company recognized TSA income related to all divestitures of approximately $39.4 million, $69.9 million, and $168.0 million, respectively. TSA income is recorded as a component of </w:t>
      </w:r>
      <w:r>
        <w:rPr>
          <w:rFonts w:ascii="Times New Roman;serif" w:hAnsi="Times New Roman;serif"/>
          <w:b w:val="false"/>
          <w:i/>
          <w:color w:val="000000"/>
          <w:sz w:val="20"/>
        </w:rPr>
        <w:t>Other Expense (Income), Net.</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Women’s Healthcare</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the third quarter of 2023, Viatris executed an agreement to divest its women’s healthcare business to Insud Pharma, S.L., a leading Spanish multinational pharmaceutical company. The divestiture of the women’s healthcare business was primarily related to our oral and injectable contraceptives and did not include all of our women’s healthcare related products. The transaction included two manufacturing facilities in India. The transaction closed in March 2024 and during the year ended December 31, 2024, the Company recognized a pre-tax gain on sale of approximately $77.8 million for the difference between the consideration received and the carrying value of the assets transferred (including an allocation of goodwill), which was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the third quarter of 2023, Viatris also entered into a separate agreement to divest its rights to women’s healthcare products Duphaston® and Femoston® in certain countries to Theramex HQ UK Limited, a leading global specialty pharmaceutical company dedicated to women’s health. The transaction (other than in the U.K.) closed in December 2023, and upon closing, the Company recognized a pre-tax gain on sale of approximately $156.2 million in that quarter for the difference between the consideration received and the carrying value of the assets transferred. In the third quarter of 2024, the Company closed the divestiture of the product rights to Duphaston® and Femoston® in the U.K. to Insud Pharma, S.L., and recognized a pre-tax gain on sale of approximately $10.8 million. The respective pre-tax gains were recorded as a component of </w:t>
      </w:r>
      <w:r>
        <w:rPr>
          <w:rFonts w:ascii="Times New Roman;serif" w:hAnsi="Times New Roman;serif"/>
          <w:b w:val="false"/>
          <w:i/>
          <w:color w:val="000000"/>
          <w:sz w:val="20"/>
        </w:rPr>
        <w:t xml:space="preserve">SG&amp;A </w:t>
      </w:r>
      <w:r>
        <w:rPr>
          <w:rFonts w:ascii="Times New Roman;serif" w:hAnsi="Times New Roman;serif"/>
          <w:b w:val="false"/>
          <w:color w:val="000000"/>
          <w:sz w:val="20"/>
        </w:rPr>
        <w:t>expense in the consolidated statement of operations.</w:t>
      </w:r>
    </w:p>
    <w:p>
      <w:pPr>
        <w:pStyle w:val="TextBody"/>
        <w:bidi w:val="0"/>
        <w:spacing w:before="0" w:after="0"/>
        <w:ind w:left="0" w:right="0" w:firstLine="720"/>
        <w:jc w:val="left"/>
        <w:rPr/>
      </w:pPr>
      <w:r>
        <w:rPr/>
      </w:r>
    </w:p>
    <w:p>
      <w:pPr>
        <w:pStyle w:val="TextBody"/>
        <w:bidi w:val="0"/>
        <w:spacing w:lineRule="auto" w:line="256"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OTC</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 2023, Viatris received an offer from Cooper Consumer Health SAS, a leading European OTC drug manufacturer and distributor, for Viatris to divest its OTC Business, including two manufacturing sites located in Merignac, France, and Confienza, Italy, and an R&amp;D site in Monza, Italy. In January 2024, we exercised our option to accept the offer in the OTC Transaction and entered into a definitive transaction agreement with respect to such OTC Transaction. The Company retained the rights for Viagra®, Dymista® (which, in certain limited markets, are sold as OTC products) and select OTC products in certain markets. The OTC Transaction closed on July 3,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OTC Business divested met the criteria to be classified as held for sale on October 1, 2023. As such, the related assets and liabilities were classified as held for sale in the consolidated balance sheet as of December 31, 2023. Upon classification as held for sale in the fourth quarter of 2023, we recognized a total charge of approximately $734.7 million, which was comprised of a goodwill impairment charge of approximately $580.1 million, and a charge of approximately $154.7 million to write down the disposal group to fair value, less cost to sell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 of operations. During the year ended December 31, 2024, the Company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additional pre-tax charges of approximately $369.0 million. The additional charges were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 of operations, and were primarily due to an increase in estimated transaction related costs, including the assumption of additional contractual obligations, as well as the impact of working capital and other transaction-related adjustments. </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API</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October 1, 2023, Viatris executed an agreement to divest its API business in India to Matrix Pharma Private Limited, a privately held pharmaceutical company based in India. The transaction included three manufacturing sites and a R&amp;D lab in Hyderabad, three manufacturing sites in Vizag and third-party API sales. Viatris retained some selective R&amp;D capabilities in API. The transaction closed in June 2024. During the year ended December 31, 2024, the Company recognized pre-tax charges of approximately $47.8 million on the disposal of the business, which were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 of operations.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Upjohn Distributor Markets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year ended December 31, 2023, the Company recorded charges totaling $136.4 million related to the divestiture of the commercialization rights in the Upjohn Distributor Markets, primarily consisting of losses on the disposals of $85.2 million, which were recorded as a component of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The divestitures of the commercialization rights in the majority of the Upjohn Distributor Markets closed during 2023 and 2024.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Biocon Biologics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29, 2022, Viatris completed a transaction to contribute its biosimilars portfolio to Biocon Biologics. Under the terms of the Biocon Agreement, Viatris received approximately $3 billion in consideration in the form of a $2 billion cash payment, adjusted as set forth in the Biocon Agreement, and approximately $1 billion of CCPS representing a stake of approximately 12.9% (on a fully diluted basis) in Biocon Biologics at closing.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shares are subject to a six-month lock up period.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U.S. markets. Refer to Note 9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Biocon Agreement provided for a closing working capital target of $250 million, of which $220 million was paid by Viatris to Biocon Biologics during 2023. In addition, pursuant to the terms of the Biocon Agreement, the Company was entitled to receive a total of $335 million of additional cash payments in 2024 as deferred consideration. The Company received $245 million in deferred cash consideration payments from Biocon Biologics during 2024, and Viatris and Biocon Biologics agreed to offset certain amounts due between the parties, including the remaining $30 million of the closing working capital target, against the deferred cash consideration. In conjunction with the final settlement of amounts due between the parties, the Company recorded a pre-tax loss of $60.0 million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statements of operations during the fourth quarter of 2024. Biocon Biologics has fulfilled its obligations with respect to all deferred cash consideration and Viatris has fulfilled its obligations with respect to the closing working capital target under the Biocon Agreement pursuant to the final settlement.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pPr>
      <w:r>
        <w:rPr>
          <w:rFonts w:ascii="Times New Roman;serif" w:hAnsi="Times New Roman;serif"/>
          <w:b/>
          <w:color w:val="000000"/>
          <w:sz w:val="20"/>
        </w:rPr>
        <w:t>6.Balance Sheet Components</w:t>
      </w:r>
      <w:r>
        <w:rPr>
          <w:color w:val="000000"/>
        </w:rPr>
        <w:t xml:space="preserve">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balance sheet components consist of the following:</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Cash and restricted cash</w:t>
      </w:r>
    </w:p>
    <w:tbl>
      <w:tblPr>
        <w:tblW w:w="9729" w:type="dxa"/>
        <w:jc w:val="left"/>
        <w:tblInd w:w="0" w:type="dxa"/>
        <w:tblLayout w:type="fixed"/>
        <w:tblCellMar>
          <w:top w:w="28" w:type="dxa"/>
          <w:left w:w="28" w:type="dxa"/>
          <w:bottom w:w="28" w:type="dxa"/>
          <w:right w:w="28" w:type="dxa"/>
        </w:tblCellMar>
      </w:tblPr>
      <w:tblGrid>
        <w:gridCol w:w="2081"/>
        <w:gridCol w:w="1827"/>
        <w:gridCol w:w="1837"/>
        <w:gridCol w:w="212"/>
        <w:gridCol w:w="773"/>
        <w:gridCol w:w="110"/>
        <w:gridCol w:w="109"/>
        <w:gridCol w:w="109"/>
        <w:gridCol w:w="109"/>
        <w:gridCol w:w="247"/>
        <w:gridCol w:w="721"/>
        <w:gridCol w:w="127"/>
        <w:gridCol w:w="109"/>
        <w:gridCol w:w="109"/>
        <w:gridCol w:w="109"/>
        <w:gridCol w:w="245"/>
        <w:gridCol w:w="716"/>
        <w:gridCol w:w="179"/>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erif" w:hAnsi="Times New Roman;serif"/>
          <w:b/>
          <w:i/>
          <w:color w:val="000000"/>
          <w:sz w:val="20"/>
        </w:rPr>
      </w:pPr>
      <w:r>
        <w:rPr>
          <w:rFonts w:ascii="Times New Roman;serif" w:hAnsi="Times New Roman;serif"/>
          <w:b/>
          <w:i/>
          <w:color w:val="000000"/>
          <w:sz w:val="20"/>
        </w:rPr>
        <w:t>Inventories</w:t>
      </w:r>
    </w:p>
    <w:tbl>
      <w:tblPr>
        <w:tblW w:w="4795" w:type="dxa"/>
        <w:jc w:val="left"/>
        <w:tblInd w:w="0" w:type="dxa"/>
        <w:tblLayout w:type="fixed"/>
        <w:tblCellMar>
          <w:top w:w="28" w:type="dxa"/>
          <w:left w:w="28" w:type="dxa"/>
          <w:bottom w:w="28" w:type="dxa"/>
          <w:right w:w="28" w:type="dxa"/>
        </w:tblCellMar>
      </w:tblPr>
      <w:tblGrid>
        <w:gridCol w:w="517"/>
        <w:gridCol w:w="453"/>
        <w:gridCol w:w="454"/>
        <w:gridCol w:w="291"/>
        <w:gridCol w:w="1058"/>
        <w:gridCol w:w="150"/>
        <w:gridCol w:w="109"/>
        <w:gridCol w:w="109"/>
        <w:gridCol w:w="109"/>
        <w:gridCol w:w="288"/>
        <w:gridCol w:w="1047"/>
        <w:gridCol w:w="210"/>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Inventory reserves totaled $430.5 million and $454.5 million at December 31, 2025 and 2024, respectively. Included as a component of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is expense related to the net realizable value of inventories of $216.2 million, $289.3 million and $226.9 million for the years ended December 31, 2025, 2024 and 2023, respectively.</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tbl>
      <w:tblPr>
        <w:tblW w:w="7421" w:type="dxa"/>
        <w:jc w:val="center"/>
        <w:tblInd w:w="0" w:type="dxa"/>
        <w:tblLayout w:type="fixed"/>
        <w:tblCellMar>
          <w:top w:w="28" w:type="dxa"/>
          <w:left w:w="28" w:type="dxa"/>
          <w:bottom w:w="28" w:type="dxa"/>
          <w:right w:w="28" w:type="dxa"/>
        </w:tblCellMar>
      </w:tblPr>
      <w:tblGrid>
        <w:gridCol w:w="1610"/>
        <w:gridCol w:w="1261"/>
        <w:gridCol w:w="1179"/>
        <w:gridCol w:w="291"/>
        <w:gridCol w:w="1058"/>
        <w:gridCol w:w="150"/>
        <w:gridCol w:w="109"/>
        <w:gridCol w:w="109"/>
        <w:gridCol w:w="109"/>
        <w:gridCol w:w="288"/>
        <w:gridCol w:w="1047"/>
        <w:gridCol w:w="210"/>
      </w:tblGrid>
      <w:tr>
        <w:trPr/>
        <w:tc>
          <w:tcPr>
            <w:tcW w:w="16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securities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 for taxes on intercompany profit</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consist primarily of prepaid rent, insurance and other individually insignificant items.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6446" w:type="dxa"/>
        <w:jc w:val="center"/>
        <w:tblInd w:w="0" w:type="dxa"/>
        <w:tblLayout w:type="fixed"/>
        <w:tblCellMar>
          <w:top w:w="28" w:type="dxa"/>
          <w:left w:w="28" w:type="dxa"/>
          <w:bottom w:w="28" w:type="dxa"/>
          <w:right w:w="28" w:type="dxa"/>
        </w:tblCellMar>
      </w:tblPr>
      <w:tblGrid>
        <w:gridCol w:w="1112"/>
        <w:gridCol w:w="975"/>
        <w:gridCol w:w="988"/>
        <w:gridCol w:w="291"/>
        <w:gridCol w:w="1058"/>
        <w:gridCol w:w="150"/>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Capitalized software costs included in our consolidated balance sheets were $115.9 million and $157.7 million, net of accumulated depreciation, at December 31, 2025 and 2024, respectively. The Company periodically reviews the estimated useful lives of assets and makes adjustments when appropriate. Depreciation expense was approximately $374.6 million, $357.0 million and $362.1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Other assets</w:t>
      </w:r>
    </w:p>
    <w:tbl>
      <w:tblPr>
        <w:tblW w:w="6250" w:type="dxa"/>
        <w:jc w:val="left"/>
        <w:tblInd w:w="0" w:type="dxa"/>
        <w:tblLayout w:type="fixed"/>
        <w:tblCellMar>
          <w:top w:w="28" w:type="dxa"/>
          <w:left w:w="28" w:type="dxa"/>
          <w:bottom w:w="28" w:type="dxa"/>
          <w:right w:w="28" w:type="dxa"/>
        </w:tblCellMar>
      </w:tblPr>
      <w:tblGrid>
        <w:gridCol w:w="1044"/>
        <w:gridCol w:w="916"/>
        <w:gridCol w:w="919"/>
        <w:gridCol w:w="291"/>
        <w:gridCol w:w="1058"/>
        <w:gridCol w:w="150"/>
        <w:gridCol w:w="109"/>
        <w:gridCol w:w="109"/>
        <w:gridCol w:w="109"/>
        <w:gridCol w:w="288"/>
        <w:gridCol w:w="1047"/>
        <w:gridCol w:w="21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CCPS in Biocon Biologics </w:t>
            </w:r>
            <w:r>
              <w:rPr>
                <w:rFonts w:ascii="Times New Roman;serif" w:hAnsi="Times New Roman;serif"/>
                <w:b w:val="false"/>
                <w:color w:val="000000"/>
                <w:sz w:val="13"/>
              </w:rPr>
              <w:t>(1)</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Refer to Note 5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ind w:left="0" w:right="0" w:hanging="360"/>
        <w:jc w:val="both"/>
        <w:rPr/>
      </w:pPr>
      <w:r>
        <w:rPr/>
      </w:r>
    </w:p>
    <w:p>
      <w:pPr>
        <w:pStyle w:val="TextBody"/>
        <w:bidi w:val="0"/>
        <w:spacing w:lineRule="auto" w:line="288" w:before="0" w:after="60"/>
        <w:ind w:left="0" w:right="0" w:hanging="720"/>
        <w:jc w:val="left"/>
        <w:rPr>
          <w:rFonts w:ascii="Times New Roman;serif" w:hAnsi="Times New Roman;serif"/>
          <w:b/>
          <w:i/>
          <w:color w:val="000000"/>
          <w:sz w:val="20"/>
        </w:rPr>
      </w:pPr>
      <w:r>
        <w:rPr>
          <w:rFonts w:ascii="Times New Roman;serif" w:hAnsi="Times New Roman;serif"/>
          <w:b/>
          <w:i/>
          <w:color w:val="000000"/>
          <w:sz w:val="20"/>
        </w:rPr>
        <w:t>Accounts payable</w:t>
      </w:r>
    </w:p>
    <w:tbl>
      <w:tblPr>
        <w:tblW w:w="5411" w:type="dxa"/>
        <w:jc w:val="left"/>
        <w:tblInd w:w="0" w:type="dxa"/>
        <w:tblLayout w:type="fixed"/>
        <w:tblCellMar>
          <w:top w:w="28" w:type="dxa"/>
          <w:left w:w="28" w:type="dxa"/>
          <w:bottom w:w="28" w:type="dxa"/>
          <w:right w:w="28" w:type="dxa"/>
        </w:tblCellMar>
      </w:tblPr>
      <w:tblGrid>
        <w:gridCol w:w="740"/>
        <w:gridCol w:w="649"/>
        <w:gridCol w:w="651"/>
        <w:gridCol w:w="291"/>
        <w:gridCol w:w="1058"/>
        <w:gridCol w:w="150"/>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certain voluntary supply chain finance programs with financial intermediaries which provide participating suppliers the option to be paid by the intermediary earlier than the original invoice due date. The Company’s responsibility is limited to making payments on the terms originally negotiated with the suppliers, regardless of whether the intermediary pays the supplier in advance of the original due date. The range of payment terms the Company negotiates with suppliers are consistent, regardless of whether a supplier participates in a supply chain finance program. The total amounts due to financial intermediaries to settle supplier invoices under supply chain finance programs as of December 31, 2025 and 2024 were $34.5 million and $41.9 million, respectively. These amounts are included within </w:t>
      </w:r>
      <w:r>
        <w:rPr>
          <w:rFonts w:ascii="Times New Roman;serif" w:hAnsi="Times New Roman;serif"/>
          <w:b w:val="false"/>
          <w:i/>
          <w:color w:val="000000"/>
          <w:sz w:val="20"/>
        </w:rPr>
        <w:t>Accounts payable</w:t>
      </w:r>
      <w:r>
        <w:rPr>
          <w:color w:val="000000"/>
        </w:rPr>
        <w:t xml:space="preserve"> </w:t>
      </w:r>
      <w:r>
        <w:rPr>
          <w:rFonts w:ascii="Times New Roman;serif" w:hAnsi="Times New Roman;serif"/>
          <w:b w:val="false"/>
          <w:color w:val="000000"/>
          <w:sz w:val="20"/>
        </w:rPr>
        <w:t>in the consolidated balance sheets.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rollforward of the Company’s outstanding obligations under its supply chain finance program for the years ended December 31, 2025 and 2024 are as follows: </w:t>
      </w:r>
    </w:p>
    <w:tbl>
      <w:tblPr>
        <w:tblW w:w="8853" w:type="dxa"/>
        <w:jc w:val="left"/>
        <w:tblInd w:w="0" w:type="dxa"/>
        <w:tblLayout w:type="fixed"/>
        <w:tblCellMar>
          <w:top w:w="28" w:type="dxa"/>
          <w:left w:w="28" w:type="dxa"/>
          <w:bottom w:w="28" w:type="dxa"/>
          <w:right w:w="28" w:type="dxa"/>
        </w:tblCellMar>
      </w:tblPr>
      <w:tblGrid>
        <w:gridCol w:w="1907"/>
        <w:gridCol w:w="1672"/>
        <w:gridCol w:w="1686"/>
        <w:gridCol w:w="381"/>
        <w:gridCol w:w="922"/>
        <w:gridCol w:w="196"/>
        <w:gridCol w:w="109"/>
        <w:gridCol w:w="109"/>
        <w:gridCol w:w="109"/>
        <w:gridCol w:w="381"/>
        <w:gridCol w:w="922"/>
        <w:gridCol w:w="196"/>
        <w:gridCol w:w="109"/>
        <w:gridCol w:w="154"/>
      </w:tblGrid>
      <w:tr>
        <w:trPr/>
        <w:tc>
          <w:tcPr>
            <w:tcW w:w="190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beginning of the year</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year</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year</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end of the year</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Other current liabilities</w:t>
      </w:r>
    </w:p>
    <w:tbl>
      <w:tblPr>
        <w:tblW w:w="8441" w:type="dxa"/>
        <w:jc w:val="center"/>
        <w:tblInd w:w="0" w:type="dxa"/>
        <w:tblLayout w:type="fixed"/>
        <w:tblCellMar>
          <w:top w:w="28" w:type="dxa"/>
          <w:left w:w="28" w:type="dxa"/>
          <w:bottom w:w="28" w:type="dxa"/>
          <w:right w:w="28" w:type="dxa"/>
        </w:tblCellMar>
      </w:tblPr>
      <w:tblGrid>
        <w:gridCol w:w="1838"/>
        <w:gridCol w:w="1609"/>
        <w:gridCol w:w="1623"/>
        <w:gridCol w:w="291"/>
        <w:gridCol w:w="1058"/>
        <w:gridCol w:w="150"/>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Payroll and employee benefit liabilities </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accruals, including litigation accruals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Other long-term obligations</w:t>
      </w:r>
    </w:p>
    <w:tbl>
      <w:tblPr>
        <w:tblW w:w="6956" w:type="dxa"/>
        <w:jc w:val="left"/>
        <w:tblInd w:w="0" w:type="dxa"/>
        <w:tblLayout w:type="fixed"/>
        <w:tblCellMar>
          <w:top w:w="28" w:type="dxa"/>
          <w:left w:w="28" w:type="dxa"/>
          <w:bottom w:w="28" w:type="dxa"/>
          <w:right w:w="28" w:type="dxa"/>
        </w:tblCellMar>
      </w:tblPr>
      <w:tblGrid>
        <w:gridCol w:w="1300"/>
        <w:gridCol w:w="1141"/>
        <w:gridCol w:w="1144"/>
        <w:gridCol w:w="291"/>
        <w:gridCol w:w="1058"/>
        <w:gridCol w:w="150"/>
        <w:gridCol w:w="109"/>
        <w:gridCol w:w="109"/>
        <w:gridCol w:w="109"/>
        <w:gridCol w:w="288"/>
        <w:gridCol w:w="1047"/>
        <w:gridCol w:w="21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liabilities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related items, including contingencies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obligations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7.Leases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elected to apply the practical expedient to not separate lease and non-lease components for our leases except for those related to certain limited supply arrangements. We have also elected to apply the short-term lease recognition exemption which means we will not recognize ROU assets or lease liabilities for leases with an initial term of 12 months of less.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As of December 31, 2025, the Company recognized ROU assets of $271.3 million and total lease liabilities of $287.5 million. The Company’s ROU assets are recorded in other assets. The related lease liability balances are recorded in other current liabilities and other long-term obligations in the consolidated balance sheets. Refer to Note 6 </w:t>
      </w:r>
      <w:r>
        <w:rPr>
          <w:rFonts w:ascii="Times New Roman;serif" w:hAnsi="Times New Roman;serif"/>
          <w:b w:val="false"/>
          <w:i/>
          <w:color w:val="000000"/>
          <w:sz w:val="20"/>
        </w:rPr>
        <w:t>Balance Sheet Components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5293" w:type="dxa"/>
        <w:jc w:val="left"/>
        <w:tblInd w:w="0" w:type="dxa"/>
        <w:tblLayout w:type="fixed"/>
        <w:tblCellMar>
          <w:top w:w="28" w:type="dxa"/>
          <w:left w:w="28" w:type="dxa"/>
          <w:bottom w:w="28" w:type="dxa"/>
          <w:right w:w="28" w:type="dxa"/>
        </w:tblCellMar>
      </w:tblPr>
      <w:tblGrid>
        <w:gridCol w:w="1207"/>
        <w:gridCol w:w="1060"/>
        <w:gridCol w:w="1062"/>
        <w:gridCol w:w="399"/>
        <w:gridCol w:w="399"/>
        <w:gridCol w:w="1166"/>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lease terms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year to 14 years</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were as follows for each of the years ending December 31:</w:t>
      </w:r>
    </w:p>
    <w:tbl>
      <w:tblPr>
        <w:tblW w:w="2826" w:type="dxa"/>
        <w:jc w:val="left"/>
        <w:tblInd w:w="0" w:type="dxa"/>
        <w:tblLayout w:type="fixed"/>
        <w:tblCellMar>
          <w:top w:w="28" w:type="dxa"/>
          <w:left w:w="28" w:type="dxa"/>
          <w:bottom w:w="28" w:type="dxa"/>
          <w:right w:w="28" w:type="dxa"/>
        </w:tblCellMar>
      </w:tblPr>
      <w:tblGrid>
        <w:gridCol w:w="669"/>
        <w:gridCol w:w="587"/>
        <w:gridCol w:w="589"/>
        <w:gridCol w:w="211"/>
        <w:gridCol w:w="61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December 31, 2025, the Company did not have leases that had not yet commenced. For the years ended December 31, 2025, 2024 and 2023, the Company had operating lease expense of approximately $92.2 million, $89.8 million and $87.6 million, respectively. Operating lease costs are classified primarily as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before="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8.Goodwill and Intangible Assets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years ended December 31, 2025 and 2024 are as follows:</w:t>
      </w:r>
    </w:p>
    <w:tbl>
      <w:tblPr>
        <w:tblW w:w="10205" w:type="dxa"/>
        <w:jc w:val="left"/>
        <w:tblInd w:w="0" w:type="dxa"/>
        <w:tblLayout w:type="fixed"/>
        <w:tblCellMar>
          <w:top w:w="28" w:type="dxa"/>
          <w:left w:w="28" w:type="dxa"/>
          <w:bottom w:w="28" w:type="dxa"/>
          <w:right w:w="28" w:type="dxa"/>
        </w:tblCellMar>
      </w:tblPr>
      <w:tblGrid>
        <w:gridCol w:w="911"/>
        <w:gridCol w:w="783"/>
        <w:gridCol w:w="780"/>
        <w:gridCol w:w="316"/>
        <w:gridCol w:w="1150"/>
        <w:gridCol w:w="163"/>
        <w:gridCol w:w="109"/>
        <w:gridCol w:w="109"/>
        <w:gridCol w:w="109"/>
        <w:gridCol w:w="258"/>
        <w:gridCol w:w="757"/>
        <w:gridCol w:w="133"/>
        <w:gridCol w:w="109"/>
        <w:gridCol w:w="109"/>
        <w:gridCol w:w="109"/>
        <w:gridCol w:w="211"/>
        <w:gridCol w:w="616"/>
        <w:gridCol w:w="109"/>
        <w:gridCol w:w="109"/>
        <w:gridCol w:w="109"/>
        <w:gridCol w:w="109"/>
        <w:gridCol w:w="305"/>
        <w:gridCol w:w="1111"/>
        <w:gridCol w:w="157"/>
        <w:gridCol w:w="109"/>
        <w:gridCol w:w="109"/>
        <w:gridCol w:w="109"/>
        <w:gridCol w:w="211"/>
        <w:gridCol w:w="766"/>
        <w:gridCol w:w="160"/>
      </w:tblGrid>
      <w:tr>
        <w:trPr/>
        <w:tc>
          <w:tcPr>
            <w:tcW w:w="9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6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Developed Markets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JANZ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Emerging Markets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Balance as of December 31, 2025 includes an accumulated impairment loss of $3.19 billion. Balances as of December 31, 2024 and 2023 include an accumulated impairment loss of $929.0 million.</w:t>
      </w:r>
    </w:p>
    <w:p>
      <w:pPr>
        <w:pStyle w:val="TextBody"/>
        <w:bidi w:val="0"/>
        <w:spacing w:lineRule="auto" w:line="288" w:before="0" w:after="60"/>
        <w:ind w:left="0" w:right="0" w:hanging="360"/>
        <w:jc w:val="left"/>
        <w:rPr/>
      </w:pPr>
      <w:r>
        <w:rPr>
          <w:rFonts w:ascii="Times New Roman;serif" w:hAnsi="Times New Roman;serif"/>
          <w:b w:val="false"/>
          <w:color w:val="000000"/>
          <w:sz w:val="14"/>
        </w:rPr>
        <w:t>(2)</w:t>
      </w:r>
      <w:r>
        <w:rPr>
          <w:rFonts w:ascii="Times New Roman;serif" w:hAnsi="Times New Roman;serif"/>
          <w:b w:val="false"/>
          <w:color w:val="000000"/>
          <w:sz w:val="20"/>
        </w:rPr>
        <w:t>Balances as of December 31, 2025, 2024, and 2023 include an accumulated impairment loss of $651.8 million, $351.0 million, and $30.0 million, respectively.</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Balance as of December 31, 2025 includes an accumulated impairment loss of $499.0 million. Balances as of December 31, 2024 and 2023 include an accumulated impairment loss of $124.0 million.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April 1, 2024 annual goodwill impairment test, the Company recorded a goodwill impairment charge of $321.0 million during the second quarter of 2024 related to its JANZ reporting unit. The impairment charge was primarily the result of a 1.0% increase in the discount rate and a 0.5% reduction in the terminal growth rate assumption for the reporting unit compared with the assumptions used for the April 1, 2023 annual goodwill impairment test.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the fourth quarter of 2023, the OTC Business met the criteria to be classified as held for sale. The Company allocated goodwill to its OTC Business using a relative fair value approach and recorded a goodwill impairment charge of $580.1 million in that quarter within the Europe (majority of the charge), JANZ and Emerging Markets reporting units. The goodwill impairment charge was the result of the estimated proceeds less selling costs from the planned divestiture of the OTC Business being below the carrying value of the net assets of the disposal group. Refer to Note 5 </w:t>
      </w:r>
      <w:r>
        <w:rPr>
          <w:rFonts w:ascii="Times New Roman;serif" w:hAnsi="Times New Roman;serif"/>
          <w:b w:val="false"/>
          <w:i/>
          <w:color w:val="000000"/>
          <w:sz w:val="20"/>
        </w:rPr>
        <w:t xml:space="preserve">Divestitures </w:t>
      </w:r>
      <w:r>
        <w:rPr>
          <w:rFonts w:ascii="Times New Roman;serif" w:hAnsi="Times New Roman;serif"/>
          <w:b w:val="false"/>
          <w:color w:val="000000"/>
          <w:sz w:val="20"/>
        </w:rPr>
        <w:t>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76"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components at December 31, 2025 and 2024:</w:t>
      </w:r>
    </w:p>
    <w:tbl>
      <w:tblPr>
        <w:tblW w:w="10205" w:type="dxa"/>
        <w:jc w:val="left"/>
        <w:tblInd w:w="0" w:type="dxa"/>
        <w:tblLayout w:type="fixed"/>
        <w:tblCellMar>
          <w:top w:w="28" w:type="dxa"/>
          <w:left w:w="28" w:type="dxa"/>
          <w:bottom w:w="28" w:type="dxa"/>
          <w:right w:w="28" w:type="dxa"/>
        </w:tblCellMar>
      </w:tblPr>
      <w:tblGrid>
        <w:gridCol w:w="1026"/>
        <w:gridCol w:w="865"/>
        <w:gridCol w:w="866"/>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4"/>
      </w:tblGrid>
      <w:tr>
        <w:trPr/>
        <w:tc>
          <w:tcPr>
            <w:tcW w:w="102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amortizable intangible assets. Other intangible assets consist principally of customer lists and contractual rights.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year ended December 31, 2024, the Company recorded IPR&amp;D assets of approximately $675.0 million as part of the Idorsia Transaction.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rights and licenses are primarily comprised of the products marketed at the time of acquisition. These product rights and licenses relate to numerous individual products, the net book value of which, by product category, is as follows:</w:t>
      </w:r>
    </w:p>
    <w:tbl>
      <w:tblPr>
        <w:tblW w:w="10205" w:type="dxa"/>
        <w:jc w:val="left"/>
        <w:tblInd w:w="0" w:type="dxa"/>
        <w:tblLayout w:type="fixed"/>
        <w:tblCellMar>
          <w:top w:w="28" w:type="dxa"/>
          <w:left w:w="28" w:type="dxa"/>
          <w:bottom w:w="28" w:type="dxa"/>
          <w:right w:w="28" w:type="dxa"/>
        </w:tblCellMar>
      </w:tblPr>
      <w:tblGrid>
        <w:gridCol w:w="923"/>
        <w:gridCol w:w="798"/>
        <w:gridCol w:w="794"/>
        <w:gridCol w:w="275"/>
        <w:gridCol w:w="1002"/>
        <w:gridCol w:w="142"/>
        <w:gridCol w:w="109"/>
        <w:gridCol w:w="109"/>
        <w:gridCol w:w="109"/>
        <w:gridCol w:w="223"/>
        <w:gridCol w:w="813"/>
        <w:gridCol w:w="115"/>
        <w:gridCol w:w="109"/>
        <w:gridCol w:w="109"/>
        <w:gridCol w:w="109"/>
        <w:gridCol w:w="211"/>
        <w:gridCol w:w="616"/>
        <w:gridCol w:w="109"/>
        <w:gridCol w:w="109"/>
        <w:gridCol w:w="109"/>
        <w:gridCol w:w="109"/>
        <w:gridCol w:w="268"/>
        <w:gridCol w:w="976"/>
        <w:gridCol w:w="139"/>
        <w:gridCol w:w="109"/>
        <w:gridCol w:w="109"/>
        <w:gridCol w:w="109"/>
        <w:gridCol w:w="253"/>
        <w:gridCol w:w="1047"/>
        <w:gridCol w:w="193"/>
      </w:tblGrid>
      <w:tr>
        <w:trPr/>
        <w:tc>
          <w:tcPr>
            <w:tcW w:w="92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Rights and Licenses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1"/>
        <w:gridCol w:w="767"/>
        <w:gridCol w:w="761"/>
        <w:gridCol w:w="272"/>
        <w:gridCol w:w="989"/>
        <w:gridCol w:w="140"/>
        <w:gridCol w:w="109"/>
        <w:gridCol w:w="109"/>
        <w:gridCol w:w="109"/>
        <w:gridCol w:w="223"/>
        <w:gridCol w:w="811"/>
        <w:gridCol w:w="115"/>
        <w:gridCol w:w="109"/>
        <w:gridCol w:w="109"/>
        <w:gridCol w:w="109"/>
        <w:gridCol w:w="211"/>
        <w:gridCol w:w="766"/>
        <w:gridCol w:w="109"/>
        <w:gridCol w:w="109"/>
        <w:gridCol w:w="109"/>
        <w:gridCol w:w="109"/>
        <w:gridCol w:w="265"/>
        <w:gridCol w:w="964"/>
        <w:gridCol w:w="137"/>
        <w:gridCol w:w="109"/>
        <w:gridCol w:w="109"/>
        <w:gridCol w:w="109"/>
        <w:gridCol w:w="250"/>
        <w:gridCol w:w="1037"/>
        <w:gridCol w:w="189"/>
      </w:tblGrid>
      <w:tr>
        <w:trPr/>
        <w:tc>
          <w:tcPr>
            <w:tcW w:w="89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14,688.7 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Rights and Licenses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7,679.2 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Amortization expense, intangible asset disposal &amp; impairment charges and IPR&amp;D intangible asset impairment charges (which are included as a component of amortization expense) are classified primarily within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consolidated statements of operations, and were as follows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268"/>
        <w:gridCol w:w="1978"/>
        <w:gridCol w:w="2000"/>
        <w:gridCol w:w="211"/>
        <w:gridCol w:w="766"/>
        <w:gridCol w:w="109"/>
        <w:gridCol w:w="109"/>
        <w:gridCol w:w="109"/>
        <w:gridCol w:w="109"/>
        <w:gridCol w:w="211"/>
        <w:gridCol w:w="766"/>
        <w:gridCol w:w="109"/>
        <w:gridCol w:w="109"/>
        <w:gridCol w:w="109"/>
        <w:gridCol w:w="109"/>
        <w:gridCol w:w="211"/>
        <w:gridCol w:w="766"/>
        <w:gridCol w:w="156"/>
      </w:tblGrid>
      <w:tr>
        <w:trPr/>
        <w:tc>
          <w:tcPr>
            <w:tcW w:w="2268"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 intangible asset impairment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disposal &amp; impairment charges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18, 2025, the Company announced that a randomized, double-masked, vehicle-controlled, Phase 3 study to evaluate the efficacy and safety of pimecrolimus 0.3% (MR-139) ophthalmic ointment in subjects with blepharitis did not meet its primary endpoint of complete resolution of debris after six weeks of twice daily dosing. During the fourth quarter of 2025, the Company made the decision not to proceed with an additional Phase 3 study. As a result, the Company fully impaired the related IPR&amp;D asset and recorded impairment expense of $71.7 million in its consolidated statements of operations.</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2024, the Company concluded that certain of its IPR&amp;D assets were fully impaired due to unfavorable clinical results and/or changes in market conditions which led to the termination of the development programs.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Any future long-lived assets impairment charges could have a material impact on the Company’s consolidated financial condition and results of operations.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During the year ended December 31, 2023, the Company recognized intangible asset charges of approximately $32.0 million, recorded within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consolidated statements of operations, to write down the disposal group to fair value, less cost to sell, related to our commercialization rights in the Upjohn Distributor Markets, which was classified as held for sal</w:t>
      </w:r>
      <w:r>
        <w:rPr>
          <w:rFonts w:ascii="Times New Roman;serif" w:hAnsi="Times New Roman;serif"/>
          <w:b w:val="false"/>
          <w:color w:val="000000"/>
          <w:sz w:val="20"/>
          <w:shd w:fill="FFFFFF" w:val="clear"/>
        </w:rPr>
        <w:t xml:space="preserve">e. Refer to Note 5 </w:t>
      </w:r>
      <w:r>
        <w:rPr>
          <w:rFonts w:ascii="Times New Roman;serif" w:hAnsi="Times New Roman;serif"/>
          <w:b w:val="false"/>
          <w:i/>
          <w:color w:val="000000"/>
          <w:sz w:val="20"/>
          <w:shd w:fill="FFFFFF" w:val="clear"/>
        </w:rPr>
        <w:t xml:space="preserve">Divestitures </w:t>
      </w:r>
      <w:r>
        <w:rPr>
          <w:rFonts w:ascii="Times New Roman;serif" w:hAnsi="Times New Roman;serif"/>
          <w:b w:val="false"/>
          <w:color w:val="000000"/>
          <w:sz w:val="20"/>
          <w:shd w:fill="FFFFFF" w:val="clear"/>
        </w:rPr>
        <w:t>for additional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14.5% and 20.0% were utilized in the valuations performed during the year ended December 31, 2025. Discount rates ranging between 11.0% and 24.0% were utilized in the valuations performed during the year ended December 31, 2024. Discount rates ranging between 10.0% and 24.0% were utilized in the valuations performed during the year ended December 31, 2023.</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fair value of both IPR&amp;D and finite-lived intangible assets was determined based upon detailed valuations employing the income approach which utilized Level 3 inputs, as defined in Note 9 </w:t>
      </w:r>
      <w:r>
        <w:rPr>
          <w:rFonts w:ascii="Times New Roman;serif" w:hAnsi="Times New Roman;serif"/>
          <w:b w:val="false"/>
          <w:i/>
          <w:color w:val="000000"/>
          <w:sz w:val="20"/>
        </w:rPr>
        <w:t>Financial Instruments and Risk Management</w:t>
      </w:r>
      <w:r>
        <w:rPr>
          <w:rFonts w:ascii="Times New Roman;serif" w:hAnsi="Times New Roman;serif"/>
          <w:b w:val="false"/>
          <w:color w:val="000000"/>
          <w:sz w:val="20"/>
        </w:rPr>
        <w:t>. Changes to any of the Company’s assumptions including changes to or abandonment of development programs, regulatory timelines, discount rates or the competitive environment related to the assets could lead to future material impairment charges.</w:t>
      </w:r>
    </w:p>
    <w:p>
      <w:pPr>
        <w:pStyle w:val="TextBody"/>
        <w:bidi w:val="0"/>
        <w:spacing w:lineRule="auto" w:line="276"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for the years ending December 31, 2026 through 2030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9.Financial Instruments and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principal amounts of the Company’s outstanding Euro and Yen borrowings and the notional amounts of the Euro and Yen borrowings designated as net investment hedges:</w:t>
      </w:r>
    </w:p>
    <w:tbl>
      <w:tblPr>
        <w:tblW w:w="9559" w:type="dxa"/>
        <w:jc w:val="center"/>
        <w:tblInd w:w="0" w:type="dxa"/>
        <w:tblLayout w:type="fixed"/>
        <w:tblCellMar>
          <w:top w:w="28" w:type="dxa"/>
          <w:left w:w="28" w:type="dxa"/>
          <w:bottom w:w="28" w:type="dxa"/>
          <w:right w:w="28" w:type="dxa"/>
        </w:tblCellMar>
      </w:tblPr>
      <w:tblGrid>
        <w:gridCol w:w="1191"/>
        <w:gridCol w:w="1045"/>
        <w:gridCol w:w="1048"/>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Designated as a Net Investment Hedge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1.362% Euro Senior Notes due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Euro Senior Notes due 2028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1.908% Euro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Yen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 February 2026, the Company de-designated the €750.0 million 3.125% Euro Senior Notes due 2028 as net investment hedges.</w: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the principal amount of the Company’s outstanding Yen borrowings and the notional amount of the Yen borrowings designated as net investment hedges was $255.2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 During the third quarter of 2025, the Company terminated its Yen fixed-rate cross-currency interest rate swaps in exchange for $3.4 million in cash proceeds, net of fees.</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executed foreign currency forward contracts with notional amounts totaling Chinese Renminbi 1.42 billion (approximately $200 million) maturing in December 2026 and Chinese Renminbi 695 million (approximately $100 million) maturing in December 2027. The transactions hedge a portion of the Company’s net investment in certain Chinese Renminbi functional currency subsidiaries. The contracts were designated as net investment hedges.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Rate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Flow Hedging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and fair values of derivative instruments in our consolidated balance sheets:</w:t>
      </w:r>
    </w:p>
    <w:tbl>
      <w:tblPr>
        <w:tblW w:w="10205" w:type="dxa"/>
        <w:jc w:val="left"/>
        <w:tblInd w:w="0" w:type="dxa"/>
        <w:tblLayout w:type="fixed"/>
        <w:tblCellMar>
          <w:top w:w="28" w:type="dxa"/>
          <w:left w:w="28" w:type="dxa"/>
          <w:bottom w:w="28" w:type="dxa"/>
          <w:right w:w="28" w:type="dxa"/>
        </w:tblCellMar>
      </w:tblPr>
      <w:tblGrid>
        <w:gridCol w:w="787"/>
        <w:gridCol w:w="534"/>
        <w:gridCol w:w="539"/>
        <w:gridCol w:w="536"/>
        <w:gridCol w:w="469"/>
        <w:gridCol w:w="471"/>
        <w:gridCol w:w="309"/>
        <w:gridCol w:w="750"/>
        <w:gridCol w:w="159"/>
        <w:gridCol w:w="292"/>
        <w:gridCol w:w="853"/>
        <w:gridCol w:w="150"/>
        <w:gridCol w:w="109"/>
        <w:gridCol w:w="109"/>
        <w:gridCol w:w="109"/>
        <w:gridCol w:w="601"/>
        <w:gridCol w:w="390"/>
        <w:gridCol w:w="391"/>
        <w:gridCol w:w="292"/>
        <w:gridCol w:w="853"/>
        <w:gridCol w:w="150"/>
        <w:gridCol w:w="288"/>
        <w:gridCol w:w="842"/>
        <w:gridCol w:w="222"/>
      </w:tblGrid>
      <w:tr>
        <w:trPr/>
        <w:tc>
          <w:tcPr>
            <w:tcW w:w="7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hedges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hedges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derivatives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1250"/>
        <w:gridCol w:w="1028"/>
        <w:gridCol w:w="996"/>
        <w:gridCol w:w="1056"/>
        <w:gridCol w:w="1038"/>
        <w:gridCol w:w="1041"/>
        <w:gridCol w:w="109"/>
        <w:gridCol w:w="109"/>
        <w:gridCol w:w="109"/>
        <w:gridCol w:w="280"/>
        <w:gridCol w:w="767"/>
        <w:gridCol w:w="144"/>
        <w:gridCol w:w="280"/>
        <w:gridCol w:w="680"/>
        <w:gridCol w:w="144"/>
        <w:gridCol w:w="280"/>
        <w:gridCol w:w="680"/>
        <w:gridCol w:w="214"/>
      </w:tblGrid>
      <w:tr>
        <w:trPr/>
        <w:tc>
          <w:tcPr>
            <w:tcW w:w="125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2278" w:type="dxa"/>
            <w:gridSpan w:val="6"/>
            <w:tcBorders/>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2278" w:type="dxa"/>
            <w:gridSpan w:val="6"/>
            <w:tcBorders/>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274" w:type="dxa"/>
            <w:gridSpan w:val="3"/>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3"/>
        <w:gridCol w:w="412"/>
        <w:gridCol w:w="399"/>
        <w:gridCol w:w="457"/>
        <w:gridCol w:w="401"/>
        <w:gridCol w:w="402"/>
        <w:gridCol w:w="112"/>
        <w:gridCol w:w="112"/>
        <w:gridCol w:w="112"/>
        <w:gridCol w:w="274"/>
        <w:gridCol w:w="853"/>
        <w:gridCol w:w="141"/>
        <w:gridCol w:w="260"/>
        <w:gridCol w:w="762"/>
        <w:gridCol w:w="134"/>
        <w:gridCol w:w="260"/>
        <w:gridCol w:w="679"/>
        <w:gridCol w:w="134"/>
        <w:gridCol w:w="109"/>
        <w:gridCol w:w="109"/>
        <w:gridCol w:w="109"/>
        <w:gridCol w:w="262"/>
        <w:gridCol w:w="505"/>
        <w:gridCol w:w="135"/>
        <w:gridCol w:w="262"/>
        <w:gridCol w:w="636"/>
        <w:gridCol w:w="135"/>
        <w:gridCol w:w="262"/>
        <w:gridCol w:w="636"/>
        <w:gridCol w:w="208"/>
      </w:tblGrid>
      <w:tr>
        <w:trPr/>
        <w:tc>
          <w:tcPr>
            <w:tcW w:w="9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Reclassified from AOCE into Earnings</w:t>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0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At December 31, 2025, the Company expects that approximately $20.0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location of the gain/(loss) reclassified from AOCE into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605" cy="14605"/>
                <wp:effectExtent l="0" t="0" r="0" b="0"/>
                <wp:wrapNone/>
                <wp:docPr id="118" name="Frame11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900"/>
        <w:jc w:val="left"/>
        <w:rPr/>
      </w:pPr>
      <w:r>
        <w:rPr>
          <w:rFonts w:ascii="Times New Roman;serif" w:hAnsi="Times New Roman;serif"/>
          <w:b w:val="false"/>
          <w:i/>
          <w:color w:val="000000"/>
          <w:sz w:val="20"/>
        </w:rPr>
        <w:t>Level 1:</w:t>
      </w:r>
      <w:r>
        <w:rPr>
          <w:color w:val="000000"/>
        </w:rPr>
        <w:t>        </w:t>
      </w:r>
      <w:r>
        <w:rPr>
          <w:rFonts w:ascii="Times New Roman;serif" w:hAnsi="Times New Roman;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900"/>
        <w:jc w:val="left"/>
        <w:rPr/>
      </w:pPr>
      <w:r>
        <w:rPr>
          <w:rFonts w:ascii="Times New Roman;serif" w:hAnsi="Times New Roman;serif"/>
          <w:b w:val="false"/>
          <w:i/>
          <w:color w:val="000000"/>
          <w:sz w:val="20"/>
        </w:rPr>
        <w:t>Level 2:</w:t>
      </w:r>
      <w:r>
        <w:rPr>
          <w:color w:val="000000"/>
        </w:rPr>
        <w:t>        </w:t>
      </w:r>
      <w:r>
        <w:rPr>
          <w:rFonts w:ascii="Times New Roman;serif" w:hAnsi="Times New Roman;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900"/>
        <w:jc w:val="left"/>
        <w:rPr/>
      </w:pPr>
      <w:r>
        <w:rPr>
          <w:rFonts w:ascii="Times New Roman;serif" w:hAnsi="Times New Roman;serif"/>
          <w:b w:val="false"/>
          <w:i/>
          <w:color w:val="000000"/>
          <w:sz w:val="20"/>
        </w:rPr>
        <w:t>Level 3:</w:t>
      </w:r>
      <w:r>
        <w:rPr>
          <w:color w:val="000000"/>
        </w:rPr>
        <w:t>        </w:t>
      </w:r>
      <w:r>
        <w:rPr>
          <w:rFonts w:ascii="Times New Roman;serif" w:hAnsi="Times New Roman;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39"/>
        <w:gridCol w:w="781"/>
        <w:gridCol w:w="788"/>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5"/>
      </w:tblGrid>
      <w:tr>
        <w:trPr/>
        <w:tc>
          <w:tcPr>
            <w:tcW w:w="103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traded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fixed income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recurring fair value measurement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For the years ended December 31, 2025 and 2024, there were no transfers between Level 1 and 2 of the fair value hierarchy.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Cash equivalents</w:t>
      </w:r>
      <w:r>
        <w:rPr>
          <w:color w:val="000000"/>
        </w:rPr>
        <w:t xml:space="preserve"> — </w:t>
      </w:r>
      <w:r>
        <w:rPr>
          <w:rFonts w:ascii="Times New Roman;serif" w:hAnsi="Times New Roman;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exchange traded funds</w:t>
      </w:r>
      <w:r>
        <w:rPr>
          <w:color w:val="000000"/>
        </w:rPr>
        <w:t xml:space="preserve"> — </w:t>
      </w:r>
      <w:r>
        <w:rPr>
          <w:rFonts w:ascii="Times New Roman;serif" w:hAnsi="Times New Roman;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erif" w:hAnsi="Times New Roman;serif"/>
          <w:b w:val="false"/>
          <w:i/>
          <w:color w:val="000000"/>
          <w:sz w:val="20"/>
        </w:rPr>
        <w:t>Other Expense (Income), Net</w:t>
      </w:r>
      <w:r>
        <w:rPr>
          <w:rFonts w:ascii="Times New Roman;serif" w:hAnsi="Times New Roman;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Equity securities, marketable securities </w:t>
      </w:r>
      <w:r>
        <w:rPr>
          <w:color w:val="000000"/>
        </w:rPr>
        <w:t xml:space="preserve">— </w:t>
      </w:r>
      <w:r>
        <w:rPr>
          <w:rFonts w:ascii="Times New Roman;serif" w:hAnsi="Times New Roman;serif"/>
          <w:b w:val="false"/>
          <w:color w:val="000000"/>
          <w:sz w:val="20"/>
        </w:rPr>
        <w:t xml:space="preserve">valued using quoted stock prices from public exchanges at the reporting date. Unrealized gains and losses attributable to changes in fair value are included in </w:t>
      </w:r>
      <w:r>
        <w:rPr>
          <w:rFonts w:ascii="Times New Roman;serif" w:hAnsi="Times New Roman;serif"/>
          <w:b w:val="false"/>
          <w:i/>
          <w:color w:val="000000"/>
          <w:sz w:val="20"/>
        </w:rPr>
        <w:t>Other Expense (Income), Net</w:t>
      </w:r>
      <w:r>
        <w:rPr>
          <w:rFonts w:ascii="Times New Roman;serif" w:hAnsi="Times New Roman;serif"/>
          <w:b w:val="false"/>
          <w:color w:val="000000"/>
          <w:sz w:val="20"/>
        </w:rPr>
        <w:t>, in the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CCPS in Biocon Biologics</w:t>
      </w:r>
      <w:r>
        <w:rPr>
          <w:color w:val="000000"/>
        </w:rPr>
        <w:t xml:space="preserve"> — </w:t>
      </w:r>
      <w:r>
        <w:rPr>
          <w:rFonts w:ascii="Times New Roman;serif" w:hAnsi="Times New Roman;serif"/>
          <w:b w:val="false"/>
          <w:color w:val="000000"/>
          <w:sz w:val="20"/>
        </w:rPr>
        <w:t xml:space="preserve">The Company elected the fair value option for the CCPS under </w:t>
      </w:r>
      <w:r>
        <w:rPr>
          <w:rFonts w:ascii="Times New Roman;serif" w:hAnsi="Times New Roman;serif"/>
          <w:b w:val="false"/>
          <w:i/>
          <w:color w:val="000000"/>
          <w:sz w:val="20"/>
        </w:rPr>
        <w:t>ASC 825</w:t>
      </w:r>
      <w:r>
        <w:rPr>
          <w:rFonts w:ascii="Times New Roman;serif" w:hAnsi="Times New Roman;serif"/>
          <w:b w:val="false"/>
          <w:color w:val="000000"/>
          <w:sz w:val="20"/>
        </w:rPr>
        <w:t xml:space="preserve">. The fair value is reassessed quarterly and any change in the fair value estimate is recorded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statements of operations for that period. As of December 31, 2024, the CCPS were valued using a Monte Carlo simulation model using Level 3 inputs. As a result of the execution of the definitive agreements with Biocon and the corresponding availability of observable inputs (refer to Note 5 </w:t>
      </w:r>
      <w:r>
        <w:rPr>
          <w:rFonts w:ascii="Times New Roman;serif" w:hAnsi="Times New Roman;serif"/>
          <w:b w:val="false"/>
          <w:i/>
          <w:color w:val="000000"/>
          <w:sz w:val="20"/>
        </w:rPr>
        <w:t>Divestitures</w:t>
      </w:r>
      <w:r>
        <w:rPr>
          <w:color w:val="000000"/>
        </w:rPr>
        <w:t xml:space="preserve"> </w:t>
      </w:r>
      <w:r>
        <w:rPr>
          <w:rFonts w:ascii="Times New Roman;serif" w:hAnsi="Times New Roman;serif"/>
          <w:b w:val="false"/>
          <w:color w:val="000000"/>
          <w:sz w:val="20"/>
        </w:rPr>
        <w:t xml:space="preserve">for more information), the fair value of the CCPS in Biocon Biologics of $815.0 million was transferred out of Level 3 to Level 2 classification of the fair value hierarchy during the year ended December 31, 2025. The Company’s policy regarding the timing of transfers between levels is to measure and record the transfers at the end of the reporting period. During the years ended December 31, 2025, 2024, and 2023, the Company recorded a loss (gain) of $534.8 million, $(373.5) million, and $21.1 million, respectively, as a result of remeasuring the CCPS in Biocon Biologics to fair value. The Company’s CCPS in Biocon Biologics are classified as equity securities and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Available-for-sale fixed income investments</w:t>
      </w:r>
      <w:r>
        <w:rPr>
          <w:color w:val="000000"/>
        </w:rPr>
        <w:t xml:space="preserve"> — </w:t>
      </w:r>
      <w:r>
        <w:rPr>
          <w:rFonts w:ascii="Times New Roman;serif" w:hAnsi="Times New Roman;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Interest rate swaps and foreign exchange derivative assets and liabilities</w:t>
      </w:r>
      <w:r>
        <w:rPr>
          <w:color w:val="000000"/>
        </w:rPr>
        <w:t xml:space="preserve"> — </w:t>
      </w:r>
      <w:r>
        <w:rPr>
          <w:rFonts w:ascii="Times New Roman;serif" w:hAnsi="Times New Roman;serif"/>
          <w:b w:val="false"/>
          <w:color w:val="000000"/>
          <w:sz w:val="20"/>
        </w:rPr>
        <w:t>valued using interest yield curves, quoted forward foreign exchange prices and spot rates at the reporting date. Counterparties to these contracts are highly rated financial institutions.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 Inhub® (fluticasone propionate and salmeterol inhalation powder, USP), the first generic of GlaxoSmithKline’s Advair Diskus®. The commercial launch of the Wixela Inhub® occurred in February 2019. As of December 31, 2025 and 2024, the Company had a contingent consideration liability of $64.6 million and $176.3 million, respectively, related to the Respiratory Delivery Platform. </w:t>
      </w:r>
    </w:p>
    <w:p>
      <w:pPr>
        <w:pStyle w:val="TextBody"/>
        <w:bidi w:val="0"/>
        <w:spacing w:lineRule="auto" w:line="288" w:before="0" w:after="0"/>
        <w:ind w:left="0" w:right="0" w:firstLine="720"/>
        <w:jc w:val="left"/>
        <w:rPr/>
      </w:pPr>
      <w:r>
        <w:rPr>
          <w:rFonts w:ascii="Times New Roman;serif" w:hAnsi="Times New Roman;serif"/>
          <w:b w:val="false"/>
          <w:color w:val="000000"/>
          <w:sz w:val="20"/>
        </w:rPr>
        <w:t>As of December 31, 2025 and 2024, the Company had a contingent consideration liability of $307.0 million and $378.0 million, respectively, related to the Idorsia Transaction. As a result of the February 25, 2025 letter agreement entered into that amended certain terms of the original development agreement for selatogrel and cenerimod, the Company recorded a fair value adjustment gain of approximately $107.0 million during the three months ended March 31, 2025. Refer to Note 4</w:t>
      </w:r>
      <w:r>
        <w:rPr>
          <w:color w:val="000000"/>
        </w:rPr>
        <w:t xml:space="preserve">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December 31, 2025 and 2024, discount rates ranging from 8.5% to 19.0%, and 9.0% to 19.0%, respectively, were utilized in the valuations. Significant changes in unobservable inputs could result in material changes to the contingent consideration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activity in the Company’s fair value of contingent consideration from December 31, 2023 to December 31, 2025 is as follows:</w:t>
      </w:r>
    </w:p>
    <w:tbl>
      <w:tblPr>
        <w:tblW w:w="8872" w:type="dxa"/>
        <w:jc w:val="left"/>
        <w:tblInd w:w="0" w:type="dxa"/>
        <w:tblLayout w:type="fixed"/>
        <w:tblCellMar>
          <w:top w:w="28" w:type="dxa"/>
          <w:left w:w="28" w:type="dxa"/>
          <w:bottom w:w="28" w:type="dxa"/>
          <w:right w:w="28" w:type="dxa"/>
        </w:tblCellMar>
      </w:tblPr>
      <w:tblGrid>
        <w:gridCol w:w="941"/>
        <w:gridCol w:w="826"/>
        <w:gridCol w:w="828"/>
        <w:gridCol w:w="369"/>
        <w:gridCol w:w="895"/>
        <w:gridCol w:w="190"/>
        <w:gridCol w:w="109"/>
        <w:gridCol w:w="109"/>
        <w:gridCol w:w="109"/>
        <w:gridCol w:w="385"/>
        <w:gridCol w:w="1126"/>
        <w:gridCol w:w="199"/>
        <w:gridCol w:w="109"/>
        <w:gridCol w:w="109"/>
        <w:gridCol w:w="109"/>
        <w:gridCol w:w="527"/>
        <w:gridCol w:w="1544"/>
        <w:gridCol w:w="388"/>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Portion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Long-Term Portion</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Contingent Consideration</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loss </w:t>
            </w:r>
            <w:r>
              <w:rPr>
                <w:rFonts w:ascii="Times New Roman;serif" w:hAnsi="Times New Roman;serif"/>
                <w:b w:val="false"/>
                <w:color w:val="000000"/>
                <w:sz w:val="13"/>
              </w:rPr>
              <w:t>(3)</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gain </w:t>
            </w:r>
            <w:r>
              <w:rPr>
                <w:rFonts w:ascii="Times New Roman;serif" w:hAnsi="Times New Roman;serif"/>
                <w:b w:val="false"/>
                <w:color w:val="000000"/>
                <w:sz w:val="13"/>
              </w:rPr>
              <w:t>(3)</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liabilities in the consolidated balance sheets.</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Included in other long-term obligations in the consolidated balance sheets.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Included in litigation settlements and other contingencies, net in the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has not elected the fair value option for financial assets and liabilities other than the CCPS, any future transacted financial asset or liability will be evaluated for the fair value election.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Available-for-Sale Securities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 of available-for-sale securities were as follows:</w:t>
      </w:r>
    </w:p>
    <w:tbl>
      <w:tblPr>
        <w:tblW w:w="10205" w:type="dxa"/>
        <w:jc w:val="left"/>
        <w:tblInd w:w="0" w:type="dxa"/>
        <w:tblLayout w:type="fixed"/>
        <w:tblCellMar>
          <w:top w:w="28" w:type="dxa"/>
          <w:left w:w="28" w:type="dxa"/>
          <w:bottom w:w="28" w:type="dxa"/>
          <w:right w:w="28" w:type="dxa"/>
        </w:tblCellMar>
      </w:tblPr>
      <w:tblGrid>
        <w:gridCol w:w="1084"/>
        <w:gridCol w:w="950"/>
        <w:gridCol w:w="894"/>
        <w:gridCol w:w="850"/>
        <w:gridCol w:w="818"/>
        <w:gridCol w:w="820"/>
        <w:gridCol w:w="109"/>
        <w:gridCol w:w="109"/>
        <w:gridCol w:w="109"/>
        <w:gridCol w:w="211"/>
        <w:gridCol w:w="511"/>
        <w:gridCol w:w="109"/>
        <w:gridCol w:w="109"/>
        <w:gridCol w:w="109"/>
        <w:gridCol w:w="109"/>
        <w:gridCol w:w="257"/>
        <w:gridCol w:w="495"/>
        <w:gridCol w:w="134"/>
        <w:gridCol w:w="109"/>
        <w:gridCol w:w="109"/>
        <w:gridCol w:w="109"/>
        <w:gridCol w:w="252"/>
        <w:gridCol w:w="503"/>
        <w:gridCol w:w="131"/>
        <w:gridCol w:w="109"/>
        <w:gridCol w:w="109"/>
        <w:gridCol w:w="109"/>
        <w:gridCol w:w="211"/>
        <w:gridCol w:w="511"/>
        <w:gridCol w:w="156"/>
      </w:tblGrid>
      <w:tr>
        <w:trPr/>
        <w:tc>
          <w:tcPr>
            <w:tcW w:w="108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available-for-sale fixed income investments at fair value as of December 31, 2025, were as follows:</w:t>
      </w:r>
    </w:p>
    <w:tbl>
      <w:tblPr>
        <w:tblW w:w="3366" w:type="dxa"/>
        <w:jc w:val="left"/>
        <w:tblInd w:w="0" w:type="dxa"/>
        <w:tblLayout w:type="fixed"/>
        <w:tblCellMar>
          <w:top w:w="28" w:type="dxa"/>
          <w:left w:w="28" w:type="dxa"/>
          <w:bottom w:w="28" w:type="dxa"/>
          <w:right w:w="28" w:type="dxa"/>
        </w:tblCellMar>
      </w:tblPr>
      <w:tblGrid>
        <w:gridCol w:w="904"/>
        <w:gridCol w:w="792"/>
        <w:gridCol w:w="794"/>
        <w:gridCol w:w="211"/>
        <w:gridCol w:w="511"/>
        <w:gridCol w:w="154"/>
      </w:tblGrid>
      <w:tr>
        <w:trPr/>
        <w:tc>
          <w:tcPr>
            <w:tcW w:w="90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one to five years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five years and later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10.Debt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provides an overview of the Company’s short-term credit facilities.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Receivables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outstanding under the Receivables Facility bear interest at the applicable base rate plus applicable margins and are included as a component of short-term borrowings, while the accounts receivable securing these obligations remain as a component of accounts receivable, net, in our consolidated balance sheets. In addition, the agreement governing the Receivables Facility contains various customary affirmative and negative covenants, and customary default and termination provisions with which the Company was compliant as of December 31, 2025. As of December 31, 2025 and 2024, the Company had $409.4 million and $484.1 million, respectively, of accounts receivable balances sold to its subsidiary Mylan Securitization LLC under the Receivables Facility.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long-term debt is as follows:</w:t>
      </w:r>
    </w:p>
    <w:tbl>
      <w:tblPr>
        <w:tblW w:w="9350" w:type="dxa"/>
        <w:jc w:val="left"/>
        <w:tblInd w:w="0" w:type="dxa"/>
        <w:tblLayout w:type="fixed"/>
        <w:tblCellMar>
          <w:top w:w="28" w:type="dxa"/>
          <w:left w:w="28" w:type="dxa"/>
          <w:bottom w:w="28" w:type="dxa"/>
          <w:right w:w="28" w:type="dxa"/>
        </w:tblCellMar>
      </w:tblPr>
      <w:tblGrid>
        <w:gridCol w:w="1229"/>
        <w:gridCol w:w="1079"/>
        <w:gridCol w:w="1082"/>
        <w:gridCol w:w="641"/>
        <w:gridCol w:w="641"/>
        <w:gridCol w:w="1597"/>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2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Euro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Euro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2043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2046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2048 Senior Notes *</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2050 Senior Notes ***</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     </w:t>
      </w:r>
    </w:p>
    <w:p>
      <w:pPr>
        <w:pStyle w:val="TextBody"/>
        <w:bidi w:val="0"/>
        <w:spacing w:lineRule="auto" w:line="276" w:before="0" w:after="60"/>
        <w:ind w:left="0" w:right="0" w:hanging="360"/>
        <w:jc w:val="left"/>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Instrument was issued by Mylan Inc.</w:t>
      </w:r>
    </w:p>
    <w:p>
      <w:pPr>
        <w:pStyle w:val="TextBody"/>
        <w:bidi w:val="0"/>
        <w:spacing w:lineRule="auto" w:line="288" w:before="0" w:after="60"/>
        <w:ind w:left="0" w:right="0" w:hanging="360"/>
        <w:jc w:val="left"/>
        <w:rPr/>
      </w:pPr>
      <w:r>
        <w:rPr>
          <w:rFonts w:ascii="Times New Roman;serif" w:hAnsi="Times New Roman;serif"/>
          <w:b w:val="false"/>
          <w:color w:val="000000"/>
          <w:sz w:val="13"/>
        </w:rPr>
        <w:t>**     </w:t>
      </w:r>
      <w:r>
        <w:rPr>
          <w:rFonts w:ascii="Times New Roman;serif" w:hAnsi="Times New Roman;serif"/>
          <w:b w:val="false"/>
          <w:color w:val="000000"/>
          <w:sz w:val="20"/>
        </w:rPr>
        <w:t>Instrument was originally issued by Mylan N.V.; now held by Utah Acquisition Sub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hanging="360"/>
        <w:jc w:val="left"/>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Viatris Inc.</w:t>
      </w:r>
    </w:p>
    <w:p>
      <w:pPr>
        <w:pStyle w:val="TextBody"/>
        <w:bidi w:val="0"/>
        <w:spacing w:lineRule="auto" w:line="288" w:before="0" w:after="240"/>
        <w:ind w:left="0" w:right="0" w:hanging="360"/>
        <w:jc w:val="left"/>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Upjohn Finance B.V.</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Assumptions and Guarantees of Senior Unsecured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Inc. is the issuer of the Upjohn U.S. Dollar Notes, which are fully and unconditionally guaranteed on a senior unsecured basis by Mylan Inc., Mylan II B.V. and Utah Acquisition Sub Inc.</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Upjohn Finance B.V. is the issuer of senior unsecured notes denominated in euros pursuant to an indenture dated June 23, 2020, which are fully and unconditionally guaranteed on a senior unsecured basis by Viatris Inc., Mylan Inc., Mylan II B.V. and Utah Acquisition Sub Inc.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and the Utah Euro Notes, which are each fully and unconditionally guaranteed on a senior unsecured basis by Mylan Inc., Viatris Inc. and Mylan II B.V.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each fully and unconditionally guaranteed on a senior unsecured basis by Mylan II B.V., Viatris Inc. and Utah Acquisition Sub Inc.</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Senior Notes Repayment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2024, Viatris and Mylan Inc. completed cash tender offers for their then-outstanding 1.650% Senior Notes due 2025 (the “2025 Senior Notes”) and 2.125% Senior Notes due 2025 (the “2025 Euro Senior Notes”), respectively. Viatris paid $422.3 million to repurchase $432.0 million aggregate principal amount of the 2025 Senior Notes at a repurchase price equal to 97.8% of the aggregate principal amount of the 2025 Senior Notes accepted for tender, and also paid accrued and unpaid interest. Mylan Inc. paid €206.9 million to repurchase €208.1 million aggregate principal amount of the 2025 Euro Senior Notes at a repurchase price equal to 99.4% of the aggregate principal amount of the 2025 Euro Senior Notes accepted for tender, and also paid accrued and unpaid interest. On September 20, 2024, Utah Acquisition Sub Inc. also completed a cash tender offer for its then-outstanding 3.950% Senior Notes due 2026 (the “2026 Senior Notes” and, together with the 2025 Senior Notes and the 2025 Euro Senior Notes, the “Senior Notes”) and paid $572.5 million to repurchase $575.0 million aggregate principal amount at a repurchase price equal to 99.6% of the aggregate principal amount of the 2026 Senior Notes accepted for tender, and also paid accrued and unpaid interest.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16, 2024, after completing the tender offer, the Company irrevocably deposited with the trustee under the indenture governing the 2025 Senior Notes, U.S. government obligations in an amount sufficient to fund the payment of accrued and unpaid interest and the remaining $318.0 million aggregate principal amount as it becomes due. After the deposit of such funds with the trustee, the Company’s obligations under the 2025 Senior Notes Indenture with respect to the 2025 Senior Notes were satisfied and discharged. In addition, on September 16, 2024, after completing the tender offer, Mylan Inc. issued a notice of redemption for the remaining €291.9 million aggregate principal amount of the 2025 Euro Senior Notes and such redemption was completed on October 16,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tender offers and satisfaction and discharge of the Senior Notes were completed using cash and cash equivalents on hand and accounted for as a debt extinguishment. The total gain recognized on the debt extinguishment (net of the write off of related unamortized deferred financing fees) for the year ended December 31, 2024 was $16.5 million and is included within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YEN Term Loan Facility and 2024 Revolving Facility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2021, Viatris entered into the ¥40 billion YEN Term Loan Facility with various syndicates of banks. The YEN Term Loan Facility will mature in July 2026. On September 27, 2024, Viatris entered into a $3.5 billion amended and restated revolving credit agreement (the “2024 Revolving Facility”) with a syndicate of banks. The 2024 Revolving Facility bears interest at variable rates based on current market conditions and will mature in September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require maintenance of a Maximum Leverage Ratio no greater than 3.75 to 1.00 as of the last day of any fiscal quarter,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 Up to $1.65 billion of the 2024 Revolving Facility may be used to support borrowings under our Commercial Paper Program.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aggregate fair value of the Company’s outstanding notes was approximately $11.99 billion and $11.53 billion, respectively. The fair values of the outstanding notes were valued at quoted market prices from broker or dealer quotations and were classified as Level 2 in the fair value hierarchy.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minimum repayments remaining on the notional amount of outstanding long-term debt at December 31, 2025 were as follows for each of the years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11.Comprehensive (Loss) Earnings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reflected in the consolidated balance sheets, is comprised of the following:</w:t>
      </w:r>
    </w:p>
    <w:tbl>
      <w:tblPr>
        <w:tblW w:w="10205" w:type="dxa"/>
        <w:jc w:val="left"/>
        <w:tblInd w:w="0" w:type="dxa"/>
        <w:tblLayout w:type="fixed"/>
        <w:tblCellMar>
          <w:top w:w="28" w:type="dxa"/>
          <w:left w:w="28" w:type="dxa"/>
          <w:bottom w:w="28" w:type="dxa"/>
          <w:right w:w="28" w:type="dxa"/>
        </w:tblCellMar>
      </w:tblPr>
      <w:tblGrid>
        <w:gridCol w:w="2501"/>
        <w:gridCol w:w="2183"/>
        <w:gridCol w:w="2203"/>
        <w:gridCol w:w="267"/>
        <w:gridCol w:w="1065"/>
        <w:gridCol w:w="137"/>
        <w:gridCol w:w="109"/>
        <w:gridCol w:w="109"/>
        <w:gridCol w:w="109"/>
        <w:gridCol w:w="265"/>
        <w:gridCol w:w="1057"/>
        <w:gridCol w:w="200"/>
      </w:tblGrid>
      <w:tr>
        <w:trPr/>
        <w:tc>
          <w:tcPr>
            <w:tcW w:w="250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fixed income securities, net of tax</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and prior service cost related to defined benefit plans,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loss on derivatives in cash flow hedging relationships, net of tax</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on derivatives in net investment hedging relationships, net of tax</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(loss) earnings, before tax, consist of the following:</w:t>
      </w:r>
    </w:p>
    <w:tbl>
      <w:tblPr>
        <w:tblW w:w="1168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expense (income),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loss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8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other expense (income),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expense (income), net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1698" w:type="dxa"/>
        <w:jc w:val="left"/>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 of defined pension plan included in SG&amp;A</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expense (income), net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loss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12.Income Taxes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income tax (benefit) provision consisted of the following components:</w:t>
      </w:r>
    </w:p>
    <w:tbl>
      <w:tblPr>
        <w:tblW w:w="7242" w:type="dxa"/>
        <w:jc w:val="left"/>
        <w:tblInd w:w="0" w:type="dxa"/>
        <w:tblLayout w:type="fixed"/>
        <w:tblCellMar>
          <w:top w:w="28" w:type="dxa"/>
          <w:left w:w="28" w:type="dxa"/>
          <w:bottom w:w="28" w:type="dxa"/>
          <w:right w:w="28" w:type="dxa"/>
        </w:tblCellMar>
      </w:tblPr>
      <w:tblGrid>
        <w:gridCol w:w="1248"/>
        <w:gridCol w:w="1091"/>
        <w:gridCol w:w="1096"/>
        <w:gridCol w:w="211"/>
        <w:gridCol w:w="841"/>
        <w:gridCol w:w="109"/>
        <w:gridCol w:w="109"/>
        <w:gridCol w:w="109"/>
        <w:gridCol w:w="109"/>
        <w:gridCol w:w="211"/>
        <w:gridCol w:w="691"/>
        <w:gridCol w:w="109"/>
        <w:gridCol w:w="109"/>
        <w:gridCol w:w="109"/>
        <w:gridCol w:w="109"/>
        <w:gridCol w:w="211"/>
        <w:gridCol w:w="61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before income taxes: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earnings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all periods presented, the allocation of earnings before income taxes between U.S. and non-U.S. operations includes intercompany interest allocations between certain domestic and foreign subsidiaries. These amounts are eliminated on a consolidated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Temporary differences and carry-forwards that result in deferred tax assets and liabilities were as follows:</w:t>
      </w:r>
    </w:p>
    <w:tbl>
      <w:tblPr>
        <w:tblW w:w="6219" w:type="dxa"/>
        <w:jc w:val="left"/>
        <w:tblInd w:w="0" w:type="dxa"/>
        <w:tblLayout w:type="fixed"/>
        <w:tblCellMar>
          <w:top w:w="28" w:type="dxa"/>
          <w:left w:w="28" w:type="dxa"/>
          <w:bottom w:w="28" w:type="dxa"/>
          <w:right w:w="28" w:type="dxa"/>
        </w:tblCellMar>
      </w:tblPr>
      <w:tblGrid>
        <w:gridCol w:w="1034"/>
        <w:gridCol w:w="906"/>
        <w:gridCol w:w="909"/>
        <w:gridCol w:w="338"/>
        <w:gridCol w:w="987"/>
        <w:gridCol w:w="174"/>
        <w:gridCol w:w="109"/>
        <w:gridCol w:w="109"/>
        <w:gridCol w:w="109"/>
        <w:gridCol w:w="308"/>
        <w:gridCol w:w="1011"/>
        <w:gridCol w:w="225"/>
      </w:tblGrid>
      <w:tr>
        <w:trPr/>
        <w:tc>
          <w:tcPr>
            <w:tcW w:w="10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reserves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allowances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and loss carry-forwards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and equipment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 net</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U.S. statutory federal income tax rate of 21.0% to our effective tax rate from continuing operations after the adoption of ASU 2023-09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8267" w:type="dxa"/>
        <w:jc w:val="left"/>
        <w:tblInd w:w="0" w:type="dxa"/>
        <w:tblLayout w:type="fixed"/>
        <w:tblCellMar>
          <w:top w:w="28" w:type="dxa"/>
          <w:left w:w="28" w:type="dxa"/>
          <w:bottom w:w="28" w:type="dxa"/>
          <w:right w:w="28" w:type="dxa"/>
        </w:tblCellMar>
      </w:tblPr>
      <w:tblGrid>
        <w:gridCol w:w="2015"/>
        <w:gridCol w:w="1767"/>
        <w:gridCol w:w="1782"/>
        <w:gridCol w:w="280"/>
        <w:gridCol w:w="919"/>
        <w:gridCol w:w="145"/>
        <w:gridCol w:w="255"/>
        <w:gridCol w:w="256"/>
        <w:gridCol w:w="367"/>
        <w:gridCol w:w="109"/>
        <w:gridCol w:w="109"/>
        <w:gridCol w:w="109"/>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i/>
                <w:color w:val="000000"/>
                <w:sz w:val="16"/>
              </w:rPr>
            </w:pPr>
            <w:r>
              <w:rPr>
                <w:rFonts w:ascii="Times New Roman;serif" w:hAnsi="Times New Roman;serif"/>
                <w:b/>
                <w:i/>
                <w:color w:val="000000"/>
                <w:sz w:val="16"/>
              </w:rPr>
              <w:t>(In millions, except %s)</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Statutory and local income taxes, net of federal income tax effect </w:t>
            </w:r>
            <w:r>
              <w:rPr>
                <w:rFonts w:ascii="Times New Roman;serif" w:hAnsi="Times New Roman;serif"/>
                <w:b w:val="false"/>
                <w:color w:val="000000"/>
                <w:sz w:val="13"/>
              </w:rPr>
              <w:t>(a)</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impairment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impairment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income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incentive rates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impairment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difference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Puerto Rico</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difference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Impacts of incentive rates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 tax income, net of tax credits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net of tax credits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Branch impacts, inclusive of tax credits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goodwill impairment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unrecognized tax benefits </w:t>
            </w:r>
            <w:r>
              <w:rPr>
                <w:rFonts w:ascii="Times New Roman;serif" w:hAnsi="Times New Roman;serif"/>
                <w:b w:val="false"/>
                <w:color w:val="000000"/>
                <w:sz w:val="13"/>
              </w:rPr>
              <w:t>(b)</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____________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60" w:after="12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State taxes in California made up the majority (greater than 50%) of the tax effect in this category.</w:t>
      </w:r>
    </w:p>
    <w:p>
      <w:pPr>
        <w:pStyle w:val="TextBody"/>
        <w:bidi w:val="0"/>
        <w:spacing w:lineRule="auto" w:line="276" w:before="60" w:after="12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Includes interest and penalty accruals and reversals.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U.S. statutory federal income tax rate of 21.0% to our effective tax rate from continuing operations for the years prior to the adoption of ASU 2023-09 is as follows:</w:t>
      </w:r>
    </w:p>
    <w:tbl>
      <w:tblPr>
        <w:tblW w:w="7385" w:type="dxa"/>
        <w:jc w:val="left"/>
        <w:tblInd w:w="0" w:type="dxa"/>
        <w:tblLayout w:type="fixed"/>
        <w:tblCellMar>
          <w:top w:w="28" w:type="dxa"/>
          <w:left w:w="28" w:type="dxa"/>
          <w:bottom w:w="28" w:type="dxa"/>
          <w:right w:w="28" w:type="dxa"/>
        </w:tblCellMar>
      </w:tblPr>
      <w:tblGrid>
        <w:gridCol w:w="1633"/>
        <w:gridCol w:w="1436"/>
        <w:gridCol w:w="1445"/>
        <w:gridCol w:w="109"/>
        <w:gridCol w:w="109"/>
        <w:gridCol w:w="343"/>
        <w:gridCol w:w="347"/>
        <w:gridCol w:w="409"/>
        <w:gridCol w:w="164"/>
        <w:gridCol w:w="164"/>
        <w:gridCol w:w="164"/>
        <w:gridCol w:w="291"/>
        <w:gridCol w:w="294"/>
        <w:gridCol w:w="477"/>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tax carryforwards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and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settlements and resolution of 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Combination and divestitures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U.S. tax on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impact of tax law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impact of internal restructuring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years, our effective tax rate is impacted by the jurisdictional location of earnings and the corresponding tax rates in those jurisdictions. The Company realizes benefits from lower tax rates in Singapore and Puerto Rico due to manufacturing and other incentives.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as a result of legislation changes surrounding Pillar Two Global Anti-Base Erosion Rules (“Pillar Two Rules”), the Company recognized $734.6 million of previously unrecorded Luxembourg net operating losses which are offset by a corresponding valuation allowance.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valuation allowance is provided when it is more likely than not that some portion or all of the deferred tax assets will not be realized. At December 31, 2025, a valuation allowance has been applied to certain deferred tax assets in the amount of $1.44 billion.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Operating Losses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the following carryforwards and attributes: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U.S. federal net operating loss carryforwards of $214.6 million, which were recorded in connection with the Oyster Point acquisition. While the utilization of these carryforwards is subject to Section 382 of the Code, the Company does not anticipate that this limitation will impair our ability to utilize the carryovers.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 state income tax loss carryforwards of approximately $3.50 billion, which are largely offset by a valuation allowance.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Non-U.S. net operating loss carryforwards of approximately $4.84 billion, of which $2.24 billion can be carried forward indefinitely, with the remaining $2.60 billion expiring in years 2026 through 2045.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 and foreign credit carryovers of $307.2 million, expiring in various amounts through 2043.</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Anticipatory foreign tax credits of $24.3 million which will generate from the reversal of future taxable income in certain non-U.S. jurisdictions which are taxed both in their local jurisdictions and in the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Legislative Updates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(“OBBBA”), which contains a broad range of tax reform provisions affecting businesses, including permanent extensions of most expiring Tax Cuts and Jobs Act provisions and international tax changes. The OBBBA did not have a significant impact on the Company’s provision for income taxes and deferred tax assets for the year ended December 31, 2025. We will continue to evaluate the full impact of these legislative changes as additional guidance becomes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our consolidated balance sheets as of December 31, 2025 and 2024. The share repurchase and authorization amounts otherwise disclosed in this Form 10-K exclude the excise tax. The Company does not anticipate being subject to the 15% CAMT tax in 2025 based on enacted law and regulatory guidance; however, its CAMT status could change in the future, depending on new regulations or regulatory guidance issued by the U.S. Department of the Treasury, including with respect to the OBBBA.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many countries are actively considering or have proposed or enacted changes to their tax laws based on the Pillar Two Rules proposed by the OECD.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while the impact of the Pillar Two Rules in the countries that have enacted such rules effective for tax years ending on or before December 31, 2025 did increase its effective tax rate, the impact is not material to its results for the year ended December 31, 2025. The Company will continue to monitor and evaluate the evolving tax legislation in the jurisdictions in which it operates which could impact future tax provision and financial results, such as the Side-by-Side (“SbS”) package announced by the OECD on January 5, 2026. The package introduces simplifications and new safe harbors for U.S. and other multinational companies where domestic and international tax systems meet robust requirements to coexist with Pillar Two which would fully exempt U.S. parented groups from the application of two of the three Pillar Two top up taxes and also extends the current Transitional Country-by-Country Reporting (CbCR) Safe Harbor by one year, through the end of fiscal year of 2027.</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Tax Examinations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 </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ongoing IRS examinations. The years 2020 through 2024 are open years, with 2020 and 2021 under examination.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Several international audits are currently in progress. In some cases, the tax auditors have proposed adjustments </w:t>
      </w:r>
      <w:r>
        <w:rPr>
          <w:rFonts w:ascii="Times New Roman;serif" w:hAnsi="Times New Roman;serif"/>
          <w:b w:val="false"/>
          <w:color w:val="000000"/>
          <w:sz w:val="20"/>
          <w:shd w:fill="FFFFFF" w:val="clear"/>
        </w:rPr>
        <w:t xml:space="preserve">or issued assessments </w:t>
      </w:r>
      <w:r>
        <w:rPr>
          <w:rFonts w:ascii="Times New Roman;serif" w:hAnsi="Times New Roman;serif"/>
          <w:b w:val="false"/>
          <w:color w:val="000000"/>
          <w:sz w:val="20"/>
        </w:rPr>
        <w:t>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Australia, the tax authorities issued notices of assessments to the Company for the years ended December 2009 to December 2020, subject to additional interest and penalties, concerning our tax position with respect to certain intercompany transactions. The tax authorities denied our objections to the assessments for the years ended December 2009 to December 2020 and we commenced litigation in the Australian Federal Court challenging those decisions. A trial took place in October 2023 and on March 20, 2024, the Court issued a decision in favor of the Company. The tax authorities did not appeal the Court decision. The Company made a partial payment of $56.0 million in 2021 and $5.2 million in 2022 in order to stay potential interest and penalties resulting from this litigation, which was refunded in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France, the tax authorities issued notices of assessments to the Company for the years ended December 2013 to December 2015 concerning our tax position with respect to whether income earned by a Company entity not domiciled in France should be subject to French tax. We commenced litigation before the French tax courts where the tax authorities are seeking unpaid taxes, penalties, and interest. In February 2026, the first instance tax court upheld the Company’s tax position and fully cancelled the notices of assessment.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 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Italy, the tax authorities have issued notices of assessments to the Company for the years ended December 2016 to December 2018, seeking unpaid taxes, penalties, and interest, concerning our tax position with respect to certain intercompany transactions. We have commenced litigation before the Italian tax courts challenging those assessments and, to date, the Company’s position has been upheld, subject to further appeal by the tax authorities.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Company’s petition seeking review of the decision to the Supreme Administrative Court was denied and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recorded a net reserve for uncertain tax positions of $293.6 million and $277.0 million, including interest and penalties, in connection with its international audits at December 31, 2025 and 2024, respectively. In connection with our international tax audits, it is possible that we will incur material losses above the amounts reserved.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major U.S. state taxing jurisdictions remain open from fiscal year 2015 through 2024, with several state audits currently in progress. The Company’s major international taxing jurisdictions remain open from 2013 through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Accounting for Uncertainty in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consolidated balance sheets reflect net liabilities for unrecognized tax benefits of $263.2 million and $255.7 million, respectively, of which $192.9 million as of December 31, 2025 would affect the Company’s effective tax rate if recognized, with the remainder being offset by potential correlative adjustments. Related accrued interest and penalties included in the consolidated balance sheets were $110.5 million and $106.4 million as of December 31, 2025 and 2024, respectively. For the years ended December 31, 2025, 2024 and 2023, the Company recognized $6.2 million, $(0.3) million, and $15.4 million of tax expense/(benefit), respectively, related to interest and penalties on uncertain tax positions. Interest and penalties related to income taxes are included in the tax provision.</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unrecognized tax benefits is as follows:</w:t>
      </w:r>
    </w:p>
    <w:tbl>
      <w:tblPr>
        <w:tblW w:w="8006" w:type="dxa"/>
        <w:jc w:val="left"/>
        <w:tblInd w:w="0" w:type="dxa"/>
        <w:tblLayout w:type="fixed"/>
        <w:tblCellMar>
          <w:top w:w="28" w:type="dxa"/>
          <w:left w:w="28" w:type="dxa"/>
          <w:bottom w:w="28" w:type="dxa"/>
          <w:right w:w="28" w:type="dxa"/>
        </w:tblCellMar>
      </w:tblPr>
      <w:tblGrid>
        <w:gridCol w:w="1630"/>
        <w:gridCol w:w="1429"/>
        <w:gridCol w:w="1440"/>
        <w:gridCol w:w="211"/>
        <w:gridCol w:w="616"/>
        <w:gridCol w:w="109"/>
        <w:gridCol w:w="109"/>
        <w:gridCol w:w="109"/>
        <w:gridCol w:w="109"/>
        <w:gridCol w:w="211"/>
        <w:gridCol w:w="616"/>
        <w:gridCol w:w="109"/>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current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prior year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prior year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expirations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 —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Taxes Paid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amounts of cash income taxes paid (net of refunds received) by the Company were as follows:</w:t>
      </w:r>
    </w:p>
    <w:tbl>
      <w:tblPr>
        <w:tblW w:w="6314" w:type="dxa"/>
        <w:jc w:val="left"/>
        <w:tblInd w:w="0" w:type="dxa"/>
        <w:tblLayout w:type="fixed"/>
        <w:tblCellMar>
          <w:top w:w="28" w:type="dxa"/>
          <w:left w:w="28" w:type="dxa"/>
          <w:bottom w:w="28" w:type="dxa"/>
          <w:right w:w="28" w:type="dxa"/>
        </w:tblCellMar>
      </w:tblPr>
      <w:tblGrid>
        <w:gridCol w:w="1392"/>
        <w:gridCol w:w="1222"/>
        <w:gridCol w:w="1225"/>
        <w:gridCol w:w="449"/>
        <w:gridCol w:w="1313"/>
        <w:gridCol w:w="232"/>
        <w:gridCol w:w="109"/>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foreign</w:t>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taxes paid (net of refunds received)</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cash income taxes paid by the Company during the years ended December 31, 2024 and 2023 was $514.0 million and $570.9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13.(Loss) Earnings per Share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2352"/>
        <w:gridCol w:w="2047"/>
        <w:gridCol w:w="2064"/>
        <w:gridCol w:w="211"/>
        <w:gridCol w:w="838"/>
        <w:gridCol w:w="109"/>
        <w:gridCol w:w="109"/>
        <w:gridCol w:w="109"/>
        <w:gridCol w:w="109"/>
        <w:gridCol w:w="211"/>
        <w:gridCol w:w="688"/>
        <w:gridCol w:w="109"/>
        <w:gridCol w:w="109"/>
        <w:gridCol w:w="109"/>
        <w:gridCol w:w="109"/>
        <w:gridCol w:w="223"/>
        <w:gridCol w:w="543"/>
        <w:gridCol w:w="156"/>
      </w:tblGrid>
      <w:tr>
        <w:trPr/>
        <w:tc>
          <w:tcPr>
            <w:tcW w:w="2352"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(loss) earnings attributable to Viatris Inc. common shareholders (numerator):</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(denominator):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(loss) earnings attributable to Viatris Inc. common shareholders (numerator):</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(denominator):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 outstanding</w:t>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stock awards and Restricted Stock Awards were outstanding during the years ended December 31, 2025, 2024 and 2023 but were not included in the computation of diluted (loss) earnings per share for each respective period because the effect would be anti-dilutive. Excluded shares also include certain PSUs whose performance conditions had not been fully met. Such excluded shares and anti-dilutive awards represented 28.1 million, 19.9 million and 16.4 million shares for the years ended December 31, 2025, 2024 and 2023, respectively.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quarterly cash dividends of $0.12 per share on the Company’s issued and outstanding common stock in March 2025, June 2025, September 2025 and December 2025. On February 23, 2026, the Company’s Board of Directors declared a quarterly cash dividend of $0.12 per share on the Company’s issued and outstanding common stock, which will be payable on March 18, 2026 to shareholders of record as of the close of business on March 9, 2026.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 The Company also paid quarterly cash dividends of $0.12 per share on the Company’s issued and outstanding common stock in each of the four quarters of 2024 and 2023.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6, 2022, the Company announced that its Board of Directors had authorized a Dividend Reinvestment and Share Purchase Plan, which allows shareholders to automatically reinvest all or a portion of the cash dividends paid on their shares of the Company’s common stock and to make certain additional optional cash investments in the Company’s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repurchased approximately 53.7 million shares of common stock at a cost of approximately $500.5 million, approximately 19.2 million shares of common stock at a cost of approximately $250.0 million, and approximately 21.2 million shares of common stock at a cost of approximately $250.0 million, respectively, under the program. As of December 31, 2025, the Company had repurchased a total of approximately 94.2 million shares of common stock at a cost of approximately $1.0 billion under the program.</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14.Share-Based Incentive Plan</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Prior to the Distribution, Viatris adopted and Pfizer, in the capacity as Viatris’ sole stockholder at such time, approved the 2020 Incentive Plan (the </w:t>
      </w:r>
      <w:r>
        <w:rPr>
          <w:rFonts w:ascii="Times New Roman;serif" w:hAnsi="Times New Roman;serif"/>
          <w:b w:val="false"/>
          <w:i/>
          <w:color w:val="000000"/>
          <w:sz w:val="20"/>
        </w:rPr>
        <w:t>Viatris Inc. 2020 Stock Incentive Plan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which became effective as of the Distribution. In connection with the Combination, as of November 16, 2020, the Company assumed the 2003 LTIP (</w:t>
      </w:r>
      <w:r>
        <w:rPr>
          <w:rFonts w:ascii="Times New Roman;serif" w:hAnsi="Times New Roman;serif"/>
          <w:b w:val="false"/>
          <w:i/>
          <w:color w:val="000000"/>
          <w:sz w:val="20"/>
        </w:rPr>
        <w:t>Mylan N.V. Amended and Restated 2003 Long-Term Incentive Plan)</w:t>
      </w:r>
      <w:r>
        <w:rPr>
          <w:rFonts w:ascii="Times New Roman;serif" w:hAnsi="Times New Roman;serif"/>
          <w:b w:val="false"/>
          <w:color w:val="000000"/>
          <w:sz w:val="20"/>
        </w:rPr>
        <w:t xml:space="preserve">,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approved an amendment to the 2020 Incentive Plan, which was approved by Viatris shareholders on December 6, 2024, to increase the maximum aggregate number of shares of Viatris common stock available for issuance under the 2020 Incentive Plan by 49,000,000.</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awards (stock options and SARs) activity:</w:t>
      </w:r>
    </w:p>
    <w:tbl>
      <w:tblPr>
        <w:tblW w:w="7631" w:type="dxa"/>
        <w:jc w:val="left"/>
        <w:tblInd w:w="0" w:type="dxa"/>
        <w:tblLayout w:type="fixed"/>
        <w:tblCellMar>
          <w:top w:w="28" w:type="dxa"/>
          <w:left w:w="28" w:type="dxa"/>
          <w:bottom w:w="28" w:type="dxa"/>
          <w:right w:w="28" w:type="dxa"/>
        </w:tblCellMar>
      </w:tblPr>
      <w:tblGrid>
        <w:gridCol w:w="1521"/>
        <w:gridCol w:w="1336"/>
        <w:gridCol w:w="1343"/>
        <w:gridCol w:w="534"/>
        <w:gridCol w:w="534"/>
        <w:gridCol w:w="536"/>
        <w:gridCol w:w="109"/>
        <w:gridCol w:w="109"/>
        <w:gridCol w:w="109"/>
        <w:gridCol w:w="321"/>
        <w:gridCol w:w="942"/>
        <w:gridCol w:w="237"/>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br/>
              <w:t>per Share</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3,350,786 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(871,444)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2,460,805 </w:t>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December 31, 2025</w:t>
            </w:r>
          </w:p>
        </w:tc>
        <w:tc>
          <w:tcPr>
            <w:tcW w:w="10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2,460,291 </w:t>
            </w:r>
          </w:p>
        </w:tc>
        <w:tc>
          <w:tcPr>
            <w:tcW w:w="5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December 31, 2025</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2,457,771 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stock awards outstanding, stock awards vested and expected to vest and stock awards exercisable each had average remaining contractual terms of 2.3 years. Also, at December 31, 2025, stock awards outstanding, stock awards vested and expected to vest, and stock awards exercisable each had aggregate intrinsic values of approximately $0.2 million.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changes in the Company’s nonvested Restricted Stock Awards (restricted stock and restricted stock unit awards, including PSUs) from December 31, 2024 to December 31, 2025 is presented below:</w:t>
      </w:r>
    </w:p>
    <w:tbl>
      <w:tblPr>
        <w:tblW w:w="6539" w:type="dxa"/>
        <w:jc w:val="left"/>
        <w:tblInd w:w="0" w:type="dxa"/>
        <w:tblLayout w:type="fixed"/>
        <w:tblCellMar>
          <w:top w:w="28" w:type="dxa"/>
          <w:left w:w="28" w:type="dxa"/>
          <w:bottom w:w="28" w:type="dxa"/>
          <w:right w:w="28" w:type="dxa"/>
        </w:tblCellMar>
      </w:tblPr>
      <w:tblGrid>
        <w:gridCol w:w="1016"/>
        <w:gridCol w:w="891"/>
        <w:gridCol w:w="897"/>
        <w:gridCol w:w="578"/>
        <w:gridCol w:w="578"/>
        <w:gridCol w:w="556"/>
        <w:gridCol w:w="109"/>
        <w:gridCol w:w="109"/>
        <w:gridCol w:w="109"/>
        <w:gridCol w:w="364"/>
        <w:gridCol w:w="1064"/>
        <w:gridCol w:w="268"/>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w:t>
              <w:br/>
              <w:t>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Grant-Date</w:t>
              <w:br/>
              <w:t>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29,083,934 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19,476,572 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(12,931,495)</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(2,712,900)</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1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32,916,111 </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Of the 19,476,572 Restricted Stock Awards granted during the year ended December 31, 2025, 12,138,186 vest ratably in three years or less and are not subject to market or performance conditions. Of the remaining Restricted Stock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granted, 313,832 are not subject to market conditions and will cliff vest within a three-year period, and 7,024,554 are subject to market or performance conditions and will cliff vest in three years or less.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$163.2 million of total unrecognized compensation expense, net of estimated forfeitures, related to all of its stock-based awards, which we expect to recognize over the remaining weighted average vesting period of 1.4 years. The total intrinsic value of Restricted Stock Awards released and stock options exercised during the years ended December 31, 2025 and 2024 was $121.5 million and $141.7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15.Employee Benefit Plans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Accounting for Defined Benefit Pension and Other Postretirement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in accumulated other comprehensive loss as of December 31, 2025 and 2024 are:</w:t>
      </w:r>
    </w:p>
    <w:tbl>
      <w:tblPr>
        <w:tblW w:w="8315" w:type="dxa"/>
        <w:jc w:val="left"/>
        <w:tblInd w:w="0" w:type="dxa"/>
        <w:tblLayout w:type="fixed"/>
        <w:tblCellMar>
          <w:top w:w="28" w:type="dxa"/>
          <w:left w:w="28" w:type="dxa"/>
          <w:bottom w:w="28" w:type="dxa"/>
          <w:right w:w="28" w:type="dxa"/>
        </w:tblCellMar>
      </w:tblPr>
      <w:tblGrid>
        <w:gridCol w:w="1201"/>
        <w:gridCol w:w="1054"/>
        <w:gridCol w:w="1060"/>
        <w:gridCol w:w="211"/>
        <w:gridCol w:w="691"/>
        <w:gridCol w:w="109"/>
        <w:gridCol w:w="109"/>
        <w:gridCol w:w="109"/>
        <w:gridCol w:w="109"/>
        <w:gridCol w:w="211"/>
        <w:gridCol w:w="691"/>
        <w:gridCol w:w="109"/>
        <w:gridCol w:w="109"/>
        <w:gridCol w:w="109"/>
        <w:gridCol w:w="109"/>
        <w:gridCol w:w="224"/>
        <w:gridCol w:w="624"/>
        <w:gridCol w:w="116"/>
        <w:gridCol w:w="116"/>
        <w:gridCol w:w="116"/>
        <w:gridCol w:w="116"/>
        <w:gridCol w:w="224"/>
        <w:gridCol w:w="624"/>
        <w:gridCol w:w="164"/>
      </w:tblGrid>
      <w:tr>
        <w:trPr/>
        <w:tc>
          <w:tcPr>
            <w:tcW w:w="12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actuarial net gain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 (credit)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unrecognized net actuarial gains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(credit)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accumulated other comprehensive loss in 2025 relating to pension benefits and other postretirement benefits consists of:</w:t>
      </w:r>
    </w:p>
    <w:tbl>
      <w:tblPr>
        <w:tblW w:w="7390" w:type="dxa"/>
        <w:jc w:val="left"/>
        <w:tblInd w:w="0" w:type="dxa"/>
        <w:tblLayout w:type="fixed"/>
        <w:tblCellMar>
          <w:top w:w="28" w:type="dxa"/>
          <w:left w:w="28" w:type="dxa"/>
          <w:bottom w:w="28" w:type="dxa"/>
          <w:right w:w="28" w:type="dxa"/>
        </w:tblCellMar>
      </w:tblPr>
      <w:tblGrid>
        <w:gridCol w:w="1256"/>
        <w:gridCol w:w="1101"/>
        <w:gridCol w:w="1107"/>
        <w:gridCol w:w="297"/>
        <w:gridCol w:w="825"/>
        <w:gridCol w:w="153"/>
        <w:gridCol w:w="109"/>
        <w:gridCol w:w="109"/>
        <w:gridCol w:w="109"/>
        <w:gridCol w:w="549"/>
        <w:gridCol w:w="1371"/>
        <w:gridCol w:w="404"/>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actuarial (gain) loss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 cost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Periodic Benefit Cost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years ended December 31, 2025, 2024 and 2023 were as follows:</w:t>
      </w:r>
    </w:p>
    <w:tbl>
      <w:tblPr>
        <w:tblW w:w="10070" w:type="dxa"/>
        <w:jc w:val="left"/>
        <w:tblInd w:w="0" w:type="dxa"/>
        <w:tblLayout w:type="fixed"/>
        <w:tblCellMar>
          <w:top w:w="28" w:type="dxa"/>
          <w:left w:w="28" w:type="dxa"/>
          <w:bottom w:w="28" w:type="dxa"/>
          <w:right w:w="28" w:type="dxa"/>
        </w:tblCellMar>
      </w:tblPr>
      <w:tblGrid>
        <w:gridCol w:w="1349"/>
        <w:gridCol w:w="1184"/>
        <w:gridCol w:w="118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curtailment, settlement and termination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(credit)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the Company approved an amendment to terminate one of its defined benefit plans in the United States (the "U.S. Plan"). The distribution of the U.S. Plan assets pursuant to the termination will not be made until the plan termination satisfies all regulatory requirements, which is expected to be completed by the end of 2026. U.S. Plan participants will receive their full accrued benefits from plan assets by electing either lump sum distributions or annuity contracts with a qualifying third-party annuity provider. The resulting settlement effect of the U.S. Plan termination will be determined based on prevailing market conditions, the lump sum offer participation rate of eligible participants, the actual lump sum distributions, and annuity purchase rates at the date of distribution. As a result, the Company is currently unable to reasonably estimate either the timing or the final amount of such settlement charges. Based on the valuation performed as of January 1, 2026, the U.S. Plan had an overfunded status of approximately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 in Projected Benefit Obligation, Change in Plan Assets and Funded Status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components of the change in projected benefit obligation, change in plan assets and funded status at December 31, 2025 and 2024.</w:t>
      </w:r>
    </w:p>
    <w:tbl>
      <w:tblPr>
        <w:tblW w:w="9152" w:type="dxa"/>
        <w:jc w:val="left"/>
        <w:tblInd w:w="0" w:type="dxa"/>
        <w:tblLayout w:type="fixed"/>
        <w:tblCellMar>
          <w:top w:w="28" w:type="dxa"/>
          <w:left w:w="28" w:type="dxa"/>
          <w:bottom w:w="28" w:type="dxa"/>
          <w:right w:w="28" w:type="dxa"/>
        </w:tblCellMar>
      </w:tblPr>
      <w:tblGrid>
        <w:gridCol w:w="1449"/>
        <w:gridCol w:w="1272"/>
        <w:gridCol w:w="1283"/>
        <w:gridCol w:w="211"/>
        <w:gridCol w:w="766"/>
        <w:gridCol w:w="109"/>
        <w:gridCol w:w="109"/>
        <w:gridCol w:w="109"/>
        <w:gridCol w:w="109"/>
        <w:gridCol w:w="211"/>
        <w:gridCol w:w="766"/>
        <w:gridCol w:w="109"/>
        <w:gridCol w:w="109"/>
        <w:gridCol w:w="109"/>
        <w:gridCol w:w="109"/>
        <w:gridCol w:w="211"/>
        <w:gridCol w:w="617"/>
        <w:gridCol w:w="109"/>
        <w:gridCol w:w="109"/>
        <w:gridCol w:w="109"/>
        <w:gridCol w:w="109"/>
        <w:gridCol w:w="211"/>
        <w:gridCol w:w="693"/>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Projected Benefit Obligation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 amendments, and terminations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 losses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 end of year</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of plans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accrued benefit costs for pension plans and other postretirement benefits are reported in the following components of the Company’s consolidated balance sheets at December 31, 2025 and 2024:</w:t>
      </w:r>
    </w:p>
    <w:tbl>
      <w:tblPr>
        <w:tblW w:w="7141" w:type="dxa"/>
        <w:jc w:val="left"/>
        <w:tblInd w:w="0" w:type="dxa"/>
        <w:tblLayout w:type="fixed"/>
        <w:tblCellMar>
          <w:top w:w="28" w:type="dxa"/>
          <w:left w:w="28" w:type="dxa"/>
          <w:bottom w:w="28" w:type="dxa"/>
          <w:right w:w="28" w:type="dxa"/>
        </w:tblCellMar>
      </w:tblPr>
      <w:tblGrid>
        <w:gridCol w:w="777"/>
        <w:gridCol w:w="680"/>
        <w:gridCol w:w="687"/>
        <w:gridCol w:w="211"/>
        <w:gridCol w:w="691"/>
        <w:gridCol w:w="109"/>
        <w:gridCol w:w="109"/>
        <w:gridCol w:w="109"/>
        <w:gridCol w:w="109"/>
        <w:gridCol w:w="211"/>
        <w:gridCol w:w="691"/>
        <w:gridCol w:w="109"/>
        <w:gridCol w:w="109"/>
        <w:gridCol w:w="109"/>
        <w:gridCol w:w="109"/>
        <w:gridCol w:w="214"/>
        <w:gridCol w:w="595"/>
        <w:gridCol w:w="110"/>
        <w:gridCol w:w="110"/>
        <w:gridCol w:w="110"/>
        <w:gridCol w:w="110"/>
        <w:gridCol w:w="214"/>
        <w:gridCol w:w="702"/>
        <w:gridCol w:w="156"/>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accrued benefit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$1.35 billion and $1.29 billion at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projected benefit obligation, accumulated benefit obligation and fair value of plan assets for pension plans with an accumulated benefit obligation in excess of the fair value of plan assets at December 31, 2025 and 2024 were as follows:</w:t>
      </w:r>
    </w:p>
    <w:tbl>
      <w:tblPr>
        <w:tblW w:w="8184" w:type="dxa"/>
        <w:jc w:val="left"/>
        <w:tblInd w:w="0" w:type="dxa"/>
        <w:tblLayout w:type="fixed"/>
        <w:tblCellMar>
          <w:top w:w="28" w:type="dxa"/>
          <w:left w:w="28" w:type="dxa"/>
          <w:bottom w:w="28" w:type="dxa"/>
          <w:right w:w="28" w:type="dxa"/>
        </w:tblCellMar>
      </w:tblPr>
      <w:tblGrid>
        <w:gridCol w:w="2043"/>
        <w:gridCol w:w="1789"/>
        <w:gridCol w:w="1808"/>
        <w:gridCol w:w="211"/>
        <w:gridCol w:w="766"/>
        <w:gridCol w:w="109"/>
        <w:gridCol w:w="109"/>
        <w:gridCol w:w="109"/>
        <w:gridCol w:w="109"/>
        <w:gridCol w:w="211"/>
        <w:gridCol w:w="766"/>
        <w:gridCol w:w="154"/>
      </w:tblGrid>
      <w:tr>
        <w:trPr/>
        <w:tc>
          <w:tcPr>
            <w:tcW w:w="2043"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Plans with accumulated benefit obligation in excess of plan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of Plan Assets</w:t>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9 </w:t>
      </w:r>
      <w:r>
        <w:rPr>
          <w:rFonts w:ascii="Times New Roman;serif" w:hAnsi="Times New Roman;serif"/>
          <w:b w:val="false"/>
          <w:i/>
          <w:color w:val="000000"/>
          <w:sz w:val="20"/>
        </w:rPr>
        <w:t>Financial Instruments and Risk Management</w:t>
      </w:r>
      <w:r>
        <w:rPr>
          <w:rFonts w:ascii="Times New Roman;serif" w:hAnsi="Times New Roman;serif"/>
          <w:b w:val="false"/>
          <w:color w:val="000000"/>
          <w:sz w:val="20"/>
        </w:rPr>
        <w:t>. The table below presents total plan assets by investment category as of December 31, 2025 and 2024 and the classification of each investment category within the fair value hierarchy with respect to the inputs used to measure fair value:</w:t>
      </w:r>
    </w:p>
    <w:tbl>
      <w:tblPr>
        <w:tblW w:w="8655"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0" w:type="dxa"/>
        <w:jc w:val="left"/>
        <w:tblInd w:w="0" w:type="dxa"/>
        <w:tblLayout w:type="fixed"/>
        <w:tblCellMar>
          <w:top w:w="28" w:type="dxa"/>
          <w:left w:w="28" w:type="dxa"/>
          <w:bottom w:w="28" w:type="dxa"/>
          <w:right w:w="28" w:type="dxa"/>
        </w:tblCellMar>
      </w:tblPr>
      <w:tblGrid>
        <w:gridCol w:w="1391"/>
        <w:gridCol w:w="1221"/>
        <w:gridCol w:w="1228"/>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766"/>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by insurance companies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Assumptions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weighted average assumptions were used to determine the benefit obligations for the Company’s defined benefit pension and other postretirement plans as of December 31, 2025 and 2024:</w:t>
      </w:r>
    </w:p>
    <w:tbl>
      <w:tblPr>
        <w:tblW w:w="6986"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466"/>
        <w:gridCol w:w="187"/>
        <w:gridCol w:w="187"/>
        <w:gridCol w:w="187"/>
        <w:gridCol w:w="203"/>
        <w:gridCol w:w="203"/>
        <w:gridCol w:w="54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weighted average assumptions were used to determine the net periodic benefit cost for the Company’s defined benefit pension and other postretirement benefit plans for the three years in the period ended December 31, 2025:</w:t>
      </w:r>
    </w:p>
    <w:tbl>
      <w:tblPr>
        <w:tblW w:w="8448" w:type="dxa"/>
        <w:jc w:val="left"/>
        <w:tblInd w:w="0" w:type="dxa"/>
        <w:tblLayout w:type="fixed"/>
        <w:tblCellMar>
          <w:top w:w="28" w:type="dxa"/>
          <w:left w:w="28" w:type="dxa"/>
          <w:bottom w:w="28" w:type="dxa"/>
          <w:right w:w="28" w:type="dxa"/>
        </w:tblCellMar>
      </w:tblPr>
      <w:tblGrid>
        <w:gridCol w:w="939"/>
        <w:gridCol w:w="825"/>
        <w:gridCol w:w="831"/>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91"/>
        <w:gridCol w:w="117"/>
        <w:gridCol w:w="117"/>
        <w:gridCol w:w="117"/>
        <w:gridCol w:w="203"/>
        <w:gridCol w:w="203"/>
        <w:gridCol w:w="291"/>
        <w:gridCol w:w="117"/>
        <w:gridCol w:w="117"/>
        <w:gridCol w:w="117"/>
        <w:gridCol w:w="203"/>
        <w:gridCol w:w="203"/>
        <w:gridCol w:w="339"/>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healthcare cost trend rate used for 2025 was 8.7% declining to a projected 4.0% in the year 2049. For 2026, the assumed weighted-average healthcare cost trend rate used will be 8.6% declining to a projected 4.0% in the year 2050.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Estimated Future Benefit Payments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Estimated benefit payments over the next ten years for the Company’s pension plans and retiree health plan are as follows:</w:t>
      </w:r>
    </w:p>
    <w:tbl>
      <w:tblPr>
        <w:tblW w:w="4917" w:type="dxa"/>
        <w:jc w:val="left"/>
        <w:tblInd w:w="0" w:type="dxa"/>
        <w:tblLayout w:type="fixed"/>
        <w:tblCellMar>
          <w:top w:w="28" w:type="dxa"/>
          <w:left w:w="28" w:type="dxa"/>
          <w:bottom w:w="28" w:type="dxa"/>
          <w:right w:w="28" w:type="dxa"/>
        </w:tblCellMar>
      </w:tblPr>
      <w:tblGrid>
        <w:gridCol w:w="359"/>
        <w:gridCol w:w="315"/>
        <w:gridCol w:w="316"/>
        <w:gridCol w:w="247"/>
        <w:gridCol w:w="900"/>
        <w:gridCol w:w="128"/>
        <w:gridCol w:w="109"/>
        <w:gridCol w:w="109"/>
        <w:gridCol w:w="109"/>
        <w:gridCol w:w="559"/>
        <w:gridCol w:w="1356"/>
        <w:gridCol w:w="41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Postretirement Benefits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defined contribution plans covering its employees in the U.S. and Puerto Rico, as well as certain employees in a number of countries outside the U.S. The Company’s domestic defined contribution plans consist primarily of a Profit Sharing 401(k) Plan and other 401(k) retirement plans. Profit sharing contributions are made at the discretion of the Company.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 401(k) Restoration Plan, which permits employees who earn compensation in excess of the limits imposed by Section 401(a)(17) of the Code to (i) defer a portion of base salary and bonus compensation, (ii) be credited with a Company matching contribution in respect of deferrals under the 401(k)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401(k)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employer contributions to defined contribution plans were approximately $138.2 million, $148.4 million and $129.3 million for the years ended December 31, 2025, 2024 and 2023, respectively.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16.Segment Information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Asset impairments (including of goodwill, intangible assets (including IPR&amp;D), and long-lived assets);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 xml:space="preserve">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 xml:space="preserve">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 </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Other Expense (Income), Net (including interest and dividend income, gains and losses from investments, business divestitures, and foreign exchange); and</w:t>
      </w:r>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report depreciation expense, total assets and capital expenditures by segment, as such information is not used by the CODM. </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accounting policies of the segments are the same as those described in Note 2 </w:t>
      </w:r>
      <w:r>
        <w:rPr>
          <w:rFonts w:ascii="Times New Roman;serif" w:hAnsi="Times New Roman;serif"/>
          <w:b w:val="false"/>
          <w:i/>
          <w:color w:val="000000"/>
          <w:sz w:val="20"/>
        </w:rPr>
        <w:t>Summary of Significant Accounting Policies.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864"/>
        <w:gridCol w:w="741"/>
        <w:gridCol w:w="723"/>
        <w:gridCol w:w="112"/>
        <w:gridCol w:w="112"/>
        <w:gridCol w:w="112"/>
        <w:gridCol w:w="248"/>
        <w:gridCol w:w="904"/>
        <w:gridCol w:w="128"/>
        <w:gridCol w:w="109"/>
        <w:gridCol w:w="109"/>
        <w:gridCol w:w="109"/>
        <w:gridCol w:w="216"/>
        <w:gridCol w:w="786"/>
        <w:gridCol w:w="111"/>
        <w:gridCol w:w="109"/>
        <w:gridCol w:w="109"/>
        <w:gridCol w:w="109"/>
        <w:gridCol w:w="211"/>
        <w:gridCol w:w="766"/>
        <w:gridCol w:w="109"/>
        <w:gridCol w:w="109"/>
        <w:gridCol w:w="109"/>
        <w:gridCol w:w="109"/>
        <w:gridCol w:w="235"/>
        <w:gridCol w:w="854"/>
        <w:gridCol w:w="121"/>
        <w:gridCol w:w="109"/>
        <w:gridCol w:w="109"/>
        <w:gridCol w:w="109"/>
        <w:gridCol w:w="262"/>
        <w:gridCol w:w="1082"/>
        <w:gridCol w:w="200"/>
      </w:tblGrid>
      <w:tr>
        <w:trPr/>
        <w:tc>
          <w:tcPr>
            <w:tcW w:w="86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(2,663.1)</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64"/>
        <w:gridCol w:w="741"/>
        <w:gridCol w:w="723"/>
        <w:gridCol w:w="112"/>
        <w:gridCol w:w="112"/>
        <w:gridCol w:w="112"/>
        <w:gridCol w:w="248"/>
        <w:gridCol w:w="904"/>
        <w:gridCol w:w="128"/>
        <w:gridCol w:w="109"/>
        <w:gridCol w:w="109"/>
        <w:gridCol w:w="109"/>
        <w:gridCol w:w="216"/>
        <w:gridCol w:w="786"/>
        <w:gridCol w:w="111"/>
        <w:gridCol w:w="109"/>
        <w:gridCol w:w="109"/>
        <w:gridCol w:w="109"/>
        <w:gridCol w:w="211"/>
        <w:gridCol w:w="766"/>
        <w:gridCol w:w="109"/>
        <w:gridCol w:w="109"/>
        <w:gridCol w:w="109"/>
        <w:gridCol w:w="109"/>
        <w:gridCol w:w="235"/>
        <w:gridCol w:w="854"/>
        <w:gridCol w:w="121"/>
        <w:gridCol w:w="109"/>
        <w:gridCol w:w="109"/>
        <w:gridCol w:w="109"/>
        <w:gridCol w:w="262"/>
        <w:gridCol w:w="1082"/>
        <w:gridCol w:w="200"/>
      </w:tblGrid>
      <w:tr>
        <w:trPr/>
        <w:tc>
          <w:tcPr>
            <w:tcW w:w="86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14,739.3 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64"/>
        <w:gridCol w:w="741"/>
        <w:gridCol w:w="723"/>
        <w:gridCol w:w="112"/>
        <w:gridCol w:w="112"/>
        <w:gridCol w:w="112"/>
        <w:gridCol w:w="248"/>
        <w:gridCol w:w="904"/>
        <w:gridCol w:w="128"/>
        <w:gridCol w:w="109"/>
        <w:gridCol w:w="109"/>
        <w:gridCol w:w="109"/>
        <w:gridCol w:w="216"/>
        <w:gridCol w:w="786"/>
        <w:gridCol w:w="111"/>
        <w:gridCol w:w="109"/>
        <w:gridCol w:w="109"/>
        <w:gridCol w:w="109"/>
        <w:gridCol w:w="211"/>
        <w:gridCol w:w="766"/>
        <w:gridCol w:w="109"/>
        <w:gridCol w:w="109"/>
        <w:gridCol w:w="109"/>
        <w:gridCol w:w="109"/>
        <w:gridCol w:w="235"/>
        <w:gridCol w:w="854"/>
        <w:gridCol w:w="121"/>
        <w:gridCol w:w="109"/>
        <w:gridCol w:w="109"/>
        <w:gridCol w:w="109"/>
        <w:gridCol w:w="262"/>
        <w:gridCol w:w="1082"/>
        <w:gridCol w:w="200"/>
      </w:tblGrid>
      <w:tr>
        <w:trPr/>
        <w:tc>
          <w:tcPr>
            <w:tcW w:w="86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15,426.9 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percentage of consolidated net sales to Viatris’ major customers during the years ended December 31, 2025, 2024, and 2023:</w:t>
      </w:r>
    </w:p>
    <w:tbl>
      <w:tblPr>
        <w:tblW w:w="5077" w:type="dxa"/>
        <w:jc w:val="left"/>
        <w:tblInd w:w="0" w:type="dxa"/>
        <w:tblLayout w:type="fixed"/>
        <w:tblCellMar>
          <w:top w:w="28" w:type="dxa"/>
          <w:left w:w="28" w:type="dxa"/>
          <w:bottom w:w="28" w:type="dxa"/>
          <w:right w:w="28" w:type="dxa"/>
        </w:tblCellMar>
      </w:tblPr>
      <w:tblGrid>
        <w:gridCol w:w="727"/>
        <w:gridCol w:w="640"/>
        <w:gridCol w:w="642"/>
        <w:gridCol w:w="180"/>
        <w:gridCol w:w="181"/>
        <w:gridCol w:w="356"/>
        <w:gridCol w:w="143"/>
        <w:gridCol w:w="143"/>
        <w:gridCol w:w="143"/>
        <w:gridCol w:w="180"/>
        <w:gridCol w:w="181"/>
        <w:gridCol w:w="356"/>
        <w:gridCol w:w="143"/>
        <w:gridCol w:w="143"/>
        <w:gridCol w:w="143"/>
        <w:gridCol w:w="180"/>
        <w:gridCol w:w="181"/>
        <w:gridCol w:w="415"/>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Consolidated Net Sales</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Cencora, Inc.</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 Inc.</w:t>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Net sales represented less than 10% of consolidated net sales during the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Net sales from these customers were primarily in the Developed Markets segment.</w:t>
      </w:r>
    </w:p>
    <w:p>
      <w:pPr>
        <w:pStyle w:val="TextBody"/>
        <w:bidi w:val="0"/>
        <w:spacing w:before="0" w:after="0"/>
        <w:ind w:left="0" w:right="0" w:hanging="36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Sales by Country Information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by country are presented on the basis of geographic location of our subsidiaries: </w:t>
      </w:r>
    </w:p>
    <w:tbl>
      <w:tblPr>
        <w:tblW w:w="5157" w:type="dxa"/>
        <w:jc w:val="left"/>
        <w:tblInd w:w="0" w:type="dxa"/>
        <w:tblLayout w:type="fixed"/>
        <w:tblCellMar>
          <w:top w:w="28" w:type="dxa"/>
          <w:left w:w="28" w:type="dxa"/>
          <w:bottom w:w="28" w:type="dxa"/>
          <w:right w:w="28" w:type="dxa"/>
        </w:tblCellMar>
      </w:tblPr>
      <w:tblGrid>
        <w:gridCol w:w="435"/>
        <w:gridCol w:w="382"/>
        <w:gridCol w:w="383"/>
        <w:gridCol w:w="211"/>
        <w:gridCol w:w="766"/>
        <w:gridCol w:w="109"/>
        <w:gridCol w:w="109"/>
        <w:gridCol w:w="109"/>
        <w:gridCol w:w="109"/>
        <w:gridCol w:w="211"/>
        <w:gridCol w:w="766"/>
        <w:gridCol w:w="109"/>
        <w:gridCol w:w="109"/>
        <w:gridCol w:w="109"/>
        <w:gridCol w:w="109"/>
        <w:gridCol w:w="211"/>
        <w:gridCol w:w="76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other country’s net sales represents more than 10% of consolidated net sales. </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17.Commitments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pStyle w:val="TextBody"/>
        <w:bidi w:val="0"/>
        <w:spacing w:lineRule="auto" w:line="276"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periodically enters into retention agreements with certain key employees, whereby they may agree to continue to provide service to the Company for a period of time. The Company records the expense for these agreements over the applicable service periods.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time of closing of the Biocon Biologics Transaction, Viatris and Biocon Biologics also entered an agreement pursuant to which Viatris was providing commercialization and certain other transition services on behalf of Biocon Biologics, including billings, collections and the remittance of rebates, to ensure business continuity for patients, customers and colleagues. Biocon Biologics had substantially exited all transition services with Viatris as of December 31, 2023.</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 Some of these agreements include various ongoing financial obligations. The transition services were substantially concluded as of December 31, 2025.</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Viatris periodically enters into acquisition, divestiture, collaboration, employment, legal settlement and other agreements which incorporate indemnification provisions. The maximum amount to which Viatris may be exposed under such agreements cannot be reasonably estimated due to the conditional nature of the Company’s obligations and the unique facts and circumstances involved in each particular agreement. Historically, we have not paid material amounts under these indemnification provisions. Further, for certain agreements, the Company maintains insurance coverage, which management believes will effectively mitigate the Company’s obligations under these indemnification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provisions. No amounts have been recorded in the consolidated financial statements with respect to the Company’s obligations under such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18.Restructuring </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charges for costs associated with the restructuring activities of the EWSR. For the committed restructuring activities, the Company expects to incur total pre-tax charges ranging between $700 million and $850 million.</w:t>
      </w:r>
    </w:p>
    <w:p>
      <w:pPr>
        <w:pStyle w:val="TextBody"/>
        <w:bidi w:val="0"/>
        <w:spacing w:lineRule="auto" w:line="276" w:before="0" w:after="240"/>
        <w:ind w:left="0" w:right="0" w:firstLine="360"/>
        <w:jc w:val="left"/>
        <w:rPr/>
      </w:pPr>
      <w:r>
        <w:rPr>
          <w:rFonts w:ascii="Times New Roman;serif" w:hAnsi="Times New Roman;serif"/>
          <w:b w:val="false"/>
          <w:i/>
          <w:color w:val="000000"/>
          <w:sz w:val="20"/>
        </w:rPr>
        <w:t>2020 Restructuring Program</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2020, Viatris announced a significant global restructuring program in order to achieve synergies and ensure that the organization was optimally structured and efficiently resourced to deliver sustainable value to patients, shareholders, customers, and other stakeholders. As part of the restructuring, the Company optimized its commercial capabilities and enabling functions, and closed, downsized or divested certain manufacturing facilities globally that were deemed to be no longer viable either due to surplus capacity, challenging market dynamics or a shift in its product portfolio toward more complex products. The actions under the 2020 restructuring program were substantially completed during 2023.</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the initiation of the 2020 restructuring program, the Company has incurred total pre-tax charges of approximately $1.4 billion through December 31, 2023. Such charges included approximately $450 million of non-cash charges mainly related to accelerated depreciation and asset impairment charges, including inventory write-offs, and cash costs of approximately $950 million, primarily related to severance and employee benefits expense, as well as other costs, including those related to contract terminations and other plant disposal costs.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charges and the reserve activity for the restructuring program:</w:t>
      </w:r>
    </w:p>
    <w:tbl>
      <w:tblPr>
        <w:tblW w:w="7393" w:type="dxa"/>
        <w:jc w:val="left"/>
        <w:tblInd w:w="0" w:type="dxa"/>
        <w:tblLayout w:type="fixed"/>
        <w:tblCellMar>
          <w:top w:w="28" w:type="dxa"/>
          <w:left w:w="28" w:type="dxa"/>
          <w:bottom w:w="28" w:type="dxa"/>
          <w:right w:w="28" w:type="dxa"/>
        </w:tblCellMar>
      </w:tblPr>
      <w:tblGrid>
        <w:gridCol w:w="941"/>
        <w:gridCol w:w="826"/>
        <w:gridCol w:w="828"/>
        <w:gridCol w:w="416"/>
        <w:gridCol w:w="1214"/>
        <w:gridCol w:w="214"/>
        <w:gridCol w:w="109"/>
        <w:gridCol w:w="109"/>
        <w:gridCol w:w="109"/>
        <w:gridCol w:w="383"/>
        <w:gridCol w:w="738"/>
        <w:gridCol w:w="198"/>
        <w:gridCol w:w="109"/>
        <w:gridCol w:w="109"/>
        <w:gridCol w:w="109"/>
        <w:gridCol w:w="211"/>
        <w:gridCol w:w="61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Charges </w:t>
            </w:r>
            <w:r>
              <w:rPr>
                <w:rFonts w:ascii="Times New Roman;serif" w:hAnsi="Times New Roman;serif"/>
                <w:b w:val="false"/>
                <w:color w:val="000000"/>
                <w:sz w:val="13"/>
              </w:rPr>
              <w:t>(1)</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Utilization </w:t>
            </w:r>
            <w:r>
              <w:rPr>
                <w:rFonts w:ascii="Times New Roman;serif" w:hAnsi="Times New Roman;serif"/>
                <w:b w:val="false"/>
                <w:color w:val="000000"/>
                <w:sz w:val="13"/>
              </w:rPr>
              <w:t>(2)</w:t>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76" w:before="100" w:after="12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For the year ended December 31, 2023, total restructuring charges in Developed Markets, Greater China, JANZ, Emerging Markets, and Corporate/Other were approximately $80.3 million, $0.4 million, $29.5 million, $13.9 million, and $1.1 million, respectively. </w:t>
      </w:r>
    </w:p>
    <w:p>
      <w:pPr>
        <w:pStyle w:val="TextBody"/>
        <w:bidi w:val="0"/>
        <w:spacing w:lineRule="auto" w:line="288" w:before="0" w:after="12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For the year ended December 31, 2023, other exit costs included expense of $71.6 million relating to plant divestitures.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restructuring charges, primarily for facilities to be closed or disposed of, were incurred during the years ended December 31, 2025 and 2024 and are not a component of the 2020 restructuring program. At December 31, 2025, accrued liabilities for restructuring and other cost reduction programs of $40.2 million were included in other current liabilities and $116.3 million were included in other long-term obligations in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19.Licensing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including those related to the Idorsia Transaction. Refer to Note 9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of contingent consideration.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potential maximum development milestones not accrued for at December 31, 2025 totaled approximately $416 million. We estimate that the amounts that may be paid during the next twelve months to be approximately $163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Mapi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an exclusive license and commercialization agreement with Mapi for the development and commercialization on a world-wide basis of GA Depot.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holds investments in preferred shares of Mapi that are accounted for at cost, less impairment, adjusted for observable price changes, in accordance with ASC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xml:space="preserve">. During the year ended December 31, 2023, the Company made an additional investment of $30.0 million in preferred shares of Mapi. The preferred shares are convertible on a one-to-one basis into Mapi ordinary shares at Viatris’ option. The Company recognized a gain of $45.6 million during the year ended December 31, 2023 as a result of remeasuring our pre-existing equity interest in Mapi, which was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statements of operations. The Company has determined that Mapi represents a variable interest entity (“VIE”), but has concluded that Viatris is not the primary beneficiary of Mapi as we do not have the power to direct the activities of the VIE that most significantly impact the VIE’s economic performance. Accordingly, we have not consolidated Mapi’s results of operations and financial position into our consolidated financial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expense in the consolidated statements of operations during the year ended December 31,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2024, the Company was informed that Mapi received a Complete Response Letter (“CRL”) regarding the NDA for GA Depot 40 mg from the FDA. In December 2024, the companies met with the FDA and reviewed the content of the CRL. As a result of the uncertainty of regulatory and commercial timing and success of GA Depot and the financial condition of Mapi, the Company fully impaired its equity investment and prepaid assets related to advances for the initial supply of commercial product. Total charges of $184.6 million were recorded during the year ended December 31, 2024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consolidated statements of operations. Following the impairment charges recorded during the year ended December 31, 2024, the Company does not have any further loss exposure.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and 2026, Viatris and Mapi have continued discussions to determine the appropriate next steps for the program as a result of the CRL.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Revance have entered into an agreement pursuant to which the Company and Revance are collaborating exclusively, on a world-wide basis (excluding Japan), to develop, manufacture and commercialize a biosimilar to the branded biologic product (onabotulinumtoxinA) marketed as BOTOX®. Under the agreement, the Company is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responsible for (a) clinical development activities outside of North America (excluding Japan)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being shared equally between the parties, and the Company is responsible for all other clinical development costs and commercialization expenses. In February 2025, Revance was acquired by Crown Laboratories, Inc.</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Theravance Biopharma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development and commercialization collaboration with Theravance Biopharma, for revefenacin. On November 9, 2018, the Company announced that the FDA approved the NDA for YUPELRI® (revefenacin) inhalation solution for the maintenance treatment of patients with COPD. YUPELRI®, a long-acting muscarinic antagonist, is the first and only once-daily, nebulized bronchodilator approved for the treatment of COPD in the U.S. Viatris is responsible for commercial manufacturing and commercialization. Theravance Biopharma is co-promoting the product in the hospital channel under a profit-sharing arrangement.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acquired exclusive development and commercialization rights to nebulized revefenacin in China and adjacent territories, which include Hong Kong, Macau and Taiwan, for an upfront payment of $18.5 million and additional potential development and sales milestones together with tiered royalties on net sales of nebulized revefenacin. Viatris is responsible for all aspects of development and commercialization in the partnered regions, including pre- and post-launch activities and product registration and all associated costs.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agreements, Theravance Biopharma is eligible to receive potential development and sales milestone payments totaling approximately $293 million in the aggregate. As of December 31, 2025, the Company has paid a total of $57.5 million in milestone payments to Theravance Biopharma.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Development Agreements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15, 2025, the Company acquired Aculys Pharma, a clinical stage biopharmaceutical company focused on commercializing innovative treatments for neurological conditions. Viatris received rights to develop and commercialize pitolisant and Spydia®, two assets in the CNS therapy area, further expanding Viatris’ portfolio of innovative products in Japan. As part of the transaction, Viatris acquired exclusive development and commercialization rights in Japan for pitolisant, a selective/inverse agonist of the histamine H3 receptor. One indication is for the treatment of excessive daytime sleepiness or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cataplexy in adult patients with narcolepsy and the second is for the treatment of excessive daytime sleepiness</w:t>
      </w:r>
    </w:p>
    <w:p>
      <w:pPr>
        <w:pStyle w:val="TextBody"/>
        <w:bidi w:val="0"/>
        <w:spacing w:lineRule="auto" w:line="288" w:before="0" w:after="0"/>
        <w:jc w:val="left"/>
        <w:rPr/>
      </w:pPr>
      <w:r>
        <w:rPr>
          <w:rFonts w:ascii="Times New Roman;serif" w:hAnsi="Times New Roman;serif"/>
          <w:b w:val="false"/>
          <w:color w:val="000000"/>
          <w:sz w:val="20"/>
        </w:rPr>
        <w:t xml:space="preserve">associated with obstructive sleep apnea syndrome. The Japanese NDAs for both indications have been submitted to the Japan Pharmaceuticals and Medical Devices Agency and are under review by the agency. The transaction also includes exclusive rights in Japan and certain other markets in the Asia-Pacific region for Spydia® Nasal Spray, which was approved in Japan in June 2025 for the treatment of status epilepticus and launched in December 2025. Under the terms of the acquisition agreement, the Company made a $35.0 million upfront payment to Aculys Pharma shareholders as consideration for the acquisition, with additional consideration contingent upon the achievement of specified regulatory and commercial milestones, and royalties on net sales. The transaction was accounted for as an asset acquisition, with the upfront payment expensed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in the fourth quarter of 2025</w:t>
      </w:r>
      <w:r>
        <w:rPr>
          <w:rFonts w:ascii="Times New Roman;serif" w:hAnsi="Times New Roman;serif"/>
          <w:b w:val="false"/>
          <w:i/>
          <w:color w:val="000000"/>
          <w:sz w:val="20"/>
        </w:rPr>
        <w: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October 2024, the Company entered into an exclusive licensing agreement with Lexicon for sotagliflozin in all markets outside of the U.S. and Europe in exchange for an upfront payment of $25.0 million, and additional potential contingent payments, including regulatory milestones, sales milestones and tiered royalties ranging from low-double-digit to upper-teens on annual net sales. Viatris is responsible for all regulatory and commercialization activities for sotagliflozin in the licensed territories. Lexicon is responsible for providing clinical and commercial supply of sotagliflozin to Viatris. The Company accounted for the transaction as an asset acquisition, with the upfront payment expensed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in 2024.</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Acquired IPR&amp;D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20.Litigation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costs are recorded as incurred and are classified in SG&amp;A in the Company’s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EpiPen® Auto-Injector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were based on allegations concerning a patent settlement between Pfizer and Teva and other alleged actions regarding the launch of Teva’s generic epinephrine auto-injector. Plaintiffs sought monetary damages, declaratory relief, attorneys’ fees and costs. In December 2024, the Company reached an agreement and paid $73.5 million to fully resolve this matter. The settlement was approved by the court and contains an express provision disclaiming and denying any wrongdoing by the Company. This matter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Class certification was denied. The case proceeded with Rochester Drug Company, Dakota Drug, and Morris &amp; Dickson Company</w:t>
      </w:r>
      <w:r>
        <w:rPr>
          <w:color w:val="000000"/>
        </w:rPr>
        <w:t xml:space="preserve"> </w:t>
      </w:r>
      <w:r>
        <w:rPr>
          <w:rFonts w:ascii="Times New Roman;serif" w:hAnsi="Times New Roman;serif"/>
          <w:b w:val="false"/>
          <w:color w:val="000000"/>
          <w:sz w:val="20"/>
        </w:rPr>
        <w:t xml:space="preserve">as plaintiffs and they sought monetary damages, attorneys’ fees and costs. The Company has resolved this matter and the case has been dismissed. This matter is now closed.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State of Indiana filed a complaint in Superior Court in Marion County, Indiana against the Company and other non-Viatris affiliated companies alleging harm under Indiana state laws, including antitrust and consumer protection laws, and unjust enrichment claims. Indiana generally sought monetary damages, restitution, disgorgement, civil penalties, injunctive relief, and attorneys’ fees and costs. The Company has resolved this matter and the case has been dismissed. This matter is now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received a civil subpoena from the Attorney General of the State of Mississippi seeking information relating to the sales and/or marketing of EpiPen® Auto-Injector. The Company is fully cooperating with this request and has reached settlements and settlements-in-principle with certain State Attorneys General regarding related issues.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issues covered in the Indiana complaint, Mississippi subpoena, and the settlements and settlements-in-principle with certain States, generally relate to issues from litigations and/or investigations that have been previously disclosed, including the indirect purchaser class action that was resolved in 2022 and the direct purchaser litigation matters described above, which are now also resolved.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total accrual of approximately $48.8 million related to these matters at December 31, 2025, which is included in other current liabilities 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Drug Pricing Matters</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Civil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former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The Defendants’ summary judgment motions in the direct purchaser case was denied and was largely denied with some narrowing of claims, and potentially reducing claimed damages, in the indirect purchaser case. Plaintiffs are asserting damages of approximately $350 million in each of the Clomipramine bellwether cases, which are subject to trebling under federal law in the direct purchaser case or multipliers under certain state laws in the indirect purchaser case.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has selected additional cases to proceed as bellwethers. The Company is named in three of the cases scheduled for trial, which consist of non-class cases filed by direct and indirect purchasers against the Company and other manufacturers and the first trial is scheduled to begin in September 2026, with subsequent trials scheduled to begin in August 2027 and January 2028. In February 2026, the Federal Court in Canada denied Plaintiff’s motion for class certification.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acted lawfully, is continuing to defend itself vigorously, and intends to vigorously contest all aspects of the cases, including the asserted damages.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Attorneys General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forty-two states, the District of Columbia and the Commonwealth of Puerto Rico. The Company is alleged to have engaged in anticompetitive conduct with respect to four generic drug products. The amended complaint also includes claims asserted by attorneys general of thirty-two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former sales employees, alleging anticompetitive conduct with respect to additional generic drugs.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former Company sales employee. The operative complaint seeks declaratory and injunctive relief, disgorgement, attorneys’ fees and costs, and certain states seek monetary damages, civil penalties, restitution, and other equitable monetary relief. This lawsuit was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forty-two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Company’s motions for summary judgment were largely denied with some of the States’ claims for monetary relief being reduced.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aforementioned complaints have been transferred back to the U.S. District Court for the District of Connecticut.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Securities Related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Litigation”). ADIA seeks monetary damages as well as fees and costs. Mylan has filed a motion for summary judgment to dismiss ADIA’s case in its entirety, which is pending. The Company has reached an agreement-in-principle to resolve this matter.</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includes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In July 2025, the Court held that Plaintiffs’ misstatements claim as to 1 of the 46 challenged statements, and their scheme claim, may proceed to discovery. The complaint seeks monetary damages, as well as the plaintiff’s fees and costs. In February 2026, the Company reached an agreement to pay $60 million to fully resolve this matter, which is subject to court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15, 2021, a complaint was filed in the SDNY by Skandia Mutual Life Ins. Co., Lansforsakringar AB, KBC Asset Management N.V., and GIC Private Limited, against the Company, certain of Mylan N.V.’s former directors and officers, a former officer/director of the Company, and certain former employees of the Company (“Skandia Litigation”). The Complaint filed in the Skandia Litigation asserted claims which were based on allegations that were similar to those in the ADIA Litigation and WDPA Mylan N.V. Class Action Litigation. Plaintiffs sought compensatory damages, costs and expenses and attorneys’ fees. The Company has resolved this matter and it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May 2023, putative class action complaints were filed against the Company and certain of the Company’s former officers, directors, and employees in the WDPA on behalf of certain purchasers of securities of the Company. These actions have been consolidated and, on October 23, 2023, a consolidated amended putative class action complaint was filed in the WDPA against the Company, and former officers and directors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appeal to the United States Court of Appeals for the Third Circuit was rejected in November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a putative class action complaint, which was subsequently amended in September 2025, was filed against the Company and certain of the Company’s officers, in the WDPA on behalf of certain purchasers of the Company’s securities (“WDPA Indore Class Action Litigation”). The amended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February 28, 2024 and February 26, 2025. Plaintiffs seek various forms of relief, including damages, costs and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2025, a stockholder derivative action purportedly on behalf of Viatris was filed in the WDPA against certain of the Company’s current and former officers and directors alleging that the defendants failed to ensure that the Company was making truthful and accurate statements in connection with the disclosures alleged in the WDPA Indore Class Action Litigation. Viatris is also named as a nominal defendant in this derivative action. The Complaint asserts violations of federal securities laws, as well as claims for breach of fiduciary duty, waste of corporate assets, and unjust enrichment. Plaintiff seeks various forms of relief, including damages, disgorgement, restitution, equitable relief, and costs and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 total accrual of approximately $60.8 million related to these matters at December 31, 2025, which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maintains insurance coverage with respect to these matters. Management has determined that the majority of the losses associated with the WDPA Mylan N.V. Class Action Litigation are covered under existing insurance policies. Accordingly, the Company has recognized an insurance receivable of $58.5 million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in the consolidated balance sheets. The recognition of this receivable is based on management’s assessment that recovery of these costs is probable.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Opioids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other manufacturers, distributors, pharmacies, pharmacy benefit managers, and individual healthcare providers, is a defendant in cases in the United States and Canada filed by various plaintiffs, including counties, cities and other local governmental entities, asserting civil claims related to sales, marketing and/or distribution practices with respect to prescription opioid products.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were consolidated in an MDL in the U.S. District Court for the Northern District Court of Ohio.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reached a nationwide settlement framework to resolve opioid-related claims by States, local governments, and Native American tribes against the Company and certain of its subsidiaries. Under the agreed upon framework, the Company would pay up to a maximum of $335 million, consisting of annual payments over a nine-year period of between approximately $27.5 million and $40 million each, to help support state and local efforts to address opioid-related issues. Following a sign-on period, the settlement framework has achieved high levels of participation, including all States and Territories, all litigating Native American Tribes, and the vast majority of litigating local governments. The levels of participation include the Attorneys Generals of the States of New York, Alaska, Oregon, Utah, Maryland, and Louisiana which, beginning in January 2023, issued civil subpoenas to the Company seeking information relating to opioids manufactured, marketed, or sold by the Company and related subject matter. Accordingly, the relevant parties have determined to proceed, the settlement has been finalized, and the cases covered by the settlement have either been dismissed, including the vast majority of cases in the MDL, or are in the process of being dismissed. The settlement contains no admission of wrongdoing or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cases not covered by the settlement remain pending, including a small number of actions brought by local governments, actions brought by private hospitals, third party payors, personal injury plaintiffs, and actions brought on behalf of children with Neonatal Abstinence Syndrome due to alleged exposure to opioids. Some of the pending actions are putative class action lawsuits.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accrued approximately $335 million in connection with the possible resolution of certain of these matters at December 31, 2025, which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Other Long-term Obligations </w:t>
      </w:r>
      <w:r>
        <w:rPr>
          <w:rFonts w:ascii="Times New Roman;serif" w:hAnsi="Times New Roman;serif"/>
          <w:b w:val="false"/>
          <w:color w:val="000000"/>
          <w:sz w:val="20"/>
        </w:rPr>
        <w:t>in the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Citalopram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€12.0 million as of December 31, 2025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$67.1 million as of December 31, 2025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Nitrosamines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Company has reached an agreement in principle to resolve the valsartan personal injury lawsuits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erif" w:hAnsi="Times New Roman;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Lipitor</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Depo-Provera</w:t>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October 2024, the Company (including Greenstone LLC), Pfizer and certain entities related to Pfizer, and Prasco Labs were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were also filed. In February</w:t>
      </w:r>
      <w:r>
        <w:rPr>
          <w:color w:val="FF0000"/>
        </w:rPr>
        <w:t xml:space="preserve"> </w:t>
      </w:r>
      <w:r>
        <w:rPr>
          <w:rFonts w:ascii="Times New Roman;serif" w:hAnsi="Times New Roman;serif"/>
          <w:b w:val="false"/>
          <w:color w:val="000000"/>
          <w:sz w:val="20"/>
        </w:rPr>
        <w:t>2025, the federal lawsuits were transferred for consolidated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this process, the Company has been dismissed without prejudice from all cases originally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Greenstone LLC.</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patent litigation lawsuits involving the validity and/or infringement of patents held by branded pharmaceutical manufacturers.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Dimethyl Fumarate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launched its generic dimethyl fumarate (“DMF”) product in Europe starting in July 2022 after the European Commission concluded that Biogen was not entitled to regulatory data exclusivity for Tecfidera®. In December 2023, based on its interpretation of an intervening ruling from the Court of Justice of the European Union (“CJEU”), the European Commission revoked certain generic marketing authorizations for DMF, including the Company’s. The Company challenged the European Commission’s revocation decision before the General Court of the European Union (“GCEU”) and, in February 2026, the GCEU denied the Company’s challenge. The Company intends to appeal to the CJEU.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October 2023, Biogen filed damages actions in commercial courts of Spain, Belgium, France, Netherlands, Portugal, Germany, Italy, Estonia, Finland and Croatia claiming that the Company’s sales of generic DMF violated Tecfidera’s purportedly restored regulatory exclusivity and these actions are in various stages. Biogen’s purported regulatory exclusivity for Tecfidera expired in February 2024, its patent covering DMF has been revoked, and the Company has secured a new marketing authorization for DMF. Thus, the Company has resumed commercializing DMF in Europe.</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Yupelri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January 2023, certain generic companies notified us that they had filed ANDAs with the FDA seeking approval to market generic versions of Yupelri® with associated Paragraph IV certifications. Beginning in February 2023, we brought patent infringement actions against the generic filers. The Company has entered into settlement agreements with all but one of the generic filers, granting them licenses to commercialize their generic versions of Yupelri® in April 2039 or earlier depending on certain circumstances. One ANDA filer remains in the litigation in the U.S. District Court for the District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Jersey. The remaining ANDA filer has submitted a Paragraph III certification to Orange Book-listed patents that expire on October 31, 2028, and on August 25, 2031, which confirms that it will not seek to market its ANDA product until after those patents expire. The Company is currently asserting three Orange Book-listed method of use patents against the remaining ANDA filer, the latest of which expires on October 23, 2039.</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Tyrvaya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a generic company notified Oyster Point that it had filed an ANDA with the FDA seeking approval to market a generic version of Tyrvaya® with associated Paragraph IV certifications. In July 2023, Oyster Point brought a patent infringement action against the generic filer in the U.S. District Court for the District of New Jersey. The Company has entered into a settlement agreement with the generic company resolving the litigation and granting licenses to commercialize its generic version of Tyrvaya® in October 2034, or earlier depending on certain circumstances.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Oyster Point brought a patent infringement action against a second generic filer in the U.S. District Court for the District of New Jersey. The Company is asserting infringement of patents that expire on October 19, 2035. This lawsuit automatically stays FDA approval of the generic company’s ANDA until June 2028, or until an adverse court decision, if any, whichever may occur earlier.</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Amitiza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September 2023, Sawai Pharmaceutical Co. (“Sawai”) and Towa Pharmaceutical Co. Ltd. (“Towa”) filed challenges with the Japanese Patent Office (“JPO”) asserting invalidity of JP ’4332353 (“the ’353 patent”) and its patent term extensions (“PTE”) relevant to Amitiza®, which the Company commercializes in Japan in 24µg and 12µg dosages as a licensee of the relevant patents. The remaining PTE for the ‘353 patent, which was granted based on the approval of the 12µg product, expires in April 2027. In April 2025 and June 2025, the JPO upheld the validity of the ‘353 patent and its PTE. Sawai has filed appeals against these JPO decisions with the Intellectual Property High Court.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filed an action before the Osaka District Court asserting that Sawai’s proposed 24µg generic product would infringe the remaining PTE for the ’353 patent, as well as the remaining PTE for JP ‘4889219, which was also granted based on the approval of the 12µg product and expires in December 2028. The Company is seeking a finding of infringement and an order prohibiting Sawai from commercializing its proposed 24µg product until PTE expiration. In February 2026, the Osaka District Court denied the Company’s request for a preliminary injunction, which the Company has appealed to the Intellectual Property High Court. In February 2026, generic 24µg products for Sawai and Towa received regulatory approval.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April 2024, Sawai filed challenges with the JPO with respect to the 12µg strength, asserting invalidity of PTE of five patents expiring in October 2025, September 2026, August 2027, November 2027, and December 2028, and challenged the validity of the August 2027 patent itself. In January 2026, the JPO upheld the validity of the August 2027 patent.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Sawai filed an action before the Tokyo District Court alleging unfair competition and seeking to restrain the Company from communicating with the public and the Japan Ministry of Health, Labor and Welfare about the patent coverage for Amitiza. In December 2025, the Tokyo District Court dismissed Sawai’s unfair competition action. This matter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Ryzumvi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This lawsuit automatically stays FDA approval of the generic company’s ANDA until August 3, 2027, or until an adverse court decision, if any, whichever may occur earlier.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$0.7 million accrued related to its intellectual property matters at December 31, 2025. It is reasonably possible that we may incur additional losses and fees but we cannot estimate a range of such reasonably possible losses or legal fees related to these claims at this time.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including commercial, contractual, employment, or other similar matters that are considered normal to its business. The Company has approximately $9.1 million accrued related to these various other legal proceedings at December 31, 2025.</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9.Changes in and Disagreements with Accountants on Accounting and Financial Disclosures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9A.Controls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2025.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has not identified any changes in the Company’s internal control over financial reporting (“ICFR”) that occurred during the fourth quarter of 2025 that have materially affected, or are reasonably likely to materially affect, the Company’s ICFR.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Management’s Report on ICFR is on page 83, which is incorporated herein by reference. The effectiveness of the Company’s ICFR as of December 31, 2025 has been audited by Deloitte &amp; Touche LLP (PCAOB ID No. 34), an independent registered public accounting firm, as stated in their report on page 86,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9B.Other Information</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2025, no director or “officer” of the Company adopted or terminated a “Rule 10b5-1 trading arrangement” or “non-Rule 10b5-1 trading arrangement,” as each term is defined in Item 408 of Regulation S-K.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9C.Disclosure Regarding Foreign Jurisdictions that Prevent Inspections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10.Directors, Executive Officers and Corporate Governance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Code of Ethics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Viatris board of directors has adopted a Code of Ethics for the Company’s Chief Executive Officer, Chief Financial Officer and Corporate Controller. The Viatris board of directors also has adopted a Code of Business Conduct and Ethics applicable to all directors, officers, and employees. The Code of Ethics for our Chief Executive Officer, Chief Financial Officer and Corporate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Corporate Controller and the Code of Business Conduct and Ethics that are required to be disclosed on that website.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Insider Trading Policies and Procedures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Global Insider Trading Policy and Insider Trading Policy Additional Procedures governing the purchase, sale, and/or other dispositions of our securities by our directors, officers, and employees, as well as by Viatris itself, that we believe are reasonably designed to promote compliance with insider trading laws, rules and regulations, and listing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standards applicable to us. A copy of our Global Insider Trading Policy and Insider Trading Policy Additional Procedures is included as Exhibit 19 to this Form 10-K.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additional information required by this Item 10 is incorporated by reference from Viatris’ 2026 Proxy Statement, which will be filed with the SEC no later than 120 days after the close of Viatris’ fiscal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11.Executive Compensation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11 is incorporated by reference from Viatris’ 2026 Proxy Statement, which will be filed with the SEC no later than 120 days after the close of Viatris’ fiscal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12.Security Ownership of Certain Beneficial Owners and Management and Related Stockholder Matters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about the securities authorized for issuance under Viatris’ equity compensation plans as of December 31, 2025:</w:t>
      </w:r>
    </w:p>
    <w:tbl>
      <w:tblPr>
        <w:tblW w:w="10205" w:type="dxa"/>
        <w:jc w:val="left"/>
        <w:tblInd w:w="0" w:type="dxa"/>
        <w:tblLayout w:type="fixed"/>
        <w:tblCellMar>
          <w:top w:w="28" w:type="dxa"/>
          <w:left w:w="28" w:type="dxa"/>
          <w:bottom w:w="28" w:type="dxa"/>
          <w:right w:w="28" w:type="dxa"/>
        </w:tblCellMar>
      </w:tblPr>
      <w:tblGrid>
        <w:gridCol w:w="619"/>
        <w:gridCol w:w="543"/>
        <w:gridCol w:w="545"/>
        <w:gridCol w:w="867"/>
        <w:gridCol w:w="867"/>
        <w:gridCol w:w="868"/>
        <w:gridCol w:w="109"/>
        <w:gridCol w:w="109"/>
        <w:gridCol w:w="109"/>
        <w:gridCol w:w="448"/>
        <w:gridCol w:w="1312"/>
        <w:gridCol w:w="233"/>
        <w:gridCol w:w="109"/>
        <w:gridCol w:w="109"/>
        <w:gridCol w:w="109"/>
        <w:gridCol w:w="950"/>
        <w:gridCol w:w="950"/>
        <w:gridCol w:w="134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br/>
              <w:t>(c)</w:t>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Plan Category</w:t>
            </w:r>
          </w:p>
        </w:tc>
        <w:tc>
          <w:tcPr>
            <w:tcW w:w="26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35,376,916 </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49,459,997 </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35,376,916 </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49,459,997 </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additional information required by this Item 12 is incorporated by reference from Viatris’ 2026 Proxy Statement, which will be filed with the SEC no later than 120 days after the close of Viatris’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13.Certain Relationships and Related Transactions, and Director Independence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13 is incorporated by reference from Viatris’ 2026 Proxy Statement, which will be filed with the SEC no later than 120 days after the close of Viatris’ fiscal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rFonts w:ascii="Times New Roman;serif" w:hAnsi="Times New Roman;serif"/>
          <w:b/>
          <w:color w:val="000000"/>
          <w:sz w:val="20"/>
        </w:rPr>
      </w:pPr>
      <w:r>
        <w:rPr>
          <w:rFonts w:ascii="Times New Roman;serif" w:hAnsi="Times New Roman;serif"/>
          <w:b/>
          <w:color w:val="000000"/>
          <w:sz w:val="20"/>
        </w:rPr>
        <w:t>ITEM 14.Principal Accounting Fees and Services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14 is incorporated by reference from Viatris’ 2026 Proxy Statement, which will be filed with the SEC no later than 120 days after the close of Viatris’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15.</w:t>
      </w:r>
      <w:r>
        <w:rPr>
          <w:rFonts w:ascii="Times New Roman;serif" w:hAnsi="Times New Roman;serif"/>
          <w:b/>
          <w:color w:val="000000"/>
          <w:sz w:val="20"/>
        </w:rPr>
        <w:t xml:space="preserve">Exhibits, Consolidated Financial Statement Schedules </w:t>
      </w:r>
    </w:p>
    <w:p>
      <w:pPr>
        <w:pStyle w:val="TextBody"/>
        <w:bidi w:val="0"/>
        <w:spacing w:lineRule="auto" w:line="288" w:before="0" w:after="240"/>
        <w:ind w:left="0" w:right="0" w:hanging="360"/>
        <w:jc w:val="left"/>
        <w:rPr/>
      </w:pPr>
      <w:r>
        <w:rPr>
          <w:rFonts w:ascii="Times New Roman;serif" w:hAnsi="Times New Roman;serif"/>
          <w:b w:val="false"/>
          <w:color w:val="000000"/>
          <w:sz w:val="20"/>
        </w:rPr>
        <w:t>1.</w:t>
      </w:r>
      <w:r>
        <w:rPr>
          <w:rFonts w:ascii="Times New Roman;serif" w:hAnsi="Times New Roman;serif"/>
          <w:b w:val="false"/>
          <w:i/>
          <w:color w:val="000000"/>
          <w:sz w:val="20"/>
        </w:rPr>
        <w:t>Consolidated Financial Statements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listed in the Index to Consolidated Financial Statements are filed as part of this Form.</w:t>
      </w:r>
    </w:p>
    <w:p>
      <w:pPr>
        <w:pStyle w:val="TextBody"/>
        <w:bidi w:val="0"/>
        <w:spacing w:lineRule="auto" w:line="288" w:before="0" w:after="240"/>
        <w:ind w:left="0" w:right="0" w:hanging="360"/>
        <w:jc w:val="left"/>
        <w:rPr/>
      </w:pPr>
      <w:r>
        <w:rPr>
          <w:rFonts w:ascii="Times New Roman;serif" w:hAnsi="Times New Roman;serif"/>
          <w:b w:val="false"/>
          <w:color w:val="000000"/>
          <w:sz w:val="20"/>
        </w:rPr>
        <w:t>2.</w:t>
      </w:r>
      <w:r>
        <w:rPr>
          <w:rFonts w:ascii="Times New Roman;serif" w:hAnsi="Times New Roman;serif"/>
          <w:b w:val="false"/>
          <w:i/>
          <w:color w:val="000000"/>
          <w:sz w:val="20"/>
        </w:rPr>
        <w:t>Consolidated Financial Statement Schedules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lineRule="auto" w:line="288" w:before="0" w:after="240"/>
        <w:jc w:val="center"/>
        <w:rPr>
          <w:rFonts w:ascii="Times New Roman;serif" w:hAnsi="Times New Roman;serif"/>
          <w:b/>
          <w:i/>
          <w:color w:val="000000"/>
          <w:sz w:val="16"/>
        </w:rPr>
      </w:pPr>
      <w:r>
        <w:rPr>
          <w:rFonts w:ascii="Times New Roman;serif" w:hAnsi="Times New Roman;serif"/>
          <w:b/>
          <w:i/>
          <w:color w:val="000000"/>
          <w:sz w:val="16"/>
        </w:rPr>
        <w:t>(In millions)</w:t>
      </w:r>
    </w:p>
    <w:tbl>
      <w:tblPr>
        <w:tblW w:w="10205" w:type="dxa"/>
        <w:jc w:val="left"/>
        <w:tblInd w:w="0" w:type="dxa"/>
        <w:tblLayout w:type="fixed"/>
        <w:tblCellMar>
          <w:top w:w="28" w:type="dxa"/>
          <w:left w:w="28" w:type="dxa"/>
          <w:bottom w:w="28" w:type="dxa"/>
          <w:right w:w="28" w:type="dxa"/>
        </w:tblCellMar>
      </w:tblPr>
      <w:tblGrid>
        <w:gridCol w:w="820"/>
        <w:gridCol w:w="722"/>
        <w:gridCol w:w="729"/>
        <w:gridCol w:w="211"/>
        <w:gridCol w:w="766"/>
        <w:gridCol w:w="109"/>
        <w:gridCol w:w="109"/>
        <w:gridCol w:w="109"/>
        <w:gridCol w:w="109"/>
        <w:gridCol w:w="681"/>
        <w:gridCol w:w="636"/>
        <w:gridCol w:w="638"/>
        <w:gridCol w:w="109"/>
        <w:gridCol w:w="109"/>
        <w:gridCol w:w="109"/>
        <w:gridCol w:w="481"/>
        <w:gridCol w:w="481"/>
        <w:gridCol w:w="483"/>
        <w:gridCol w:w="109"/>
        <w:gridCol w:w="109"/>
        <w:gridCol w:w="109"/>
        <w:gridCol w:w="344"/>
        <w:gridCol w:w="328"/>
        <w:gridCol w:w="329"/>
        <w:gridCol w:w="109"/>
        <w:gridCol w:w="109"/>
        <w:gridCol w:w="109"/>
        <w:gridCol w:w="211"/>
        <w:gridCol w:w="766"/>
        <w:gridCol w:w="162"/>
      </w:tblGrid>
      <w:tr>
        <w:trPr/>
        <w:tc>
          <w:tcPr>
            <w:tcW w:w="8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 Charged to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Additions Charged to Other</w:t>
              <w:br/>
              <w:t>Accounts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Deductions</w:t>
            </w:r>
            <w:r>
              <w:rPr>
                <w:color w:val="000000"/>
              </w:rPr>
              <w:t xml:space="preserv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w:t>
              <w:br/>
              <w:t>Balance</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 </w:t>
      </w:r>
    </w:p>
    <w:p>
      <w:pPr>
        <w:pStyle w:val="TextBody"/>
        <w:bidi w:val="0"/>
        <w:spacing w:lineRule="auto" w:line="288" w:before="0" w:after="6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These amounts include balances from acquisitions and foreign currency translation.</w:t>
      </w:r>
    </w:p>
    <w:p>
      <w:pPr>
        <w:pStyle w:val="TextBody"/>
        <w:bidi w:val="0"/>
        <w:spacing w:lineRule="auto" w:line="288" w:before="0" w:after="6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2023 amounts include balances reclassified to </w:t>
      </w:r>
      <w:r>
        <w:rPr>
          <w:rFonts w:ascii="Times New Roman;serif" w:hAnsi="Times New Roman;serif"/>
          <w:b w:val="false"/>
          <w:i/>
          <w:color w:val="000000"/>
          <w:sz w:val="20"/>
        </w:rPr>
        <w:t>Assets Held for Sale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Liabilities Held for Sale</w:t>
      </w:r>
      <w:r>
        <w:rPr>
          <w:rFonts w:ascii="Times New Roman;serif" w:hAnsi="Times New Roman;serif"/>
          <w:b w:val="false"/>
          <w:color w:val="000000"/>
          <w:sz w:val="20"/>
        </w:rPr>
        <w:t>.</w:t>
      </w:r>
    </w:p>
    <w:p>
      <w:pPr>
        <w:pStyle w:val="TextBody"/>
        <w:bidi w:val="0"/>
        <w:spacing w:before="0" w:after="60"/>
        <w:jc w:val="left"/>
        <w:rPr/>
      </w:pPr>
      <w:r>
        <w:rPr/>
      </w:r>
    </w:p>
    <w:p>
      <w:pPr>
        <w:pStyle w:val="TextBody"/>
        <w:bidi w:val="0"/>
        <w:spacing w:lineRule="auto" w:line="288" w:before="0" w:after="180"/>
        <w:ind w:left="0" w:right="0" w:hanging="360"/>
        <w:jc w:val="left"/>
        <w:rPr/>
      </w:pPr>
      <w:r>
        <w:rPr>
          <w:rFonts w:ascii="Times New Roman;serif" w:hAnsi="Times New Roman;serif"/>
          <w:b w:val="false"/>
          <w:color w:val="000000"/>
          <w:sz w:val="20"/>
        </w:rPr>
        <w:t>3.</w:t>
      </w:r>
      <w:r>
        <w:rPr>
          <w:rFonts w:ascii="Times New Roman;serif" w:hAnsi="Times New Roman;serif"/>
          <w:b w:val="false"/>
          <w:i/>
          <w:color w:val="000000"/>
          <w:sz w:val="20"/>
        </w:rPr>
        <w:t xml:space="preserve">Exhibits </w:t>
      </w:r>
    </w:p>
    <w:tbl>
      <w:tblPr>
        <w:tblW w:w="10205" w:type="dxa"/>
        <w:jc w:val="left"/>
        <w:tblInd w:w="0" w:type="dxa"/>
        <w:tblLayout w:type="fixed"/>
        <w:tblCellMar>
          <w:top w:w="28" w:type="dxa"/>
          <w:left w:w="28" w:type="dxa"/>
          <w:bottom w:w="28" w:type="dxa"/>
          <w:right w:w="28" w:type="dxa"/>
        </w:tblCellMar>
      </w:tblPr>
      <w:tblGrid>
        <w:gridCol w:w="172"/>
        <w:gridCol w:w="150"/>
        <w:gridCol w:w="153"/>
        <w:gridCol w:w="109"/>
        <w:gridCol w:w="109"/>
        <w:gridCol w:w="109"/>
        <w:gridCol w:w="2749"/>
        <w:gridCol w:w="2749"/>
        <w:gridCol w:w="3905"/>
      </w:tblGrid>
      <w:tr>
        <w:trPr/>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"https://www.sec.gov/Archives/edgar/data/1792044/000119312520212083/d159300dex991.htm" \l "toc781435_29"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2.1(a)</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12529"/>
                <w:sz w:val="20"/>
              </w:rPr>
              <w:t>Business Combination Agreement, dated as of July 29, 2019, by and among Pfizer Inc., Upjohn Inc., Utah Acquisition Sub Inc.,</w:t>
            </w:r>
            <w:r>
              <w:rPr>
                <w:color w:val="000000"/>
              </w:rPr>
              <w:t xml:space="preserve"> </w:t>
            </w:r>
            <w:r>
              <w:rPr>
                <w:rFonts w:ascii="Times New Roman;serif" w:hAnsi="Times New Roman;serif"/>
                <w:b w:val="false"/>
                <w:color w:val="000000"/>
                <w:sz w:val="20"/>
              </w:rPr>
              <w:t xml:space="preserve">Mylan N.V., </w:t>
            </w:r>
            <w:r>
              <w:rPr>
                <w:rFonts w:ascii="Times New Roman;serif" w:hAnsi="Times New Roman;serif"/>
                <w:b w:val="false"/>
                <w:color w:val="212529"/>
                <w:sz w:val="20"/>
              </w:rPr>
              <w:t xml:space="preserve">Mylan I B.V. and Mylan II B.V., </w:t>
            </w:r>
            <w:r>
              <w:rPr>
                <w:rFonts w:ascii="Times New Roman;serif" w:hAnsi="Times New Roman;serif"/>
                <w:b w:val="false"/>
                <w:color w:val="000000"/>
                <w:sz w:val="20"/>
              </w:rPr>
              <w:t>included as Annex A to the Information Statement included as Exhibit 99.1 to the Report on Form 8-K filed by Upjohn Inc. with the SEC on August 6, 2020, and incorporated herein by reference.</w:t>
            </w:r>
            <w:r>
              <w:rPr>
                <w:rFonts w:ascii="Times New Roman;serif" w:hAnsi="Times New Roman;serif"/>
                <w:b w:val="false"/>
                <w:color w:val="212529"/>
                <w:sz w:val="20"/>
              </w:rPr>
              <w:t>^</w:t>
            </w:r>
          </w:p>
          <w:p>
            <w:pPr>
              <w:pStyle w:val="TableContents"/>
              <w:bidi w:val="0"/>
              <w:spacing w:before="0" w:after="0"/>
              <w:jc w:val="left"/>
              <w:rPr/>
            </w:pPr>
            <w:r>
              <w:rPr/>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2.1(b)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212529"/>
                <w:sz w:val="20"/>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Times New Roman;serif" w:hAnsi="Times New Roman;serif"/>
                <w:b w:val="false"/>
                <w:color w:val="000000"/>
                <w:sz w:val="20"/>
              </w:rPr>
              <w:t xml:space="preserve">included as Exhibit </w:t>
            </w:r>
            <w:r>
              <w:rPr>
                <w:rFonts w:ascii="Times New Roman;serif" w:hAnsi="Times New Roman;serif"/>
                <w:b w:val="false"/>
                <w:color w:val="212529"/>
                <w:sz w:val="20"/>
              </w:rPr>
              <w:t xml:space="preserve">99.1 </w:t>
            </w:r>
            <w:r>
              <w:rPr>
                <w:rFonts w:ascii="Times New Roman;serif" w:hAnsi="Times New Roman;serif"/>
                <w:b w:val="false"/>
                <w:color w:val="000000"/>
                <w:sz w:val="20"/>
              </w:rPr>
              <w:t xml:space="preserve">to the Report on Form 8-K filed by Upjohn Inc. with the SEC on </w:t>
            </w:r>
            <w:r>
              <w:rPr>
                <w:rFonts w:ascii="Times New Roman;serif" w:hAnsi="Times New Roman;serif"/>
                <w:b w:val="false"/>
                <w:color w:val="212529"/>
                <w:sz w:val="20"/>
              </w:rPr>
              <w:t>August 6, 2020,</w:t>
            </w:r>
            <w:r>
              <w:rPr>
                <w:color w:val="000000"/>
              </w:rPr>
              <w:t xml:space="preserve"> </w:t>
            </w:r>
            <w:r>
              <w:rPr>
                <w:rFonts w:ascii="Times New Roman;serif" w:hAnsi="Times New Roman;serif"/>
                <w:b w:val="false"/>
                <w:color w:val="000000"/>
                <w:sz w:val="20"/>
              </w:rPr>
              <w:t>and incorporated herein by reference</w:t>
            </w:r>
            <w:r>
              <w:rPr>
                <w:rFonts w:ascii="Times New Roman;serif" w:hAnsi="Times New Roman;serif"/>
                <w:b w:val="false"/>
                <w:color w:val="212529"/>
                <w:sz w:val="20"/>
              </w:rPr>
              <w:t>.</w:t>
            </w:r>
            <w:r>
              <w:rPr>
                <w:rFonts w:ascii="Times New Roman;serif" w:hAnsi="Times New Roman;serif"/>
                <w:b w:val="false"/>
                <w:color w:val="000000"/>
                <w:sz w:val="20"/>
              </w:rPr>
              <w:t>^</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2.2(a)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dated as of July 29, 2019, by and between Pfizer Inc. and Upjohn Inc., filed as Exhibit 2.2 to the Report on Form 8-K filed by Mylan N.V. with the SEC on July 29, 2019, 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2.2(b)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Amendment No. 1, dated as of February 18, 2020, to the Separation and Distribution Agreement, dated as of July 29, 2019, by and between Pfizer Inc. and Upjohn Inc., </w:t>
            </w:r>
            <w:r>
              <w:rPr>
                <w:rFonts w:ascii="Times New Roman;serif" w:hAnsi="Times New Roman;serif"/>
                <w:b w:val="false"/>
                <w:color w:val="212529"/>
                <w:sz w:val="20"/>
              </w:rPr>
              <w:t xml:space="preserve">filed by Mylan N.V. as Exhibit 2.1 to Form 10-Q </w:t>
            </w:r>
            <w:r>
              <w:rPr>
                <w:rFonts w:ascii="Times New Roman;serif" w:hAnsi="Times New Roman;serif"/>
                <w:b w:val="false"/>
                <w:color w:val="000000"/>
                <w:sz w:val="20"/>
              </w:rPr>
              <w:t>for the quarter ended March 31, 2020</w:t>
            </w:r>
            <w:r>
              <w:rPr>
                <w:rFonts w:ascii="Times New Roman;serif" w:hAnsi="Times New Roman;serif"/>
                <w:b w:val="false"/>
                <w:color w:val="212529"/>
                <w:sz w:val="20"/>
              </w:rPr>
              <w:t>,</w:t>
            </w:r>
            <w:r>
              <w:rPr>
                <w:color w:val="000000"/>
              </w:rPr>
              <w:t xml:space="preserve"> </w:t>
            </w:r>
            <w:r>
              <w:rPr>
                <w:rFonts w:ascii="Times New Roman;serif" w:hAnsi="Times New Roman;serif"/>
                <w:b w:val="false"/>
                <w:color w:val="000000"/>
                <w:sz w:val="20"/>
              </w:rPr>
              <w:t>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2.2(c)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Amendment No. 2, dated as of May 29, 2020, to the Separation and Distribution Agreement, dated as of July 29, 2019, by and between Pfizer Inc. and Upjohn Inc., filed as Exhibit 2.2 to the Report on Form 8-K filed by Mylan N.V. with the SEC on June 1, 2020, and incorporated herein by reference.^</w:t>
            </w:r>
          </w:p>
        </w:tc>
      </w:tr>
      <w:tr>
        <w:trPr/>
        <w:tc>
          <w:tcPr>
            <w:tcW w:w="4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2.2(d)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Amendment No. 3, dated as of September 18, 2020, to the Separation and Distribution Agreement, dated as of July 29, 2019, by and between Pfizer Inc. and Upjohn Inc., filed as Exhibit 2.6 to the Report on Form 8-K filed by Viatris Inc. with the SEC on November 19, 2020,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2839"/>
        <w:gridCol w:w="2711"/>
        <w:gridCol w:w="3847"/>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2.2(e)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Amendment No. 4, dated as of November 15, 2020, to the Separation and Distribution Agreement, dated as of July 29, 2019, by and between Pfizer Inc. and Upjohn Inc., filed as Exhibit 2.7 to the Report on Form 8-K filed by Viatris Inc. with the SEC on November 19, 2020, and incorporated herein by reference.^ </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2.3(a)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Agreement, dated as of February 27, 2022, by and among Biocon Biologics Limited and Viatris Inc., filed as Exhibit 2.1 to the Report on Form 8-K filed by Viatris Inc. with the SEC on February 28, 2022,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2.3(b)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Transaction Agreement, dated as of November 28, 2022, by and between Biocon Biologics Limited and Viatris Inc., filed as Exhibit 2.1 to the Report on Form 8-K filed by Viatris Inc. with the SEC on November 29, 2022,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2.3(c)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Omnibus Amendment No. 1, effective as of May 17, 2023, by and among Viatris Inc., Biocon Biologics UK Limited, Biosimilar Collaborations Ireland Limited, Biosimilars Newco Limited, and Biocon Biologics Limited, filed by Viatris Inc. as Exhibit 2.1 to Form 10-Q for the quarter ended June 30, 2023,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2.3(d)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Omnibus Amendment No. 2, effective as of December 19, 2023, by and among Viatris Inc., Biocon Biologics UK Limited, Biosimilars Newco Limited, and Biocon Biologics Limited, filed by Viatris Inc. as Exhibit 2.3(d) to Form 10-K for the fiscal year ended December 31, 2023,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2.3(e)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Omnibus Amendment No. 3, effective as of December 24, 2024, by and among Viatris Inc., Biocon Biologics UK Limited, Biosimilar Collaborations Ireland Limited, Biosimilars Newco Limited, and Biocon Biologics Limited, filed by Viatris Inc. as Exhibit 2.3(e) to Form 10-K for the fiscal year ended December 31, 2024,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2.4(a)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Put Option Agreement, dated October 1, 2023, between Cooper Consumer Health SAS and Viatris Inc., filed by Viatris Inc. as Exhibit 2.1 to Form 10-Q for the quarter ended September 30, 2023,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2.4(b)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Agreement, dated as of January 29, 2024, by and among Cooper Consumer Health SAS, Cooper Consumer Health IT S.r.l., Viatris Inc., Viatris Italia S.r.l. and Ipex AB, filed as Exhibit 2.1 to the Report on Form 8-K/A filed by Viatris Inc. with the SEC on January 30, 2024, and incorporated herein by reference. ^</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3.1(a)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Upjohn Inc., effective as of November 13, 2020, filed as Exhibit 3.1 to the Report on Form 8-K filed by Viatris Inc. with the SEC on November 19, 2020,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3.1(b)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 of Amendment of Amended and Restated Certificate of Incorporation of Upjohn Inc., effective as of November 16, 2020, filed as Exhibit 3.3 to the Report on Form 8-K filed by Viatris Inc. with the SEC on November 19, 2020, and incorporated herein by reference. </w:t>
            </w:r>
          </w:p>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3.1(c)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Amended and Restated Certificate of Incorporation of Viatris Inc., effective as of December 15, 2023, filed by Viatris Inc. as Exhibit 3.1(c) to Form 10-K for the fiscal year ended December 31, 2023,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3.1(d)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Amendment of Amended and Restated Certificate of Incorporation of Viatris Inc., effective as of December 15, 2023, filed by Viatris Inc. as Exhibit 3.1(d) to Form 10-K for the fiscal year ended December 31, 2023,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Viatris Inc., effective as of October 24, 2025, filed as Exhibit 3.1 to the Report on Form 8-K filed by Viatris Inc. with the SEC on October 24, 2025, and incorporated herein by reference.</w:t>
            </w:r>
          </w:p>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4.1(a)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November 29, 2013, between Mylan Inc. and The Bank of New York Mellon, as trustee, filed as Exhibit 4.1 to the Report on Form 8-K filed by Mylan Inc. with the SEC on November 29, 2013,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4.1(b)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November 29, 2013, between Mylan Inc. and The Bank of New York Mellon, as trustee, filed as Exhibit 4.2 to the Report on Form 8-K filed by Mylan Inc. with the SEC on November 29, 2013, and incorporated herein by reference.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4.1(c)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Second Supplemental Indenture, dated February 27, 2015, among Mylan Inc., as issuer, Mylan N.V., as guarantor, and The Bank of New York Mellon, as trustee, to the Indenture, dated November 29, 2013, filed as Exhibit 4.6 to the Report on Form 8-K filed by Mylan N.V. with the SEC on February 27, 2015, and incorporated herein by reference.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7"/>
        <w:gridCol w:w="149"/>
        <w:gridCol w:w="109"/>
        <w:gridCol w:w="109"/>
        <w:gridCol w:w="109"/>
        <w:gridCol w:w="2751"/>
        <w:gridCol w:w="2751"/>
        <w:gridCol w:w="3912"/>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4.1(d)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dated March 12, 2015, between and among Mylan Inc., as issuer, Mylan N.V., as parent, and The Bank of New York Mellon, as trustee, to the Indenture, dated November 29, 2013, filed by Mylan N.V. as Exhibit 4.5(b) to Form 10-Q for the quarter ended March 31, 2015,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4.1(e)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Fourth Supplemental Indenture dated November 16, 2020, by and among Mylan Inc., Viatris Inc., Utah Acquisition Sub Inc., Mylan II 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4.2(a)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June 9, 2016, among Mylan N.V., as issuer, Mylan Inc., as guarantor, and The Bank of New York Mellon, as trustee, filed as Exhibit 4.1 to the Report on Form 8-K filed by Mylan N.V. with the SEC on June 15,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4.2(b)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4.3(a)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4.3(b)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4.4(a)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April 9, 2018, among Mylan Inc., as issuer, Mylan N.V., as guarantor, and the Bank of New York Mellon, as trustee, filed as Exhibit 4.1 to the Report on Form 8-K filed by Mylan N.V. with the SEC on April 9, 2018,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4.4(b)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4.5(a)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4.5(b)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4.6(a)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Indenture, dated as of June 22, 2020, between Upjohn Inc., as issuer, and The Bank of New York Mellon, as trustee, filed as Exhibit 4.1 to the Report on Form 8-K filed by Upjohn Inc. with the SEC on June 26,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4.6(b)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 </w:t>
            </w:r>
          </w:p>
        </w:tc>
      </w:tr>
      <w:tr>
        <w:trPr/>
        <w:tc>
          <w:tcPr>
            <w:tcW w:w="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4.7(a)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23"/>
        <w:gridCol w:w="190"/>
        <w:gridCol w:w="154"/>
        <w:gridCol w:w="109"/>
        <w:gridCol w:w="109"/>
        <w:gridCol w:w="109"/>
        <w:gridCol w:w="2976"/>
        <w:gridCol w:w="2615"/>
        <w:gridCol w:w="3720"/>
      </w:tblGrid>
      <w:tr>
        <w:trPr/>
        <w:tc>
          <w:tcPr>
            <w:tcW w:w="2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4.7(b)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 of Viatris Inc. Securities Registered Under Section 12 of the Exchange Act, filed by Viatris Inc. as Exhibit 4.9 to Form 10-K for the fiscal year ended December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10.1(a)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 included as Exhibit 10.1 to Amendment No. 1 to Form 10 filed by Upjohn Inc. with the SEC on February 6, 2020,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Amendment to the Viatris Inc. 2020 Stock Incentive Plan dated December 6, 2024, filed by Viatris Inc. as Exhibit 10.1(b) to Form 10-K for the fiscal year ended December 31, 2024, and incorporated herein by reference.* </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10.1(c)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 of Restricted Stock Unit Award Agreement under the Viatris Inc. 2020 Stock Incentive Plan for awards granted on or after March 2, 2021, filed by Viatris Inc. as Exhibit 10.1 to Form 10-Q for the quarter ended March 31,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10.1(d)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shd w:fill="FFFFFF" w:val="clear"/>
              </w:rPr>
              <w:t>Form of Director Restricted Stock Unit Award Agreement under the Viatris Inc. 2020 Stock Incentive Plan for non-employee directors for awards granted on or after March 2, 2021, filed by Viatris Inc. as Exhibit 10.</w:t>
            </w:r>
            <w:r>
              <w:rPr>
                <w:rFonts w:ascii="Times New Roman;serif" w:hAnsi="Times New Roman;serif"/>
                <w:b w:val="false"/>
                <w:color w:val="000000"/>
                <w:sz w:val="20"/>
              </w:rPr>
              <w:t>3</w:t>
            </w:r>
            <w:r>
              <w:rPr>
                <w:color w:val="000000"/>
                <w:shd w:fill="FFFFFF" w:val="clear"/>
              </w:rPr>
              <w:t xml:space="preserve"> </w:t>
            </w:r>
            <w:r>
              <w:rPr>
                <w:rFonts w:ascii="Times New Roman;serif" w:hAnsi="Times New Roman;serif"/>
                <w:b w:val="false"/>
                <w:color w:val="000000"/>
                <w:sz w:val="20"/>
                <w:shd w:fill="FFFFFF" w:val="clear"/>
              </w:rPr>
              <w:t xml:space="preserve">to Form 10-Q for the quarter ended March </w:t>
            </w:r>
            <w:r>
              <w:rPr>
                <w:rFonts w:ascii="Times New Roman;serif" w:hAnsi="Times New Roman;serif"/>
                <w:b w:val="false"/>
                <w:color w:val="000000"/>
                <w:sz w:val="20"/>
              </w:rPr>
              <w:t>3</w:t>
            </w:r>
            <w:r>
              <w:rPr>
                <w:rFonts w:ascii="Times New Roman;serif" w:hAnsi="Times New Roman;serif"/>
                <w:b w:val="false"/>
                <w:color w:val="000000"/>
                <w:sz w:val="20"/>
                <w:shd w:fill="FFFFFF" w:val="clear"/>
              </w:rPr>
              <w:t>1, 2021,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10.1(e)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 of Performance-Based Restricted Stock Unit Award Agreement under the Viatris Inc. 2020 Stock Incentive Plan for awards granted on or after March 3, 2023, filed by Viatris Inc. as Exhibit 10.3 to Form 10-Q for the quarter ended March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10.1(f)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Oyster Point Pharma, Inc. 2016 Equity Incentive Plan, filed as Exhibit 99.1 to Form S-8 filed by Viatris Inc. with the SEC on March 3,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80"/>
                  <w:sz w:val="20"/>
                  <w:u w:val="single"/>
                </w:rPr>
                <w:t>10.1(</w:t>
              </w:r>
            </w:hyperlink>
            <w:hyperlink r:id="rId50">
              <w:r>
                <w:rPr>
                  <w:rStyle w:val="InternetLink"/>
                  <w:rFonts w:ascii="Times New Roman;serif" w:hAnsi="Times New Roman;serif"/>
                  <w:b w:val="false"/>
                  <w:color w:val="000080"/>
                  <w:sz w:val="20"/>
                  <w:u w:val="single"/>
                </w:rPr>
                <w:t>g</w:t>
              </w:r>
            </w:hyperlink>
            <w:hyperlink r:id="rId51">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Oyster Point Pharma, Inc. 2019 Equity Incentive Plan, filed as Exhibit 99.2 to Form S-8 filed by Viatris Inc. with the SEC on March 3,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10.1(h)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Oyster Point Pharma, Inc. 2021 Inducement Plan, filed as Exhibit 99.3 to Form S-8 filed by Viatris Inc. with the SEC on March 3,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Offer Letter with Scott A. Smith, dated February 24, 2023, filed as Exhibit 10.1 to the Report on Form 8-K filed by Viatris Inc. with the SEC on February 27,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Offer Letter with Theodora (Doretta) Mistras, dated December 15, 2023, filed by Viatris Inc. as Exhibit 10.13 to Form 10-K for the fiscal year ended December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Offer Letter with Corinne Le Goff, dated February 16, 2024, filed by Viatris Inc. as Exhibit 10.1 to Form 10-Q for the quarter ended March 31, 2025,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and Operating Consulting Agreement and Release with Rajiv Malik, dated October 20, 2023, filed by Viatris Inc. as Exhibit 10.14 to Form 10-K for the fiscal year ended December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Separation Agreement and Release with Sanjeev Narula, dated December 15, 2023, filed by Viatris Inc. as Exhibit 10.16 to Form 10-K for the fiscal year ended December 31, 2023,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"https://www.sec.gov/Archives/edgar/data/1623613/000119312516602386/d157810ddef14a.htm" \l "toc157810_69"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10.7(a)</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 filed as Appendix B to Mylan N.V.’s Definitive Proxy Statement on Schedule 14A filed by Mylan N.V. with the SEC on May 25, 2016,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"https://www.sec.gov/Archives/edgar/data/1623613/000119312516602386/d157810ddef14a.htm" \l "toc157810_69"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10.7(b)</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Mylan N.V. Amended and Restated 2003 Long-Term Incentive Plan, filed as Appendix B to Mylan N.V.’s Definitive Proxy Statement on Schedule 14A filed by Mylan N.V. on May 25, 2016,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10.7(c)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the Mylan N.V. Amended and Restated 2003 Long-Term Incentive Plan, adopted as of February 23, 2017, filed by Mylan N.V. as Exhibit 10.1 to Form 10-Q for the quarter ended March 31, 2017, and incorporated herein by reference.*</w:t>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10.7(d)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64"/>
        <w:gridCol w:w="225"/>
        <w:gridCol w:w="191"/>
        <w:gridCol w:w="109"/>
        <w:gridCol w:w="109"/>
        <w:gridCol w:w="109"/>
        <w:gridCol w:w="2839"/>
        <w:gridCol w:w="2628"/>
        <w:gridCol w:w="3731"/>
      </w:tblGrid>
      <w:tr>
        <w:trPr/>
        <w:tc>
          <w:tcPr>
            <w:tcW w:w="2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31"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10.7(e)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10.7(f)</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the Mylan N.V. 2003 Long-Term Incentive Plan for awards granted after February 27, 2015, filed by Mylan N.V. as Exhibit 10.1(l) to Form 10-K for the fiscal year ended December 31, 2015,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10.7(g)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the Mylan N.V. 2003 Long-Term Incentive Plan for Rajiv Malik for awards granted on or after February 19, 2019, filed by Mylan N.V. as Exhibit 10.7 to Form 10-Q for the quarter ended March 31, 2019,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10.7(h)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Form of Stock Option Agreement under the Mylan N.V. 2003 Long-Term Incentive Plan for independent directors for awards granted on or after March 2, 2020, filed by Mylan N.V. as Exhibit 10.2 to Form 10-Q for the quarter ended March 31, 2020,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212529"/>
                <w:sz w:val="20"/>
              </w:rPr>
              <w:t>Mylan N.V. Severance Plan and Global Guidelines</w:t>
            </w:r>
            <w:r>
              <w:rPr>
                <w:rFonts w:ascii="Times New Roman;serif" w:hAnsi="Times New Roman;serif"/>
                <w:b w:val="false"/>
                <w:color w:val="000000"/>
                <w:sz w:val="20"/>
              </w:rPr>
              <w:t>, filed by Mylan N.V. as Exhibit 10.1 to Form 10-Q for the quarter ended September 30, 2019, and incorporated herein by reference.*</w:t>
            </w:r>
          </w:p>
          <w:p>
            <w:pPr>
              <w:pStyle w:val="TableContents"/>
              <w:bidi w:val="0"/>
              <w:spacing w:before="0" w:after="0"/>
              <w:jc w:val="left"/>
              <w:rPr/>
            </w:pPr>
            <w:r>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10.9(a)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Mylan 401(k) Restoration Plan, dated January 1, 2010, filed as Exhibit 10.1 to the Report on Form 8-K filed by Mylan Inc. with the SEC on December 14, 2009,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10.9(b)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Mylan 401(k) Restoration Plan, dated November 4, 2014, filed by Mylan Inc. as Exhibit 10.41(b) to Form 10-K for the fiscal year ended December 31, 2014,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10.10(a)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Mylan Executive Income Deferral Plan, filed as Exhibit 10.2 to the Report on Form 8-K filed by Mylan Inc. with the SEC on December 14, 2009,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10.10(b)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to Mylan Executive Income Deferral Plan, dated November 4, 2014, filed by Mylan Inc. as Exhibit 10.42(b) to Form 10-K for the fiscal year ended December 31, 2014,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Executive Nonqualified Excess Plan, effective as of December 28, 2007, between Mylan International Holdings, Inc. and Rajiv Malik, filed by Mylan Inc. as Exhibit 10.57 to Form 10-K for the fiscal year ended December 31, 2013,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2007 Supplemental Health Insurance Plan for Certain Key Employees of Mylan Laboratories Inc., adopted as of January 29, 2007, filed by Mylan N.V. as Exhibit 10.29 to the Form 10-K for the fiscal year ended December 31, 2019,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between Viatris Inc. and each of its directors and its executive officers, filed by Viatris Inc. as Exhibit 10.25 to Form 10-K for the fiscal year ended December 31, 2020,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Form of Indemnification Agreement between Mylan Inc. and each Director, filed by Mylan Inc. as Exhibit 10.38 to Form 10-K for the fiscal year ended December 31, 2013,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Indemnification Agreement between Mylan N.V. and directors, filed as Exhibit 10.1 to the Report on Form 8-K filed by Mylan N.V. with the SEC on February 27, 2015,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Amended and Restated Revolving Credit Agreement, dated as of September 27, 2024, among Viatris, certain affiliates and subsidiaries of Viatris from time to time party thereto as guarantors, each lender and issuing bank from time to time party thereto and Bank of America, N.A., as administrative agent, filed as Exhibit 10.1 to the Report on Form 8-K filed by Viatris Inc. with the SEC on September 27, 2024 and incorporated herein by reference.^</w:t>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8"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shd w:fill="FFFFFF" w:val="clear"/>
              </w:rPr>
              <w:t xml:space="preserve">Term Loan Credit Agreement, dated as of July 1, 2021, among Viatris, the guarantors from time to time party thereto, the lenders from time to time party thereto and Mizuho Bank, Ltd., as administrative agent, filed as Exhibit 10.2 to the Report on Form 8-K filed by Viatris Inc. with the SEC on July 1, 2021, and incorporated herein by reference. </w:t>
            </w: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7"/>
        <w:gridCol w:w="216"/>
        <w:gridCol w:w="219"/>
        <w:gridCol w:w="109"/>
        <w:gridCol w:w="109"/>
        <w:gridCol w:w="109"/>
        <w:gridCol w:w="2823"/>
        <w:gridCol w:w="2635"/>
        <w:gridCol w:w="3738"/>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Form of Commercial Paper Dealer Agreement among Viatris Inc., Utah Acquisition Sub Inc., Mylan II B.V., Mylan Inc. and the dealer thereto, filed as Exhibit 10.1 to the Report on Form 8-K/A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 dated as of November 16, 2020, by and between Upjohn Inc. (as Service Provider) and Pfizer Inc. (as Service Recipient), filed as Exhibit 10.2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Matters Agreement, dated as of November 16, 2020, by and between Pfizer Inc. and Upjohn Inc., filed as Exhibit 10.3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Matters Agreement, dated as of November 16, 2020, by and between Pfizer Inc. and Viatris Inc., filed as Exhibit 10.4 to the Report on Form 8-K filed by Viatris Inc. with the SEC on November 19, 2020, and incorporated herein by reference.^</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Matters Agreement, dated as of November 16, 2020, by and between Pfizer Inc. and Viatris Inc., filed as Exhibit 10.7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 License Agreement, dated as of November 16, 2020, by and between Pfizer Inc. and Viatris Inc., filed as Exhibit 10.8 to the Report on Form 8-K filed by Viatris Inc. with the SEC on November 19, 2020, and incorporated herein by reference. ^</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Inc. Global Insider Trading Policy and Insider Trading Policy Additional Procedures, filed by Viatris Inc. as Exhibit 19 to Form 10-K for the fiscal year ended December 31, 2024, and incorporated herein by reference.</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1xvtrsx20251231.htm">
              <w:r>
                <w:rPr>
                  <w:rStyle w:val="InternetLink"/>
                  <w:rFonts w:ascii="Times New Roman;serif" w:hAnsi="Times New Roman;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 of the registrant.</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2-vtrsx20251231x10xk.htm">
              <w:r>
                <w:rPr>
                  <w:rStyle w:val="InternetLink"/>
                  <w:rFonts w:ascii="Times New Roman;serif" w:hAnsi="Times New Roman;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 of subsidiary guarantors and issuers of guaranteed securities.</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23-vtrsx20251231x10xk.htm">
              <w:r>
                <w:rPr>
                  <w:rStyle w:val="InternetLink"/>
                  <w:rFonts w:ascii="Times New Roman;serif" w:hAnsi="Times New Roman;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Deloitte &amp; Touche LLP, Independent Registered Public Accounting Firm.</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1x20251231-10k.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12x20251231-10k.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rs_ex32x20251231-10k.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Section 906 of the Sarbanes-Oxley Act of 2002.</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Inc. Incentive-Based Compensation Recovery Policy, effective December 1, 2023, filed by Viatris Inc. as Exhibit 97 to Form 10-K for the fiscal year ended December 31, 2023, and incorporated herein by reference.</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9"/>
        <w:gridCol w:w="218"/>
        <w:gridCol w:w="221"/>
        <w:gridCol w:w="109"/>
        <w:gridCol w:w="109"/>
        <w:gridCol w:w="109"/>
        <w:gridCol w:w="2729"/>
        <w:gridCol w:w="2669"/>
        <w:gridCol w:w="3792"/>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 (included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30"/>
        <w:gridCol w:w="2870"/>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Annexes, schedules and/or exhibits have been omitted pursuant to Item 601(a)(5) of Regulation S-K. Viatris agrees to furnish supplementally a copy of any omitted attachment to the SEC on a confidential basis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0"/>
        <w:jc w:val="left"/>
        <w:rPr/>
      </w:pPr>
      <w:hyperlink w:anchor="ibf5bec8029254c079063330130bbea5e_4">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Form to be signed on its behalf by the undersigned, thereunto duly authorized on February 26, 2026.</w:t>
      </w:r>
    </w:p>
    <w:tbl>
      <w:tblPr>
        <w:tblW w:w="3099" w:type="dxa"/>
        <w:jc w:val="left"/>
        <w:tblInd w:w="0" w:type="dxa"/>
        <w:tblLayout w:type="fixed"/>
        <w:tblCellMar>
          <w:top w:w="28" w:type="dxa"/>
          <w:left w:w="28" w:type="dxa"/>
          <w:bottom w:w="28" w:type="dxa"/>
          <w:right w:w="28" w:type="dxa"/>
        </w:tblCellMar>
      </w:tblPr>
      <w:tblGrid>
        <w:gridCol w:w="124"/>
        <w:gridCol w:w="109"/>
        <w:gridCol w:w="109"/>
        <w:gridCol w:w="120"/>
        <w:gridCol w:w="120"/>
        <w:gridCol w:w="121"/>
        <w:gridCol w:w="109"/>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Form has been signed below by the following persons on behalf of the registrant and in the capacities indicated as of February 26, 2026.</w:t>
      </w:r>
    </w:p>
    <w:p>
      <w:pPr>
        <w:pStyle w:val="TextBody"/>
        <w:bidi w:val="0"/>
        <w:spacing w:lineRule="auto" w:line="288" w:before="0" w:after="0"/>
        <w:ind w:left="0" w:right="0" w:firstLine="360"/>
        <w:jc w:val="left"/>
        <w:rPr>
          <w:color w:val="000000"/>
        </w:rPr>
      </w:pPr>
      <w:r>
        <w:rPr>
          <w:color w:val="000000"/>
        </w:rPr>
        <w:t> </w:t>
      </w:r>
    </w:p>
    <w:tbl>
      <w:tblPr>
        <w:tblW w:w="7615" w:type="dxa"/>
        <w:jc w:val="left"/>
        <w:tblInd w:w="0" w:type="dxa"/>
        <w:tblLayout w:type="fixed"/>
        <w:tblCellMar>
          <w:top w:w="28" w:type="dxa"/>
          <w:left w:w="28" w:type="dxa"/>
          <w:bottom w:w="28" w:type="dxa"/>
          <w:right w:w="28" w:type="dxa"/>
        </w:tblCellMar>
      </w:tblPr>
      <w:tblGrid>
        <w:gridCol w:w="1085"/>
        <w:gridCol w:w="954"/>
        <w:gridCol w:w="960"/>
        <w:gridCol w:w="109"/>
        <w:gridCol w:w="109"/>
        <w:gridCol w:w="109"/>
        <w:gridCol w:w="1248"/>
        <w:gridCol w:w="1248"/>
        <w:gridCol w:w="1793"/>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PAUL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Accounting Officer and Corporate Controller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Campbell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Melina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 DON CORNWELL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Don Cornwell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D’AMELIO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D’Amelio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JOELLEN LYONS DILLON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JoEllen Lyons Dillon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ELISHA FINNEY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Elisha Finney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LEO GROOTHUIS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Leo Groothuis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M. Kilts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8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RICHARD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PARRISH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Chair and 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Parrish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SEVERINO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Severino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DAVID SIMMONS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David Simmons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ROGÉRIO VIVALDI COELHO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Rogério Vivaldi Coelho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348" w:before="0" w:after="160"/>
        <w:jc w:val="right"/>
        <w:rPr>
          <w:color w:val="000000"/>
        </w:rPr>
      </w:pPr>
      <w:r>
        <w:rPr>
          <w:color w:val="000000"/>
        </w:rPr>
        <w:t>                                            </w:t>
      </w:r>
      <w:r>
        <w:rPr>
          <w:rFonts w:ascii="Times New Roman;serif" w:hAnsi="Times New Roman;serif"/>
          <w:b/>
          <w:color w:val="000000"/>
          <w:sz w:val="22"/>
        </w:rPr>
        <w:t>Exhibit 21</w:t>
      </w:r>
    </w:p>
    <w:p>
      <w:pPr>
        <w:pStyle w:val="TextBody"/>
        <w:bidi w:val="0"/>
        <w:spacing w:lineRule="auto" w:line="348" w:before="0" w:after="160"/>
        <w:jc w:val="left"/>
        <w:rPr>
          <w:rFonts w:ascii="Times New Roman;serif" w:hAnsi="Times New Roman;serif"/>
          <w:b/>
          <w:color w:val="000000"/>
          <w:sz w:val="22"/>
        </w:rPr>
      </w:pPr>
      <w:r>
        <w:rPr>
          <w:rFonts w:ascii="Times New Roman;serif" w:hAnsi="Times New Roman;serif"/>
          <w:b/>
          <w:color w:val="000000"/>
          <w:sz w:val="22"/>
        </w:rPr>
        <w:t>Subsidiaries as of December 31, 2025</w:t>
      </w:r>
    </w:p>
    <w:tbl>
      <w:tblPr>
        <w:tblW w:w="10205" w:type="dxa"/>
        <w:jc w:val="left"/>
        <w:tblInd w:w="0" w:type="dxa"/>
        <w:tblLayout w:type="fixed"/>
        <w:tblCellMar>
          <w:top w:w="28" w:type="dxa"/>
          <w:left w:w="28" w:type="dxa"/>
          <w:bottom w:w="28" w:type="dxa"/>
          <w:right w:w="28" w:type="dxa"/>
        </w:tblCellMar>
      </w:tblPr>
      <w:tblGrid>
        <w:gridCol w:w="2438"/>
        <w:gridCol w:w="2127"/>
        <w:gridCol w:w="2163"/>
        <w:gridCol w:w="1017"/>
        <w:gridCol w:w="1017"/>
        <w:gridCol w:w="1443"/>
      </w:tblGrid>
      <w:tr>
        <w:trPr/>
        <w:tc>
          <w:tcPr>
            <w:tcW w:w="243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color w:val="000000"/>
                <w:sz w:val="24"/>
                <w:u w:val="single"/>
              </w:rPr>
            </w:pPr>
            <w:r>
              <w:rPr>
                <w:rFonts w:ascii="Times New Roman;serif" w:hAnsi="Times New Roman;serif"/>
                <w:b/>
                <w:color w:val="000000"/>
                <w:sz w:val="24"/>
                <w:u w:val="single"/>
              </w:rPr>
              <w:t>Name</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color w:val="000000"/>
                <w:sz w:val="24"/>
                <w:u w:val="single"/>
              </w:rPr>
            </w:pPr>
            <w:r>
              <w:rPr>
                <w:rFonts w:ascii="Times New Roman;serif" w:hAnsi="Times New Roman;serif"/>
                <w:b/>
                <w:color w:val="000000"/>
                <w:sz w:val="24"/>
                <w:u w:val="single"/>
              </w:rPr>
              <w:t>State or Country of Organization</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Agila Australasia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Alphapharm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Australia Holding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Australia Pty Limited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Australia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Pty.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Australia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Arcana Arzneimittel GmbH</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Austria</w:t>
            </w:r>
          </w:p>
        </w:tc>
      </w:tr>
      <w:tr>
        <w:trPr/>
        <w:tc>
          <w:tcPr>
            <w:tcW w:w="6728"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Austria GmbH</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Austria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Upjohn BV </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BV</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GX BV </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Healthcare NV </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International Supply Point BV</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Belgium</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Belgium</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Bermuda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Bermuda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BH, društvo sa ograničenom odgovornošću za trgovinu i usluge</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Bosnia and Herzegovina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Farmaceutica do Brasil Ltda</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6728"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Viatris Brasil Importadora e Distribuidora De Medicamentos Ltda</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Brazil</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EOOD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Bulgaria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BGP Pharma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Canada ULC</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Canada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 Investment Co.</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 Zhi (Hainan) Health Investment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Cayman Islands</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 Zhi (Hainan) Medical Technology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 Zhi Health Management Co., Ltd.</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Hai Nan Ge Zhi Telemedicine Center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Idorsia (Beijing) Pharmaceuticals Ltd.</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 Science and Technology (Shanghai)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6728"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(Hainan) Investment Co., Ltd.</w:t>
            </w:r>
          </w:p>
        </w:tc>
        <w:tc>
          <w:tcPr>
            <w:tcW w:w="3477"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58" w:type="dxa"/>
        <w:jc w:val="left"/>
        <w:tblInd w:w="0" w:type="dxa"/>
        <w:tblLayout w:type="fixed"/>
        <w:tblCellMar>
          <w:top w:w="28" w:type="dxa"/>
          <w:left w:w="28" w:type="dxa"/>
          <w:bottom w:w="28" w:type="dxa"/>
          <w:right w:w="28" w:type="dxa"/>
        </w:tblCellMar>
      </w:tblPr>
      <w:tblGrid>
        <w:gridCol w:w="1481"/>
        <w:gridCol w:w="1304"/>
        <w:gridCol w:w="1309"/>
        <w:gridCol w:w="486"/>
        <w:gridCol w:w="486"/>
        <w:gridCol w:w="692"/>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 Co., Ltd.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(Dalian) Co., Ltd.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China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Hrvatska d.o.o.</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Croatia</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Onco Laboratories Limited</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Cyprus</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CZ s.r.o.</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Czech Republic</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Acton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Alaven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ALVP Holdings,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Delcor Asset Corporation</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Denco Asset,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Deogun Manufacturing,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Dey Limited Partner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Dey,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EMD,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Ezio Pharma,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Franklin Pharmaceutical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Greenstone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Madaus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Marquis Industrial Company,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Pharmaceuticals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API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Consumer Healthcare,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D.T. (U.S.) Holdings,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D.T. DPT Partner Sub,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D.T.,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Inc.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I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II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Institutional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Investment Holdings 4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Investment Holdings 5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Investment Holdings 6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Securitization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409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LLC</w:t>
            </w:r>
          </w:p>
        </w:tc>
        <w:tc>
          <w:tcPr>
            <w:tcW w:w="16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24" w:type="dxa"/>
        <w:jc w:val="left"/>
        <w:tblInd w:w="0" w:type="dxa"/>
        <w:tblLayout w:type="fixed"/>
        <w:tblCellMar>
          <w:top w:w="28" w:type="dxa"/>
          <w:left w:w="28" w:type="dxa"/>
          <w:bottom w:w="28" w:type="dxa"/>
          <w:right w:w="28" w:type="dxa"/>
        </w:tblCellMar>
      </w:tblPr>
      <w:tblGrid>
        <w:gridCol w:w="1374"/>
        <w:gridCol w:w="1209"/>
        <w:gridCol w:w="1212"/>
        <w:gridCol w:w="535"/>
        <w:gridCol w:w="535"/>
        <w:gridCol w:w="759"/>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II,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III,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IV,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V,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Special Investments VI,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Nimes Inc.</w:t>
            </w:r>
          </w:p>
          <w:p>
            <w:pPr>
              <w:pStyle w:val="TableContents"/>
              <w:bidi w:val="0"/>
              <w:spacing w:before="43" w:after="20"/>
              <w:jc w:val="left"/>
              <w:rPr/>
            </w:pPr>
            <w:r>
              <w:rPr/>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before="43" w:after="2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Oyster Point Pharma, Inc. </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Powder Street,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Prestium Pharma,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Somerset Pharmaceuticals,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US 2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US Employment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US Holdings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Worldwide Holdings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Utah Acquisition Holdco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Utah Acquisition Sub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Viatris Holdco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Enterprises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Holdings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Overseas Inc. </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Delaware </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Specialty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US Holdings 4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US Holdings 5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US Supply Hub LLC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p>
            <w:pPr>
              <w:pStyle w:val="TableContents"/>
              <w:bidi w:val="0"/>
              <w:spacing w:before="43" w:after="20"/>
              <w:jc w:val="left"/>
              <w:rPr/>
            </w:pPr>
            <w:r>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Wallace Pharmaceuticals Inc.</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Delaware</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ApS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Denmark</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ApS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Denmark</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Egypt Pharmaceutical S.A.E.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Egypt S.A.E.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 Care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Egypt</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Agila Specialties Investments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Generics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Acquisition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79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Acquisition 2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402"/>
        <w:gridCol w:w="1230"/>
        <w:gridCol w:w="1238"/>
        <w:gridCol w:w="534"/>
        <w:gridCol w:w="534"/>
        <w:gridCol w:w="761"/>
      </w:tblGrid>
      <w:tr>
        <w:trPr/>
        <w:tc>
          <w:tcPr>
            <w:tcW w:w="14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Ltd.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UK 2 Ltd.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UK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Products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UK Healthcare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England &amp; Wales</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Viatris OÜ </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Estonia</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Oy</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Finland</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Generics France Holding S.A.S.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Laboratories S.A.S.</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Medical</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Sante</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Up</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France</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Erste Madaus Beteiligungs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Madaus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Germany Holding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Manufacturing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GmbH &amp; Co. KG</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MWB Pharma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dura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Germany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Pharmazeutische Union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PharmLog Pharma Logistik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ROTTAPHARM | MADAUS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Zweite Madaus Beteiligungs GmbH</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Germany</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4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5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6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7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r>
        <w:trPr/>
        <w:tc>
          <w:tcPr>
            <w:tcW w:w="3870"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8 Limited</w:t>
            </w:r>
          </w:p>
        </w:tc>
        <w:tc>
          <w:tcPr>
            <w:tcW w:w="182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778" w:type="dxa"/>
        <w:jc w:val="left"/>
        <w:tblInd w:w="0" w:type="dxa"/>
        <w:tblLayout w:type="fixed"/>
        <w:tblCellMar>
          <w:top w:w="28" w:type="dxa"/>
          <w:left w:w="28" w:type="dxa"/>
          <w:bottom w:w="28" w:type="dxa"/>
          <w:right w:w="28" w:type="dxa"/>
        </w:tblCellMar>
      </w:tblPr>
      <w:tblGrid>
        <w:gridCol w:w="1987"/>
        <w:gridCol w:w="1748"/>
        <w:gridCol w:w="1754"/>
        <w:gridCol w:w="377"/>
        <w:gridCol w:w="377"/>
        <w:gridCol w:w="535"/>
      </w:tblGrid>
      <w:tr>
        <w:trPr/>
        <w:tc>
          <w:tcPr>
            <w:tcW w:w="1987"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(Gibraltar) 9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Gibraltar</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Hellas Limited Liability Company</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Greece</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Hong Kong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Hong Kong</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Hungary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Hungary</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Hungary</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Services Kft.</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Hungary</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Institutional Inc.</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Illinois</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Famy Life Sciences Private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Private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India</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McDermott Laboratories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Health Sales Ireland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Investments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IRE Healthcare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Ireland Investment Designated Activity Company</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Ireland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Acquisition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Group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Holdings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Teoranta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Rottapharm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Manufacturing Ireland Unlimited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Limited</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Ireland</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S.p.A.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Italy</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Italia S.r.l.</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Italy</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 S.r.l.</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Italy</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Aculys Pharma, Inc.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Mylan Seiyaku Ltd. </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G.K</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Pharmaceuticals Japan G.K. </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Japan</w:t>
            </w:r>
          </w:p>
        </w:tc>
      </w:tr>
      <w:tr>
        <w:trPr/>
        <w:tc>
          <w:tcPr>
            <w:tcW w:w="54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SIA</w:t>
            </w:r>
          </w:p>
        </w:tc>
        <w:tc>
          <w:tcPr>
            <w:tcW w:w="128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Latvia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35" w:type="dxa"/>
        <w:jc w:val="left"/>
        <w:tblInd w:w="0" w:type="dxa"/>
        <w:tblLayout w:type="fixed"/>
        <w:tblCellMar>
          <w:top w:w="28" w:type="dxa"/>
          <w:left w:w="28" w:type="dxa"/>
          <w:bottom w:w="28" w:type="dxa"/>
          <w:right w:w="28" w:type="dxa"/>
        </w:tblCellMar>
      </w:tblPr>
      <w:tblGrid>
        <w:gridCol w:w="1614"/>
        <w:gridCol w:w="1418"/>
        <w:gridCol w:w="1422"/>
        <w:gridCol w:w="403"/>
        <w:gridCol w:w="403"/>
        <w:gridCol w:w="575"/>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UAB</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Lithuania</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BGP Products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Integral S.A.</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1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2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3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6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7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Mylan Luxembourg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SIM S.A.</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tLeast" w:line="269" w:before="43" w:after="20"/>
              <w:jc w:val="left"/>
              <w:rPr>
                <w:rFonts w:ascii="Times New Roman;serif" w:hAnsi="Times New Roman;serif"/>
                <w:b w:val="false"/>
                <w:color w:val="000000"/>
                <w:sz w:val="24"/>
              </w:rPr>
            </w:pPr>
            <w:r>
              <w:rPr>
                <w:rFonts w:ascii="Times New Roman;serif" w:hAnsi="Times New Roman;serif"/>
                <w:b w:val="false"/>
                <w:color w:val="000000"/>
                <w:sz w:val="24"/>
              </w:rPr>
              <w:t>VI Lux Newco S.à r.l.</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Luxembourg</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Healthcare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Pfizer Parke Davis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Sdn. Bhd.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Malaysia</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MP Laboratories (Mauritius) Ltd.</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Mauritius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Phama,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Servicios,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Mexico S. de R.L. de C.V.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Mexico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S.A.S.</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Morocco</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Group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II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Belgium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EESV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Europe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Export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Finance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Global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Group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International Holdings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Vietnam Dutch B.V.</w:t>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445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Enterprise Holding B.V. </w:t>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tc>
        <w:tc>
          <w:tcPr>
            <w:tcW w:w="1381"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p>
            <w:pPr>
              <w:pStyle w:val="TableContents"/>
              <w:bidi w:val="0"/>
              <w:spacing w:before="43" w:after="2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10" w:type="dxa"/>
        <w:jc w:val="left"/>
        <w:tblInd w:w="0" w:type="dxa"/>
        <w:tblLayout w:type="fixed"/>
        <w:tblCellMar>
          <w:top w:w="28" w:type="dxa"/>
          <w:left w:w="28" w:type="dxa"/>
          <w:bottom w:w="28" w:type="dxa"/>
          <w:right w:w="28" w:type="dxa"/>
        </w:tblCellMar>
      </w:tblPr>
      <w:tblGrid>
        <w:gridCol w:w="2950"/>
        <w:gridCol w:w="2591"/>
        <w:gridCol w:w="2604"/>
        <w:gridCol w:w="575"/>
        <w:gridCol w:w="575"/>
        <w:gridCol w:w="815"/>
      </w:tblGrid>
      <w:tr>
        <w:trPr/>
        <w:tc>
          <w:tcPr>
            <w:tcW w:w="2950"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Viatris Healthcare B.V.</w:t>
            </w:r>
          </w:p>
        </w:tc>
        <w:tc>
          <w:tcPr>
            <w:tcW w:w="196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Ireland Holding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Manufacturing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Mexico Holding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Netherlands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Philippines Holding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Turkey Holding B.V.</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Netherlands</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FamyGen Life Sciences,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Nevada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Agila Specialties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New Jersey</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Limited</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New Zealand</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Pty Ltd</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Nigeria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Health Management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North Carolina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Norway</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ZpearPoint AS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Norway</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MLRE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Sub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Synerx Pharma,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Pennsylvania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Inc.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Philippines</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Inc.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Philippines</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pPr>
            <w:r>
              <w:rPr>
                <w:rFonts w:ascii="Times New Roman;serif" w:hAnsi="Times New Roman;serif"/>
                <w:b w:val="false"/>
                <w:color w:val="000000"/>
                <w:sz w:val="24"/>
              </w:rPr>
              <w:t xml:space="preserve">Viatris Healthcare </w:t>
            </w:r>
            <w:r>
              <w:rPr>
                <w:rFonts w:ascii="Times New Roman;serif" w:hAnsi="Times New Roman;serif"/>
                <w:b w:val="false"/>
                <w:color w:val="555555"/>
                <w:sz w:val="24"/>
                <w:shd w:fill="FFFFFF" w:val="clear"/>
              </w:rPr>
              <w:t xml:space="preserve">spółka z o.o.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Poland</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Trade sp. z o.o.</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Poland</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BGP Products, Unipessoal,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Portugal</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Laboratorios Anova - Produtos Farmaceuticos,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Portugal</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Laboratorios Delta, S.A.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Portugal</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Lda</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Portugal</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Healthcare, Lda. </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Portugal</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BGP Products S.r.l.</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Romania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Russian Federation</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LLC</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Russian Federation</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Arabia Limited “LLC”</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4"/>
              </w:rPr>
            </w:pPr>
            <w:r>
              <w:rPr>
                <w:rFonts w:ascii="Times New Roman;serif" w:hAnsi="Times New Roman;serif"/>
                <w:b w:val="false"/>
                <w:color w:val="000000"/>
                <w:sz w:val="24"/>
              </w:rPr>
              <w:t>Saudi Arabia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Arabia Regional Headquarters</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Saudi Arabia</w:t>
            </w:r>
          </w:p>
        </w:tc>
      </w:tr>
      <w:tr>
        <w:trPr/>
        <w:tc>
          <w:tcPr>
            <w:tcW w:w="814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Drustvo SA Ogranicenom Odgovornoscu Beograd-Novi Beograd</w:t>
            </w:r>
          </w:p>
        </w:tc>
        <w:tc>
          <w:tcPr>
            <w:tcW w:w="196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Serbia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699" w:type="dxa"/>
        <w:jc w:val="left"/>
        <w:tblInd w:w="0" w:type="dxa"/>
        <w:tblLayout w:type="fixed"/>
        <w:tblCellMar>
          <w:top w:w="28" w:type="dxa"/>
          <w:left w:w="28" w:type="dxa"/>
          <w:bottom w:w="28" w:type="dxa"/>
          <w:right w:w="28" w:type="dxa"/>
        </w:tblCellMar>
      </w:tblPr>
      <w:tblGrid>
        <w:gridCol w:w="1570"/>
        <w:gridCol w:w="1381"/>
        <w:gridCol w:w="1384"/>
        <w:gridCol w:w="399"/>
        <w:gridCol w:w="399"/>
        <w:gridCol w:w="566"/>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Asia Pacific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Private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Singapore Pte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Singapore</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Slovakia s.r.o.</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Slovakia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farmacevtsko podjetje, d.o.o.</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Slovenia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South Africa (Pty)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(Pty)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SCP Pharmaceuticals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Upjohn South Africa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Healthcare (Pty) Ltd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South Africa (Proprietary) Limited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Africa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Korea</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South Korea</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Fundacion Viatris para la Salud</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Spain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S.L.</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Spain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S.L.</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Spain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Abbex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BGP Products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Ipex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Ipex Medical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OTC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Sweden Holdings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Recip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Scandinavian Pharmaceuticals-Generics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AB</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Sweden</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BGP Products Operations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Pharmaceuticals Switzerland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Holdings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 GmbH</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Innovation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r>
        <w:trPr/>
        <w:tc>
          <w:tcPr>
            <w:tcW w:w="433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 GmbH</w:t>
            </w:r>
          </w:p>
        </w:tc>
        <w:tc>
          <w:tcPr>
            <w:tcW w:w="1364"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Switzerland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04" w:type="dxa"/>
        <w:jc w:val="left"/>
        <w:tblInd w:w="0" w:type="dxa"/>
        <w:tblLayout w:type="fixed"/>
        <w:tblCellMar>
          <w:top w:w="28" w:type="dxa"/>
          <w:left w:w="28" w:type="dxa"/>
          <w:bottom w:w="28" w:type="dxa"/>
          <w:right w:w="28" w:type="dxa"/>
        </w:tblCellMar>
      </w:tblPr>
      <w:tblGrid>
        <w:gridCol w:w="1516"/>
        <w:gridCol w:w="1330"/>
        <w:gridCol w:w="1339"/>
        <w:gridCol w:w="649"/>
        <w:gridCol w:w="649"/>
        <w:gridCol w:w="921"/>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(Taiwan) Limited</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Taiwan</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 Company Limited</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Taiwan</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DPT Laboratories, Ltd.</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Bertek Pharmaceuticals Inc.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Texas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Healthcare (Thailand) Limited </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Pharmaceuticals (Thailand) Limited</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(Thailand) Limited</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Thailand</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 xml:space="preserve">Viatris Ilaclari Limited Sirketi </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Turkey</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Meda Pharmaceuticals MEA FZ-LLC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FZ-LLC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Middle East FZ-LLC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United Arab Emirates</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American Triumvirate Insurance Company</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Vermont</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International Holdings, Inc.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Vermont</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Viatris Vietnam Limited Company</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Vietnam</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MP AIR, Inc.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Pharmaceuticals Inc.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Technologies, Inc.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West Virginia</w:t>
            </w:r>
          </w:p>
        </w:tc>
      </w:tr>
      <w:tr>
        <w:trPr/>
        <w:tc>
          <w:tcPr>
            <w:tcW w:w="4185"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Mylan ASI LLC</w:t>
            </w:r>
          </w:p>
        </w:tc>
        <w:tc>
          <w:tcPr>
            <w:tcW w:w="2219" w:type="dxa"/>
            <w:gridSpan w:val="3"/>
            <w:tcBorders/>
            <w:tcMar>
              <w:top w:w="0" w:type="dxa"/>
              <w:left w:w="0" w:type="dxa"/>
              <w:bottom w:w="0" w:type="dxa"/>
              <w:right w:w="0" w:type="dxa"/>
            </w:tcMar>
            <w:vAlign w:val="center"/>
          </w:tcPr>
          <w:p>
            <w:pPr>
              <w:pStyle w:val="TableContents"/>
              <w:bidi w:val="0"/>
              <w:spacing w:lineRule="auto" w:line="312" w:before="43" w:after="20"/>
              <w:jc w:val="left"/>
              <w:rPr>
                <w:rFonts w:ascii="Times New Roman;serif" w:hAnsi="Times New Roman;serif"/>
                <w:b w:val="false"/>
                <w:color w:val="000000"/>
                <w:sz w:val="24"/>
              </w:rPr>
            </w:pPr>
            <w:r>
              <w:rPr>
                <w:rFonts w:ascii="Times New Roman;serif" w:hAnsi="Times New Roman;serif"/>
                <w:b w:val="false"/>
                <w:color w:val="000000"/>
                <w:sz w:val="24"/>
              </w:rPr>
              <w:t>Wyoming</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List of Subsidiary Guarantors and Issuers of Guaranteed Securities</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December 31, 2025, Viatris Inc., a Delaware corporation (“Viatris”), Mylan Inc., a Pennsylvania corporation (“Mylan Inc.”), and Mylan II B.V., a company incorporated under the laws of the Netherlands (“Mylan II”), were the guarantors of the 3.950% Senior Notes due 2026 and 5.250% Senior Notes due 2046 issued by Utah Acquisition Sub Inc., a Delaware corporation (“Utah”).</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December 31, 2025, Viatris, Utah and Mylan II were the guarantors of the 4.550% Senior Notes due 2028, 5.400% Senior Notes due 2043 and 5.200% Senior Notes due 2048 issued by Mylan Inc.</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December 31, 2025, Utah, Mylan Inc. and Mylan II were the guarantors of the 2.300% Senior Notes due 2027, 2.700% Senior Notes due 2030, 3.850% Senior Notes due 2040 and 4.000% Senior Notes due 2050 issued by Viatris.</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75" w:after="283"/>
        <w:jc w:val="right"/>
        <w:rPr>
          <w:rFonts w:ascii="Times New Roman;serif" w:hAnsi="Times New Roman;serif"/>
          <w:b/>
          <w:color w:val="000000"/>
          <w:sz w:val="22"/>
        </w:rPr>
      </w:pPr>
      <w:r>
        <w:rPr>
          <w:rFonts w:ascii="Times New Roman;serif" w:hAnsi="Times New Roman;serif"/>
          <w:b/>
          <w:color w:val="000000"/>
          <w:sz w:val="22"/>
        </w:rPr>
        <w:t>Exhibit 23</w:t>
      </w:r>
    </w:p>
    <w:p>
      <w:pPr>
        <w:pStyle w:val="TextBody"/>
        <w:bidi w:val="0"/>
        <w:spacing w:before="75" w:after="283"/>
        <w:jc w:val="left"/>
        <w:rPr/>
      </w:pPr>
      <w:r>
        <w:rPr/>
      </w:r>
    </w:p>
    <w:p>
      <w:pPr>
        <w:pStyle w:val="TextBody"/>
        <w:bidi w:val="0"/>
        <w:spacing w:lineRule="auto" w:line="288" w:before="75" w:after="283"/>
        <w:jc w:val="left"/>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160"/>
        <w:jc w:val="left"/>
        <w:rPr/>
      </w:pPr>
      <w:r>
        <w:rPr/>
      </w:r>
    </w:p>
    <w:p>
      <w:pPr>
        <w:pStyle w:val="TextBody"/>
        <w:bidi w:val="0"/>
        <w:spacing w:lineRule="auto" w:line="256"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Registration Statement Nos. 333-250845 and 333-270274 on Form S-8, Registration Statement No. 333-287087 on Form S-3ASR and Registration Statement No. 333-264762 on Form S-3 of our reports dated February 26, 2026, relating to the consolidated financial statements of Viatris Inc. (the “Company”) and the effectiveness of the Company's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Pittsburgh, Pennsylvania</w:t>
      </w:r>
    </w:p>
    <w:p>
      <w:pPr>
        <w:pStyle w:val="TextBody"/>
        <w:bidi w:val="0"/>
        <w:spacing w:lineRule="auto" w:line="417" w:before="0" w:after="160"/>
        <w:jc w:val="left"/>
        <w:rPr>
          <w:rFonts w:ascii="Times New Roman;serif" w:hAnsi="Times New Roman;serif"/>
          <w:b w:val="false"/>
          <w:color w:val="000000"/>
          <w:sz w:val="22"/>
        </w:rPr>
      </w:pPr>
      <w:r>
        <w:rPr>
          <w:rFonts w:ascii="Times New Roman;serif" w:hAnsi="Times New Roman;serif"/>
          <w:b w:val="false"/>
          <w:color w:val="000000"/>
          <w:sz w:val="22"/>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Smith, certify that: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847" w:type="dxa"/>
        <w:jc w:val="left"/>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TextBody"/>
        <w:bidi w:val="0"/>
        <w:spacing w:before="28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Theodora Mistras, certify that: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Form 10-K of Viatris Inc.;</w:t>
      </w:r>
    </w:p>
    <w:p>
      <w:pPr>
        <w:pStyle w:val="TextBody"/>
        <w:bidi w:val="0"/>
        <w:spacing w:lineRule="auto" w:line="288" w:before="100" w:after="283"/>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firstLine="72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CERTIFICATIONS OF PRINCIPAL EXECUTIVE OFFICER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Form 10-K of Viatris Inc. (the “Company”) for the year ended December 31, 2025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tbl>
      <w:tblPr>
        <w:tblW w:w="2847" w:type="dxa"/>
        <w:jc w:val="left"/>
        <w:tblInd w:w="0" w:type="dxa"/>
        <w:tblLayout w:type="fixed"/>
        <w:tblCellMar>
          <w:top w:w="28" w:type="dxa"/>
          <w:left w:w="28" w:type="dxa"/>
          <w:bottom w:w="28" w:type="dxa"/>
          <w:right w:w="28" w:type="dxa"/>
        </w:tblCellMar>
      </w:tblPr>
      <w:tblGrid>
        <w:gridCol w:w="124"/>
        <w:gridCol w:w="109"/>
        <w:gridCol w:w="109"/>
        <w:gridCol w:w="734"/>
        <w:gridCol w:w="734"/>
        <w:gridCol w:w="10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Scott A. Smith</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Theodora Mistras</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in accordance with Securities and Exchange Commission Release No. 34-47551 and shall not be considered filed as part of the Form 10-K.</w:t>
      </w:r>
    </w:p>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792044/000119312520157465/d904458dex21.htm" TargetMode="External"/><Relationship Id="rId8" Type="http://schemas.openxmlformats.org/officeDocument/2006/relationships/hyperlink" Target="https://www.sec.gov/Archives/edgar/data/0001623613/000119312519205031/d775236dex22.htm" TargetMode="External"/><Relationship Id="rId9" Type="http://schemas.openxmlformats.org/officeDocument/2006/relationships/hyperlink" Target="https://www.sec.gov/Archives/edgar/data/0001623613/000162361320000018/mylex2120200331-10q.htm" TargetMode="External"/><Relationship Id="rId10" Type="http://schemas.openxmlformats.org/officeDocument/2006/relationships/hyperlink" Target="https://www.sec.gov/Archives/edgar/data/0001623613/000119312520157416/d830428dex22.htm" TargetMode="External"/><Relationship Id="rId11" Type="http://schemas.openxmlformats.org/officeDocument/2006/relationships/hyperlink" Target="https://www.sec.gov/Archives/edgar/data/0001792044/000119312520298226/d56774dex26.htm" TargetMode="External"/><Relationship Id="rId12" Type="http://schemas.openxmlformats.org/officeDocument/2006/relationships/hyperlink" Target="https://www.sec.gov/Archives/edgar/data/1792044/000119312520298226/d56774dex27.htm" TargetMode="External"/><Relationship Id="rId13" Type="http://schemas.openxmlformats.org/officeDocument/2006/relationships/hyperlink" Target="https://www.sec.gov/Archives/edgar/data/1792044/000119312522058054/d265304dex21.htm" TargetMode="External"/><Relationship Id="rId14" Type="http://schemas.openxmlformats.org/officeDocument/2006/relationships/hyperlink" Target="https://www.sec.gov/Archives/edgar/data/1792044/000095015722001253/ex2-1.htm" TargetMode="External"/><Relationship Id="rId15" Type="http://schemas.openxmlformats.org/officeDocument/2006/relationships/hyperlink" Target="https://www.sec.gov/Archives/edgar/data/1792044/000179204423000024/ex_21xvtrsx20230630.htm" TargetMode="External"/><Relationship Id="rId16" Type="http://schemas.openxmlformats.org/officeDocument/2006/relationships/hyperlink" Target="https://www.sec.gov/Archives/edgar/data/1792044/000179204424000008/ex_23dxvtrsx10-kx12312023.htm" TargetMode="External"/><Relationship Id="rId17" Type="http://schemas.openxmlformats.org/officeDocument/2006/relationships/hyperlink" Target="https://www.sec.gov/Archives/edgar/data/1792044/000179204425000008/ex_23exvtrsx20241231.htm" TargetMode="External"/><Relationship Id="rId18" Type="http://schemas.openxmlformats.org/officeDocument/2006/relationships/hyperlink" Target="https://www.sec.gov/Archives/edgar/data/1792044/000179204423000033/ex_21xvtrsx20230930.htm" TargetMode="External"/><Relationship Id="rId19" Type="http://schemas.openxmlformats.org/officeDocument/2006/relationships/hyperlink" Target="https://www.sec.gov/Archives/edgar/data/1792044/000119312524019472/d619190dex21.htm" TargetMode="External"/><Relationship Id="rId20" Type="http://schemas.openxmlformats.org/officeDocument/2006/relationships/hyperlink" Target="https://www.sec.gov/Archives/edgar/data/1792044/000119312520298226/d56774dex31.htm" TargetMode="External"/><Relationship Id="rId21" Type="http://schemas.openxmlformats.org/officeDocument/2006/relationships/hyperlink" Target="https://www.sec.gov/Archives/edgar/data/1792044/000119312520298226/d56774dex33.htm" TargetMode="External"/><Relationship Id="rId22" Type="http://schemas.openxmlformats.org/officeDocument/2006/relationships/hyperlink" Target="https://www.sec.gov/Archives/edgar/data/1792044/000179204424000008/ex_31cxvtrsx20231231x10-k.htm" TargetMode="External"/><Relationship Id="rId23" Type="http://schemas.openxmlformats.org/officeDocument/2006/relationships/hyperlink" Target="https://www.sec.gov/Archives/edgar/data/1792044/000179204424000008/ex_31dxvtrsx20231231x10-k.htm" TargetMode="External"/><Relationship Id="rId24" Type="http://schemas.openxmlformats.org/officeDocument/2006/relationships/hyperlink" Target="https://www.sec.gov/Archives/edgar/data/1792044/000114036125039269/ef20057617_ex3-1.htm" TargetMode="External"/><Relationship Id="rId25" Type="http://schemas.openxmlformats.org/officeDocument/2006/relationships/hyperlink" Target="https://www.sec.gov/Archives/edgar/data/69499/000110465913087739/a13-20314_5ex4d1.htm" TargetMode="External"/><Relationship Id="rId26" Type="http://schemas.openxmlformats.org/officeDocument/2006/relationships/hyperlink" Target="https://www.sec.gov/Archives/edgar/data/69499/000110465913087739/a13-20314_5ex4d2.htm" TargetMode="External"/><Relationship Id="rId27" Type="http://schemas.openxmlformats.org/officeDocument/2006/relationships/hyperlink" Target="https://www.sec.gov/Archives/edgar/data/1623613/000119312515068819/d882101dex46.htm" TargetMode="External"/><Relationship Id="rId28" Type="http://schemas.openxmlformats.org/officeDocument/2006/relationships/hyperlink" Target="https://www.sec.gov/Archives/edgar/data/1623613/000162361315000009/myl_ex45bx20150331-10q.htm" TargetMode="External"/><Relationship Id="rId29" Type="http://schemas.openxmlformats.org/officeDocument/2006/relationships/hyperlink" Target="https://www.sec.gov/Archives/edgar/data/1792044/000119312520298236/d57281dex47.htm" TargetMode="External"/><Relationship Id="rId30" Type="http://schemas.openxmlformats.org/officeDocument/2006/relationships/hyperlink" Target="https://www.sec.gov/Archives/edgar/data/1623613/000119312516622620/d207286dex41.htm" TargetMode="External"/><Relationship Id="rId31" Type="http://schemas.openxmlformats.org/officeDocument/2006/relationships/hyperlink" Target="https://www.sec.gov/Archives/edgar/data/1792044/000119312520298236/d57281dex44.htm" TargetMode="External"/><Relationship Id="rId32" Type="http://schemas.openxmlformats.org/officeDocument/2006/relationships/hyperlink" Target="https://www.sec.gov/Archives/edgar/data/1623613/000162361317000007/exhibit49.htm" TargetMode="External"/><Relationship Id="rId33" Type="http://schemas.openxmlformats.org/officeDocument/2006/relationships/hyperlink" Target="https://www.sec.gov/Archives/edgar/data/1792044/000119312520298236/d57281dex45.htm" TargetMode="External"/><Relationship Id="rId34" Type="http://schemas.openxmlformats.org/officeDocument/2006/relationships/hyperlink" Target="https://www.sec.gov/Archives/edgar/data/1623613/000119312518111603/d560332dex41.htm" TargetMode="External"/><Relationship Id="rId35" Type="http://schemas.openxmlformats.org/officeDocument/2006/relationships/hyperlink" Target="https://www.sec.gov/Archives/edgar/data/1792044/000119312520298236/d57281dex48.htm" TargetMode="External"/><Relationship Id="rId36" Type="http://schemas.openxmlformats.org/officeDocument/2006/relationships/hyperlink" Target="https://www.sec.gov/Archives/edgar/data/1623613/000119312518172116/d566535dex41.htm" TargetMode="External"/><Relationship Id="rId37" Type="http://schemas.openxmlformats.org/officeDocument/2006/relationships/hyperlink" Target="https://www.sec.gov/Archives/edgar/data/1792044/000119312520298236/d57281dex49.htm" TargetMode="External"/><Relationship Id="rId38" Type="http://schemas.openxmlformats.org/officeDocument/2006/relationships/hyperlink" Target="https://www.sec.gov/Archives/edgar/data/1792044/000119312520181088/d920857dex41.htm" TargetMode="External"/><Relationship Id="rId39" Type="http://schemas.openxmlformats.org/officeDocument/2006/relationships/hyperlink" Target="https://www.sec.gov/Archives/edgar/data/1792044/000119312520298236/d57281dex41.htm" TargetMode="External"/><Relationship Id="rId40" Type="http://schemas.openxmlformats.org/officeDocument/2006/relationships/hyperlink" Target="https://www.sec.gov/Archives/edgar/data/1792044/000119312520181088/d920857dex49.htm" TargetMode="External"/><Relationship Id="rId41" Type="http://schemas.openxmlformats.org/officeDocument/2006/relationships/hyperlink" Target="https://www.sec.gov/Archives/edgar/data/1792044/000119312520298236/d57281dex42.htm" TargetMode="External"/><Relationship Id="rId42" Type="http://schemas.openxmlformats.org/officeDocument/2006/relationships/hyperlink" Target="https://www.sec.gov/Archives/edgar/data/1792044/000179204424000008/ex_49xvtrsx20231231x10-k.htm" TargetMode="External"/><Relationship Id="rId43" Type="http://schemas.openxmlformats.org/officeDocument/2006/relationships/hyperlink" Target="https://www.sec.gov/Archives/edgar/data/1792044/000119312520167802/d781435dex101.htm" TargetMode="External"/><Relationship Id="rId44" Type="http://schemas.openxmlformats.org/officeDocument/2006/relationships/hyperlink" Target="https://www.sec.gov/Archives/edgar/data/1792044/000179204425000008/ex_101bxvtrsx20241231.htm" TargetMode="External"/><Relationship Id="rId45" Type="http://schemas.openxmlformats.org/officeDocument/2006/relationships/hyperlink" Target="https://www.sec.gov/Archives/edgar/data/1792044/000179204421000018/ex_101xvtrsx20210331x10-q.htm" TargetMode="External"/><Relationship Id="rId46" Type="http://schemas.openxmlformats.org/officeDocument/2006/relationships/hyperlink" Target="https://www.sec.gov/Archives/edgar/data/1792044/000179204421000018/ex_103xvtrsx20210331x10-q.htm" TargetMode="External"/><Relationship Id="rId47" Type="http://schemas.openxmlformats.org/officeDocument/2006/relationships/hyperlink" Target="https://www.sec.gov/Archives/edgar/data/1792044/000179204423000017/ex_103xvtrsx20230331.htm" TargetMode="External"/><Relationship Id="rId48" Type="http://schemas.openxmlformats.org/officeDocument/2006/relationships/hyperlink" Target="https://www.sec.gov/Archives/edgar/data/1792044/000119312523060080/d476202dex991.htm" TargetMode="External"/><Relationship Id="rId49" Type="http://schemas.openxmlformats.org/officeDocument/2006/relationships/hyperlink" Target="https://www.sec.gov/Archives/edgar/data/1792044/000119312523060080/d476202dex992.htm" TargetMode="External"/><Relationship Id="rId50" Type="http://schemas.openxmlformats.org/officeDocument/2006/relationships/hyperlink" Target="https://www.sec.gov/Archives/edgar/data/1792044/000119312523060080/d476202dex992.htm" TargetMode="External"/><Relationship Id="rId51" Type="http://schemas.openxmlformats.org/officeDocument/2006/relationships/hyperlink" Target="https://www.sec.gov/Archives/edgar/data/1792044/000119312523060080/d476202dex992.htm" TargetMode="External"/><Relationship Id="rId52" Type="http://schemas.openxmlformats.org/officeDocument/2006/relationships/hyperlink" Target="https://www.sec.gov/Archives/edgar/data/1792044/000119312523060080/d476202dex993.htm" TargetMode="External"/><Relationship Id="rId53" Type="http://schemas.openxmlformats.org/officeDocument/2006/relationships/hyperlink" Target="https://www.sec.gov/Archives/edgar/data/1792044/000119312523050797/d452663dex101.htm" TargetMode="External"/><Relationship Id="rId54" Type="http://schemas.openxmlformats.org/officeDocument/2006/relationships/hyperlink" Target="https://www.sec.gov/Archives/edgar/data/1792044/000179204424000008/ex_1013xvtrsx20231231x10-k.htm" TargetMode="External"/><Relationship Id="rId55" Type="http://schemas.openxmlformats.org/officeDocument/2006/relationships/hyperlink" Target="https://www.sec.gov/Archives/edgar/data/1792044/000179204425000018/ex_101xvtrsx20250331.htm" TargetMode="External"/><Relationship Id="rId56" Type="http://schemas.openxmlformats.org/officeDocument/2006/relationships/hyperlink" Target="https://www.sec.gov/Archives/edgar/data/1792044/000179204424000008/ex_1014xvtrsx20231231x10-k.htm" TargetMode="External"/><Relationship Id="rId57" Type="http://schemas.openxmlformats.org/officeDocument/2006/relationships/hyperlink" Target="https://www.sec.gov/Archives/edgar/data/1792044/000179204424000008/ex_1016xvtrsx20231231x10-k.htm" TargetMode="External"/><Relationship Id="rId58" Type="http://schemas.openxmlformats.org/officeDocument/2006/relationships/hyperlink" Target="https://www.sec.gov/Archives/edgar/data/1623613/000162361317000014/exhibit101_20170331.htm" TargetMode="External"/><Relationship Id="rId59" Type="http://schemas.openxmlformats.org/officeDocument/2006/relationships/hyperlink" Target="https://www.sec.gov/Archives/edgar/data/69499/000006949914000007/myl_ex104ix20131231-10k.htm" TargetMode="External"/><Relationship Id="rId60" Type="http://schemas.openxmlformats.org/officeDocument/2006/relationships/hyperlink" Target="https://www.sec.gov/Archives/edgar/data/1623613/000162361316000046/myl_ex101ix20151231-10k.htm" TargetMode="External"/><Relationship Id="rId61" Type="http://schemas.openxmlformats.org/officeDocument/2006/relationships/hyperlink" Target="https://www.sec.gov/Archives/edgar/data/1623613/000162361316000046/myl_ex101lx20151231-10k.htm" TargetMode="External"/><Relationship Id="rId62" Type="http://schemas.openxmlformats.org/officeDocument/2006/relationships/hyperlink" Target="https://www.sec.gov/Archives/edgar/data/1623613/000162361319000016/myl_ex107x20190331-10xq.htm" TargetMode="External"/><Relationship Id="rId63" Type="http://schemas.openxmlformats.org/officeDocument/2006/relationships/hyperlink" Target="https://www.sec.gov/Archives/edgar/data/1623613/000162361320000018/mylex10220200331-10q.htm" TargetMode="External"/><Relationship Id="rId64" Type="http://schemas.openxmlformats.org/officeDocument/2006/relationships/hyperlink" Target="https://www.sec.gov/Archives/edgar/data/1623613/000162361319000030/mylex10120190930-10xq.htm" TargetMode="External"/><Relationship Id="rId65" Type="http://schemas.openxmlformats.org/officeDocument/2006/relationships/hyperlink" Target="https://www.sec.gov/Archives/edgar/data/69499/000095012309070283/l38158exv10w1.htm" TargetMode="External"/><Relationship Id="rId66" Type="http://schemas.openxmlformats.org/officeDocument/2006/relationships/hyperlink" Target="https://www.sec.gov/Archives/edgar/data/69499/000006949915000003/myl_ex1041bx20141231-10k.htm" TargetMode="External"/><Relationship Id="rId67" Type="http://schemas.openxmlformats.org/officeDocument/2006/relationships/hyperlink" Target="https://www.sec.gov/Archives/edgar/data/69499/000095012309070283/l38158exv10w2.htm" TargetMode="External"/><Relationship Id="rId68" Type="http://schemas.openxmlformats.org/officeDocument/2006/relationships/hyperlink" Target="https://www.sec.gov/Archives/edgar/data/69499/000006949915000003/myl_ex1042bx20141231-10k.htm" TargetMode="External"/><Relationship Id="rId69" Type="http://schemas.openxmlformats.org/officeDocument/2006/relationships/hyperlink" Target="https://www.sec.gov/Archives/edgar/data/69499/000006949914000007/myl_ex1027bx20131232-10k.htm" TargetMode="External"/><Relationship Id="rId70" Type="http://schemas.openxmlformats.org/officeDocument/2006/relationships/hyperlink" Target="https://www.sec.gov/Archives/edgar/data/69499/000006949914000007/myl_ex1057x20131232-10k.htm" TargetMode="External"/><Relationship Id="rId71" Type="http://schemas.openxmlformats.org/officeDocument/2006/relationships/hyperlink" Target="https://www.sec.gov/Archives/edgar/data/1623613/000162361320000011/mylex102920191231-10k.htm" TargetMode="External"/><Relationship Id="rId72" Type="http://schemas.openxmlformats.org/officeDocument/2006/relationships/hyperlink" Target="https://www.sec.gov/Archives/edgar/data/1792044/000179204421000009/ex_1025-vtrsx20201231x10xk.htm" TargetMode="External"/><Relationship Id="rId73" Type="http://schemas.openxmlformats.org/officeDocument/2006/relationships/hyperlink" Target="https://www.sec.gov/Archives/edgar/data/69499/000006949914000007/myl_ex1038x20131231-10k.htm" TargetMode="External"/><Relationship Id="rId74" Type="http://schemas.openxmlformats.org/officeDocument/2006/relationships/hyperlink" Target="https://www.sec.gov/Archives/edgar/data/1623613/000119312515068819/d882101dex101.htm" TargetMode="External"/><Relationship Id="rId75" Type="http://schemas.openxmlformats.org/officeDocument/2006/relationships/hyperlink" Target="https://www.sec.gov/Archives/edgar/data/1792044/000095015724001314/ex10-1.htm" TargetMode="External"/><Relationship Id="rId76" Type="http://schemas.openxmlformats.org/officeDocument/2006/relationships/hyperlink" Target="https://www.sec.gov/Archives/edgar/data/1792044/000119312521206477/d50384dex102.htm" TargetMode="External"/><Relationship Id="rId77" Type="http://schemas.openxmlformats.org/officeDocument/2006/relationships/hyperlink" Target="https://www.sec.gov/Archives/edgar/data/1792044/000119312520298236/d57281dex101.htm" TargetMode="External"/><Relationship Id="rId78" Type="http://schemas.openxmlformats.org/officeDocument/2006/relationships/hyperlink" Target="https://www.sec.gov/Archives/edgar/data/1792044/000119312520298226/d56774dex101.htm" TargetMode="External"/><Relationship Id="rId79" Type="http://schemas.openxmlformats.org/officeDocument/2006/relationships/hyperlink" Target="https://www.sec.gov/Archives/edgar/data/1792044/000119312520298226/d56774dex102.htm" TargetMode="External"/><Relationship Id="rId80" Type="http://schemas.openxmlformats.org/officeDocument/2006/relationships/hyperlink" Target="https://www.sec.gov/Archives/edgar/data/1792044/000119312520298226/d56774dex103.htm" TargetMode="External"/><Relationship Id="rId81" Type="http://schemas.openxmlformats.org/officeDocument/2006/relationships/hyperlink" Target="https://www.sec.gov/Archives/edgar/data/1792044/000119312520298226/d56774dex104.htm" TargetMode="External"/><Relationship Id="rId82" Type="http://schemas.openxmlformats.org/officeDocument/2006/relationships/hyperlink" Target="https://www.sec.gov/Archives/edgar/data/1792044/000119312520298226/d56774dex105.htm" TargetMode="External"/><Relationship Id="rId83" Type="http://schemas.openxmlformats.org/officeDocument/2006/relationships/hyperlink" Target="https://www.sec.gov/Archives/edgar/data/1792044/000119312520298226/d56774dex106.htm" TargetMode="External"/><Relationship Id="rId84" Type="http://schemas.openxmlformats.org/officeDocument/2006/relationships/hyperlink" Target="https://www.sec.gov/Archives/edgar/data/1792044/000119312520298226/d56774dex107.htm" TargetMode="External"/><Relationship Id="rId85" Type="http://schemas.openxmlformats.org/officeDocument/2006/relationships/hyperlink" Target="https://www.sec.gov/Archives/edgar/data/1792044/000119312520298226/d56774dex108.htm" TargetMode="External"/><Relationship Id="rId86" Type="http://schemas.openxmlformats.org/officeDocument/2006/relationships/hyperlink" Target="https://www.sec.gov/Archives/edgar/data/1792044/000179204425000008/ex_19xvtrsx20241231.htm" TargetMode="External"/><Relationship Id="rId87" Type="http://schemas.openxmlformats.org/officeDocument/2006/relationships/hyperlink" Target="https://www.sec.gov/Archives/edgar/data/1792044/000179204424000008/ex_97xvtrsx20231231x10-k.htm" TargetMode="External"/><Relationship Id="rId88" Type="http://schemas.openxmlformats.org/officeDocument/2006/relationships/fontTable" Target="fontTable.xml"/><Relationship Id="rId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103267</Words>
  <Characters>588862</Characters>
  <CharactersWithSpaces>687683</CharactersWithSpaces>
  <Paragraphs>7467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