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5153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15366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PARRISH MARK W</w:t>
        </w:r>
      </w:hyperlink>
    </w:p>
    <w:p>
      <w:pPr>
        <w:spacing w:after="0" w:line="28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(Last)</w:t>
            </w:r>
          </w:p>
        </w:tc>
        <w:tc>
          <w:tcPr>
            <w:tcW w:w="1040" w:type="dxa"/>
            <w:vAlign w:val="bottom"/>
          </w:tcPr>
          <w:p>
            <w:pPr>
              <w:ind w:left="60"/>
              <w:spacing w:after="0"/>
              <w:rPr>
                <w:sz w:val="20"/>
                <w:szCs w:val="20"/>
                <w:color w:val="auto"/>
              </w:rPr>
            </w:pPr>
            <w:r>
              <w:rPr>
                <w:rFonts w:ascii="Arial" w:cs="Arial" w:eastAsia="Arial" w:hAnsi="Arial"/>
                <w:sz w:val="12"/>
                <w:szCs w:val="12"/>
                <w:color w:val="auto"/>
              </w:rPr>
              <w:t>(First)</w:t>
            </w:r>
          </w:p>
        </w:tc>
        <w:tc>
          <w:tcPr>
            <w:tcW w:w="1440" w:type="dxa"/>
            <w:vAlign w:val="bottom"/>
          </w:tcPr>
          <w:p>
            <w:pPr>
              <w:ind w:left="240"/>
              <w:spacing w:after="0"/>
              <w:rPr>
                <w:sz w:val="20"/>
                <w:szCs w:val="20"/>
                <w:color w:val="auto"/>
              </w:rPr>
            </w:pPr>
            <w:r>
              <w:rPr>
                <w:rFonts w:ascii="Arial" w:cs="Arial" w:eastAsia="Arial" w:hAnsi="Arial"/>
                <w:sz w:val="12"/>
                <w:szCs w:val="12"/>
                <w:color w:val="auto"/>
              </w:rPr>
              <w:t>(Middle)</w:t>
            </w:r>
          </w:p>
        </w:tc>
      </w:tr>
      <w:tr>
        <w:trPr>
          <w:trHeight w:val="255"/>
        </w:trPr>
        <w:tc>
          <w:tcPr>
            <w:tcW w:w="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1000 MYLAN BOULEVARD</w:t>
            </w:r>
          </w:p>
        </w:tc>
        <w:tc>
          <w:tcPr>
            <w:tcW w:w="144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CANONSBURG</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PA</w:t>
            </w:r>
          </w:p>
        </w:tc>
        <w:tc>
          <w:tcPr>
            <w:tcW w:w="14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15317</w:t>
            </w:r>
          </w:p>
        </w:tc>
      </w:tr>
      <w:tr>
        <w:trPr>
          <w:trHeight w:val="142"/>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(City)</w:t>
            </w:r>
          </w:p>
        </w:tc>
        <w:tc>
          <w:tcPr>
            <w:tcW w:w="1040" w:type="dxa"/>
            <w:vAlign w:val="bottom"/>
          </w:tcPr>
          <w:p>
            <w:pPr>
              <w:ind w:left="60"/>
              <w:spacing w:after="0"/>
              <w:rPr>
                <w:sz w:val="20"/>
                <w:szCs w:val="20"/>
                <w:color w:val="auto"/>
              </w:rPr>
            </w:pPr>
            <w:r>
              <w:rPr>
                <w:rFonts w:ascii="Arial" w:cs="Arial" w:eastAsia="Arial" w:hAnsi="Arial"/>
                <w:sz w:val="12"/>
                <w:szCs w:val="12"/>
                <w:color w:val="auto"/>
              </w:rPr>
              <w:t>(State)</w:t>
            </w:r>
          </w:p>
        </w:tc>
        <w:tc>
          <w:tcPr>
            <w:tcW w:w="1440" w:type="dxa"/>
            <w:vAlign w:val="bottom"/>
          </w:tcPr>
          <w:p>
            <w:pPr>
              <w:ind w:left="2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03"/>
        </w:trPr>
        <w:tc>
          <w:tcPr>
            <w:tcW w:w="60" w:type="dxa"/>
            <w:vAlign w:val="bottom"/>
          </w:tcPr>
          <w:p>
            <w:pPr>
              <w:spacing w:after="0"/>
              <w:rPr>
                <w:sz w:val="17"/>
                <w:szCs w:val="17"/>
                <w:color w:val="auto"/>
              </w:rPr>
            </w:pPr>
          </w:p>
        </w:tc>
        <w:tc>
          <w:tcPr>
            <w:tcW w:w="3780" w:type="dxa"/>
            <w:vAlign w:val="bottom"/>
            <w:gridSpan w:val="3"/>
          </w:tcPr>
          <w:p>
            <w:pPr>
              <w:spacing w:after="0" w:line="198"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Viatris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720" w:type="dxa"/>
            <w:vAlign w:val="bottom"/>
            <w:tcBorders>
              <w:top w:val="single" w:sz="8" w:color="0000EE"/>
              <w:bottom w:val="single" w:sz="8" w:color="2C2C2C"/>
            </w:tcBorders>
          </w:tcPr>
          <w:p>
            <w:pPr>
              <w:spacing w:after="0"/>
              <w:rPr>
                <w:sz w:val="11"/>
                <w:szCs w:val="11"/>
                <w:color w:val="auto"/>
              </w:rPr>
            </w:pPr>
          </w:p>
        </w:tc>
        <w:tc>
          <w:tcPr>
            <w:tcW w:w="29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80"/>
              <w:spacing w:after="0" w:line="104"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60" w:type="dxa"/>
            <w:vAlign w:val="bottom"/>
          </w:tcPr>
          <w:p>
            <w:pPr>
              <w:ind w:left="340"/>
              <w:spacing w:after="0" w:line="104" w:lineRule="exact"/>
              <w:rPr>
                <w:sz w:val="20"/>
                <w:szCs w:val="20"/>
                <w:color w:val="auto"/>
              </w:rPr>
            </w:pPr>
            <w:r>
              <w:rPr>
                <w:rFonts w:ascii="Arial" w:cs="Arial" w:eastAsia="Arial" w:hAnsi="Arial"/>
                <w:sz w:val="12"/>
                <w:szCs w:val="12"/>
                <w:color w:val="auto"/>
              </w:rPr>
              <w:t>10% Owner</w:t>
            </w:r>
          </w:p>
        </w:tc>
      </w:tr>
      <w:tr>
        <w:trPr>
          <w:trHeight w:val="186"/>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209"/>
        </w:trPr>
        <w:tc>
          <w:tcPr>
            <w:tcW w:w="9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03/03/2024</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92"/>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20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218"/>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r>
      <w:tr>
        <w:trPr>
          <w:trHeight w:val="202"/>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2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3" w:lineRule="exact"/>
        <w:rPr>
          <w:sz w:val="24"/>
          <w:szCs w:val="24"/>
          <w:color w:val="auto"/>
        </w:rPr>
      </w:pPr>
    </w:p>
    <w:p>
      <w:pPr>
        <w:ind w:left="320" w:right="380"/>
        <w:spacing w:after="0" w:line="27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3"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2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20"/>
              <w:spacing w:after="0" w:line="124"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4"/>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0000FF"/>
              </w:rPr>
              <w:t>03/03/2024</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17,970</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120,533</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0000FF"/>
              </w:rPr>
              <w:t>03/03/2024</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right="4"/>
              <w:spacing w:after="0" w:line="296" w:lineRule="exact"/>
              <w:rPr>
                <w:sz w:val="20"/>
                <w:szCs w:val="20"/>
                <w:color w:val="auto"/>
              </w:rPr>
            </w:pPr>
            <w:r>
              <w:rPr>
                <w:rFonts w:ascii="Times New Roman" w:cs="Times New Roman" w:eastAsia="Times New Roman" w:hAnsi="Times New Roman"/>
                <w:sz w:val="32"/>
                <w:szCs w:val="32"/>
                <w:color w:val="0000FF"/>
                <w:vertAlign w:val="subscript"/>
              </w:rPr>
              <w:t>885</w:t>
            </w:r>
            <w:r>
              <w:rPr>
                <w:rFonts w:ascii="Times New Roman" w:cs="Times New Roman" w:eastAsia="Times New Roman" w:hAnsi="Times New Roman"/>
                <w:sz w:val="10"/>
                <w:szCs w:val="10"/>
                <w:color w:val="008000"/>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121,418</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2"/>
          </w:tcPr>
          <w:p>
            <w:pPr>
              <w:ind w:left="1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60" w:type="dxa"/>
            <w:vAlign w:val="bottom"/>
            <w:gridSpan w:val="11"/>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8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4"/>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tcPr>
          <w:p>
            <w:pPr>
              <w:jc w:val="right"/>
              <w:ind w:right="14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17,970</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03/03/2024</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5"/>
                <w:szCs w:val="5"/>
                <w:color w:val="auto"/>
              </w:rPr>
            </w:pPr>
          </w:p>
        </w:tc>
        <w:tc>
          <w:tcPr>
            <w:tcW w:w="600" w:type="dxa"/>
            <w:vAlign w:val="bottom"/>
            <w:vMerge w:val="restart"/>
          </w:tcPr>
          <w:p>
            <w:pPr>
              <w:jc w:val="right"/>
              <w:ind w:right="80"/>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vMerge w:val="restart"/>
          </w:tcPr>
          <w:p>
            <w:pPr>
              <w:jc w:val="center"/>
              <w:ind w:left="283"/>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884.8005</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03/03/2024</w:t>
            </w: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ind w:left="14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10"/>
                <w:szCs w:val="10"/>
                <w:color w:val="auto"/>
              </w:rPr>
            </w:pPr>
          </w:p>
        </w:tc>
        <w:tc>
          <w:tcPr>
            <w:tcW w:w="600" w:type="dxa"/>
            <w:vAlign w:val="bottom"/>
          </w:tcPr>
          <w:p>
            <w:pPr>
              <w:jc w:val="right"/>
              <w:ind w:right="20"/>
              <w:spacing w:after="0" w:line="125" w:lineRule="exact"/>
              <w:rPr>
                <w:sz w:val="20"/>
                <w:szCs w:val="20"/>
                <w:color w:val="auto"/>
              </w:rPr>
            </w:pPr>
            <w:r>
              <w:rPr>
                <w:rFonts w:ascii="Times New Roman" w:cs="Times New Roman" w:eastAsia="Times New Roman" w:hAnsi="Times New Roman"/>
                <w:sz w:val="12"/>
                <w:szCs w:val="12"/>
                <w:color w:val="0000FF"/>
              </w:rPr>
              <w:t>884.8005</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18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jc w:val="center"/>
              <w:ind w:left="283"/>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18,204</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03/04/2024</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440" w:type="dxa"/>
            <w:vAlign w:val="bottom"/>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18,204</w:t>
            </w:r>
          </w:p>
        </w:tc>
        <w:tc>
          <w:tcPr>
            <w:tcW w:w="6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18,204</w:t>
            </w: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-2211070</wp:posOffset>
            </wp:positionV>
            <wp:extent cx="28575" cy="221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1615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40" w:right="340" w:hanging="4"/>
        <w:spacing w:after="0" w:line="257"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173"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These RSUs vested in full on March 3, 2024.</w:t>
      </w:r>
    </w:p>
    <w:p>
      <w:pPr>
        <w:spacing w:after="0" w:line="47" w:lineRule="exact"/>
        <w:rPr>
          <w:rFonts w:ascii="Times New Roman" w:cs="Times New Roman" w:eastAsia="Times New Roman" w:hAnsi="Times New Roman"/>
          <w:sz w:val="12"/>
          <w:szCs w:val="12"/>
          <w:color w:val="008000"/>
        </w:rPr>
      </w:pPr>
    </w:p>
    <w:p>
      <w:pPr>
        <w:ind w:left="40" w:right="520" w:hanging="4"/>
        <w:spacing w:after="0" w:line="27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3, 2023 and vested on the same schedule as the underlying RSUs. Amount represents DEUs that accrued with respect to such RSUs in transactions exempt from Section 16 under Rule 16a-11.</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will vest on March 4, 2025.</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2"/>
          <w:szCs w:val="32"/>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-25400</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-17145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-80010</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36452"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2024-03-05T19:21:58Z</dcterms:created>
  <dcterms:modified xsi:type="dcterms:W3CDTF">2024-03-05T19:21:58Z</dcterms:modified>
</cp:coreProperties>
</file>