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4460" cy="1244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2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-594360</wp:posOffset>
            </wp:positionV>
            <wp:extent cx="56515" cy="6076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3895090</wp:posOffset>
            </wp:positionH>
            <wp:positionV relativeFrom="paragraph">
              <wp:posOffset>-594360</wp:posOffset>
            </wp:positionV>
            <wp:extent cx="56515" cy="6076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240" cy="435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240" cy="435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DIMICK NEIL F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98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03/21/2022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03/21/2022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166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75,200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80" w:type="dxa"/>
            <w:vAlign w:val="bottom"/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0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restart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12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165.5224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Equivalent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65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18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03/21/2022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165.5224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03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-1775460</wp:posOffset>
            </wp:positionV>
            <wp:extent cx="27940" cy="1780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178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Fractional shares have been rounded up in connection with the settlement described in footnote 2 pursuant to the terms of the restricted stock unit (RSU) award agreement under the Viatris Inc. 2020 Stock Incentive Plan.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total reported in Column 5 has been adjusted by 30 shares to correct an understatement of total holdings first reflected in the reporting person's Form 4 filed on March 4, 2022.</w:t>
      </w:r>
    </w:p>
    <w:p>
      <w:pPr>
        <w:spacing w:after="0" w:line="4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5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(DEUs) that accrued with respect to RSUs previously granted on March 2, 2021. The DEUs vested upon accrual as the underlying RSUs had previously vested.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-2540</wp:posOffset>
            </wp:positionV>
            <wp:extent cx="132080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-14605</wp:posOffset>
            </wp:positionV>
            <wp:extent cx="44005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03/23/2022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-3810</wp:posOffset>
            </wp:positionH>
            <wp:positionV relativeFrom="paragraph">
              <wp:posOffset>4445</wp:posOffset>
            </wp:positionV>
            <wp:extent cx="45974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74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80" w:space="120"/>
            <w:col w:w="2280"/>
          </w:cols>
          <w:pgMar w:left="460" w:top="218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5"/>
        <w:spacing w:after="0" w:line="317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48380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2022-03-23T18:03:21Z</dcterms:created>
  <dcterms:modified xsi:type="dcterms:W3CDTF">2022-03-23T18:03:21Z</dcterms:modified>
</cp:coreProperties>
</file>