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Lyons Dillon JoEllen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1000 MYLAN BOULEVARD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CANONSBURG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15317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Viatris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VTRS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09/22/2021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12719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055"/>
        <w:gridCol w:w="861"/>
        <w:gridCol w:w="891"/>
        <w:gridCol w:w="771"/>
        <w:gridCol w:w="591"/>
        <w:gridCol w:w="300"/>
        <w:gridCol w:w="921"/>
        <w:gridCol w:w="276"/>
        <w:gridCol w:w="906"/>
        <w:gridCol w:w="801"/>
        <w:gridCol w:w="891"/>
        <w:gridCol w:w="104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7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0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19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0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Dividend Equivalent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09/22/2021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113.2715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113.2715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214.4252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dividend equivalent units ("DEUs") that accrued with respect to restricted stock units ("RSUs") previously granted on March 2, 2021 and vest on the same schedule as the underlying RSUs.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Kevin Macikowski, by power of attorney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09/24/2021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570168" TargetMode="External"/><Relationship Id="rId4" Type="http://schemas.openxmlformats.org/officeDocument/2006/relationships/hyperlink" Target="http://www.sec.gov/cgi-bin/browse-edgar?action=getcompany&amp;CIK=0001792044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554</Words>
  <CharactersWithSpaces>3519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