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20" w:right="280" w:hanging="394"/>
        <w:spacing w:after="0" w:line="238"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20" w:right="26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2">
            <w:col w:w="7360" w:space="720"/>
            <w:col w:w="3100"/>
          </w:cols>
          <w:pgMar w:left="320" w:top="988" w:right="3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107"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29" w:lineRule="exact"/>
        <w:rPr>
          <w:sz w:val="24"/>
          <w:szCs w:val="24"/>
          <w:color w:val="auto"/>
        </w:rPr>
      </w:pPr>
    </w:p>
    <w:p>
      <w:pPr>
        <w:sectPr>
          <w:pgSz w:w="11900" w:h="16838" w:orient="portrait"/>
          <w:cols w:equalWidth="0" w:num="3">
            <w:col w:w="3980" w:space="720"/>
            <w:col w:w="2180" w:space="720"/>
            <w:col w:w="3580"/>
          </w:cols>
          <w:pgMar w:left="320" w:top="988" w:right="39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88" w:right="399" w:bottom="1440" w:gutter="0" w:footer="0" w:header="0"/>
          <w:type w:val="continuous"/>
        </w:sectPr>
      </w:pPr>
    </w:p>
    <w:p>
      <w:pPr>
        <w:spacing w:after="0" w:line="24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left="20" w:right="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November 4, 2024 was 1,193,592,902.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6900" w:type="dxa"/>
            <w:vAlign w:val="bottom"/>
            <w:gridSpan w:val="10"/>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6900" w:type="dxa"/>
            <w:vAlign w:val="bottom"/>
            <w:gridSpan w:val="10"/>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3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 Three and Nine Months Ended September 30, 2024 and 2023</w:t>
            </w:r>
          </w:p>
        </w:tc>
        <w:tc>
          <w:tcPr>
            <w:tcW w:w="320" w:type="dxa"/>
            <w:vAlign w:val="bottom"/>
            <w:gridSpan w:val="2"/>
          </w:tcPr>
          <w:p>
            <w:pPr>
              <w:spacing w:after="0"/>
              <w:rPr>
                <w:sz w:val="16"/>
                <w:szCs w:val="16"/>
                <w:color w:val="auto"/>
              </w:rPr>
            </w:pPr>
          </w:p>
        </w:tc>
        <w:tc>
          <w:tcPr>
            <w:tcW w:w="9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 — Three and Nine Months Ended September</w:t>
            </w:r>
          </w:p>
        </w:tc>
        <w:tc>
          <w:tcPr>
            <w:tcW w:w="9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30, 2024 and 2023</w:t>
            </w:r>
          </w:p>
        </w:tc>
        <w:tc>
          <w:tcPr>
            <w:tcW w:w="42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2024 and December 31, 2023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and Nine Months Ended September 30, 2024 and 2023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2024 and 2023</w:t>
            </w:r>
          </w:p>
        </w:tc>
        <w:tc>
          <w:tcPr>
            <w:tcW w:w="640" w:type="dxa"/>
            <w:vAlign w:val="bottom"/>
            <w:gridSpan w:val="3"/>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9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73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736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Amended and Restated 2003 Long-Term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 Incentive Plan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2020 Stock Incentive Plan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revolving facility dated as of July 1, 2021, by and among Viatris, certain lenders and</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issuing banks from time to time party thereto and Bank of America, N.A., as administrative agent and</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2021 Revolving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which was amended and restated in September 2024</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2023 Form 10-K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annual report on Form 10-K for the fiscal year ended December 31, 2023,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$3.5 billion revolving facility dated as of September 27, 2024, by and among Viatris, certain lenders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 Revolving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issuing banks from time to time party thereto and Bank of America, N.A., as administrative agent</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EBITDA (defined below) is further adjusted for share-based compensation expense, litigation</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 contingencies, net, restructuring and other special items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Abbreviated New Drug Application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pharmaceutical ingredients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Antiretroviral medicines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Limited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Biologics Limited, a majority owned subsidiary of Biocon</w:t>
            </w: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transaction between Viatris and Biocon Biologics pursuant to which Viatris contributed its</w:t>
            </w: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biosimilars portfolio, composed of the Biocon collaboration programs, biosimilars to Humira®,</w:t>
            </w: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Enbrel®, and Eylea®, as well as related assets and liabilities to Biocon Biologics</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agreement between Viatris and Biocon Biologics, dated February 27, 2022, relating to</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Biocon Biologics Transaction, as amended from time to time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 from time to time, among</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Mylan, Pfizer and certain of their affiliates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corporate alternative minimum tax</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Compulsory convertible preferred shares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 Morris Trust transaction to form</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on November 16, 2020</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$1.65 billion unsecured commercial paper program entered into as of November 16, 2020 by Viatris,</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as issuer, Mylan Inc., Utah Acquisition Sub Inc. and Mylan II B.V., as guarantors, and certain dealers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Viatris’ business segment that includes our operations primarily in the following markets: North America</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Europe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distribution to Pfizer stockholders all the issued and outstanding shares of Upjohn Inc.</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Department of Justice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U.S. GAAP net earnings (loss) adjusted for income tax provision (benefit), interest expense</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depreciation and amortization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r>
      <w:tr>
        <w:trPr>
          <w:trHeight w:val="884"/>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20" w:type="dxa"/>
            <w:vAlign w:val="bottom"/>
            <w:tcBorders>
              <w:top w:val="single" w:sz="8" w:color="auto"/>
              <w:left w:val="single" w:sz="8" w:color="auto"/>
              <w:right w:val="single" w:sz="8" w:color="auto"/>
            </w:tcBorders>
          </w:tcPr>
          <w:p>
            <w:pPr>
              <w:spacing w:after="0"/>
              <w:rPr>
                <w:sz w:val="16"/>
                <w:szCs w:val="16"/>
                <w:color w:val="auto"/>
              </w:rPr>
            </w:pPr>
          </w:p>
        </w:tc>
        <w:tc>
          <w:tcPr>
            <w:tcW w:w="76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Viatris’ business segment that includes, but is not limited to, our operations primarily in the following</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Parts of Asia, the Middle East, South and Central America, Africa, and Eastern Europe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 for the quarterly period ended September 30,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 Depot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Long-acting glatiramer acetate depot product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Systemically Important Banks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institutions that are considered systemically important by the Financial Stability Board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China, Taiwan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Hong Kong</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Gx</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Generic drugs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Idorsia Pharmaceuticals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between Viatris and Idorsia pursuant to which Viatris acquired the development</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programs and certain personnel related to selatogrel and cenerimod from Idorsia in exchange for an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upfront payment to Idorsia of $350 million, potential development and regulatory milestone payments,</w:t>
            </w:r>
          </w:p>
        </w:tc>
        <w:tc>
          <w:tcPr>
            <w:tcW w:w="0" w:type="dxa"/>
            <w:vAlign w:val="bottom"/>
          </w:tcPr>
          <w:p>
            <w:pPr>
              <w:spacing w:after="0"/>
              <w:rPr>
                <w:sz w:val="1"/>
                <w:szCs w:val="1"/>
                <w:color w:val="auto"/>
              </w:rPr>
            </w:pP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contingent payments of tiered sales milestones, as well as potential contingent tiered sales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in the following markets: Japan, Australia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Mapi Pharma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maximum consolidated leverage ratio financial covenant requiring maintenance of a maximum ratio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consolidated total indebtedness as of the end of any quarter to consolidated EBITDA for the trailing</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quarters as defined in the related credit agreements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Multidistrict litigation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4.550% Senior Notes due 2028, 5.400% Senior Notes due 2043 and 5.200% Senior Notes due 2048</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by Mylan Inc., which are fully and unconditionally guaranteed on a senior unsecured basis by</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Inc.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Viatris Inc.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note securitization facility entered into in August 2023 for borrowings up to $200 million, which</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Note Securitization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expired in August 2024 and was not renewed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OTC business that the Company divested to Cooper Consumer Health SAS in July 2024,</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including two manufacturing sites located in Merignac, France, and Confienza, Italy, and an R&amp;D site in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OTC Business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Monza, Italy. This excludes the Company’s rights for Viagra®, Dymista® (which, in certain limited</w:t>
            </w:r>
          </w:p>
        </w:tc>
        <w:tc>
          <w:tcPr>
            <w:tcW w:w="0" w:type="dxa"/>
            <w:vAlign w:val="bottom"/>
          </w:tcPr>
          <w:p>
            <w:pPr>
              <w:spacing w:after="0"/>
              <w:rPr>
                <w:sz w:val="1"/>
                <w:szCs w:val="1"/>
                <w:color w:val="auto"/>
              </w:rPr>
            </w:pPr>
          </w:p>
        </w:tc>
      </w:tr>
      <w:tr>
        <w:trPr>
          <w:trHeight w:val="230"/>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are sold as OTC products), and select OTC products in certain markets.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October 1, 2023, Viatris announced it had received an offer for the divestiture of its OTC Business.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 January 2024, we exercised our option to accept the offer and entered into a definitive transaction</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with respect to such OTC Transaction. The OTC Transaction closed in July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Oyster Point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Oyster Point Pharma,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$400 million accounts receivable facility entered into in August 2020 and expiring in April 2025</w:t>
            </w:r>
          </w:p>
        </w:tc>
        <w:tc>
          <w:tcPr>
            <w:tcW w:w="0" w:type="dxa"/>
            <w:vAlign w:val="bottom"/>
          </w:tcPr>
          <w:p>
            <w:pPr>
              <w:spacing w:after="0"/>
              <w:rPr>
                <w:sz w:val="1"/>
                <w:szCs w:val="1"/>
                <w:color w:val="auto"/>
              </w:rPr>
            </w:pP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4.000% Senior Notes due 2050 originally issued on October 29, 2021 registered with the SEC in</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exchange for the corresponding Unregistered Upjohn U.S. Dollar Notes in a similar aggregate principal</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amount and with terms substantially identical to the corresponding Unregistered Upjohn U.S. Dollar</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Notes and fully and unconditionally guaranteed by Mylan Inc., Mylan II B.V. and Utah Acquisition Sub</w:t>
            </w: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Upjohn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nonvested restricted stock and restricted stock unit awards, including PSUs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Racketeer Influenced and Corrupt Organizations Act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Upjohn U.S. Dollar Notes, the Utah U.S. Dollar Notes and the Mylan Inc. U.S. Dollar Notes,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collectively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 as of July 29, 2019, as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options and SARs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agreements, including related distribution services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4.000% Senior Notes due 2050 originally issued on June 22, 2020 by Upjohn Inc. (now Viatris Inc.) in a</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Unregistered Upjohn U.S. Dollar Notes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private offering exempt from the registration requirements of the Securities Act and fully and</w:t>
            </w:r>
          </w:p>
        </w:tc>
        <w:tc>
          <w:tcPr>
            <w:tcW w:w="0" w:type="dxa"/>
            <w:vAlign w:val="bottom"/>
          </w:tcPr>
          <w:p>
            <w:pPr>
              <w:spacing w:after="0"/>
              <w:rPr>
                <w:sz w:val="1"/>
                <w:szCs w:val="1"/>
                <w:color w:val="auto"/>
              </w:rPr>
            </w:pPr>
          </w:p>
        </w:tc>
      </w:tr>
      <w:tr>
        <w:trPr>
          <w:trHeight w:val="230"/>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unconditionally guaranteed by Mylan Inc., Mylan II B.V. and Utah Acquisition Sub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 that combined with Mylan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was renamed Viatris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 that, in connection with the</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was separated from Pfizer and combined with Mylan to form Viatris</w:t>
            </w:r>
          </w:p>
        </w:tc>
        <w:tc>
          <w:tcPr>
            <w:tcW w:w="0" w:type="dxa"/>
            <w:vAlign w:val="bottom"/>
          </w:tcPr>
          <w:p>
            <w:pPr>
              <w:spacing w:after="0"/>
              <w:rPr>
                <w:sz w:val="1"/>
                <w:szCs w:val="1"/>
                <w:color w:val="auto"/>
              </w:rPr>
            </w:pPr>
          </w:p>
        </w:tc>
      </w:tr>
      <w:tr>
        <w:trPr>
          <w:trHeight w:val="205"/>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Select geographic markets that were part of the Combination that are smaller in nature and in which we</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7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had no established infrastructure prior to or following the Combination and that the Company has</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Distributor Markets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or intends to divest</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Senior unsecured notes denominated in U.S. dollars and originally issued by Upjohn Inc. or Viatris Inc.</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pursuant to an indenture dated June 22, 2020 and fully and unconditionally guaranteed by Mylan Inc.,</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 Acquisition Sub Inc., a Delaware corporation and an indirect wholly owned subsidiary of Viatris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3.950% Senior Notes due 2026 and 5.250% Senior Notes due 2046 issued by Utah Acquisition Sub</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 which are fully and unconditionally guaranteed on a senior unsecured basis by Mylan Inc., Viatris</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and Mylan II B.V.</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formerly known as Upjohn Inc. prior to the completion of the Combination</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term loan agreement dated as of July 1, 2021, among Viatris, the guarantors from time to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time party thereto, the lenders from time to time party thereto and Mizuho Bank, Ltd., as administrative</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YEN Term Loan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agent</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IPR&amp;D</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Viatris Inc. shareholders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80" w:hanging="333"/>
        <w:spacing w:after="0"/>
        <w:tabs>
          <w:tab w:leader="none" w:pos="4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175"/>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 in unrecognized gain (loss) and prior service cost related to defined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plans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(loss)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176"/>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unrecognized (loss) gain on derivatives in net investment hedging</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relationships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(loss) on available-for-sale fixed income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20"/>
          </w:cols>
          <w:pgMar w:left="320" w:top="114" w:right="359" w:bottom="1440" w:gutter="0" w:footer="0" w:header="0"/>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480" w:right="320" w:firstLine="14"/>
        <w:spacing w:after="0" w:line="271" w:lineRule="auto"/>
        <w:rPr>
          <w:sz w:val="20"/>
          <w:szCs w:val="20"/>
          <w:color w:val="auto"/>
        </w:rPr>
      </w:pPr>
      <w:r>
        <w:rPr>
          <w:rFonts w:ascii="Times New Roman" w:cs="Times New Roman" w:eastAsia="Times New Roman" w:hAnsi="Times New Roman"/>
          <w:sz w:val="18"/>
          <w:szCs w:val="18"/>
          <w:color w:val="auto"/>
        </w:rPr>
        <w:t>Prepaid expenses and other current assets Assets held for sale</w:t>
      </w:r>
    </w:p>
    <w:p>
      <w:pPr>
        <w:ind w:left="6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assets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162560</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r>
      <w:tr>
        <w:trPr>
          <w:trHeight w:val="234"/>
        </w:trPr>
        <w:tc>
          <w:tcPr>
            <w:tcW w:w="3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18"/>
        </w:trPr>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11,307.7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19,181.1</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-1654175</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-1362710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-1071245</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3780" w:space="720"/>
            <w:col w:w="6720"/>
          </w:cols>
          <w:pgMar w:left="320" w:top="114" w:right="359" w:bottom="1440" w:gutter="0" w:footer="0" w:header="0"/>
          <w:type w:val="continuous"/>
        </w:sectPr>
      </w:pPr>
    </w:p>
    <w:tbl>
      <w:tblPr>
        <w:tblLayout w:type="fixed"/>
        <w:tblInd w:w="20" w:type="dxa"/>
        <w:tblCellMar>
          <w:top w:w="0" w:type="dxa"/>
          <w:left w:w="0" w:type="dxa"/>
          <w:bottom w:w="0" w:type="dxa"/>
          <w:right w:w="0" w:type="dxa"/>
        </w:tblCellMar>
      </w:tblPr>
      <w:tr>
        <w:trPr>
          <w:trHeight w:val="232"/>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30"/>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w:t>
            </w:r>
          </w:p>
        </w:tc>
      </w:tr>
      <w:tr>
        <w:trPr>
          <w:trHeight w:val="223"/>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7,777.4</w:t>
            </w: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16,188.1</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27,218.1</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87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3,000,000,000 shares authorized; shares issued: 1,234,064,628 and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1,221,994,491 as of September 30, 2024 and December 31, 2023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18,814.7</w:t>
            </w:r>
          </w:p>
        </w:tc>
      </w:tr>
      <w:tr>
        <w:trPr>
          <w:trHeight w:val="230"/>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20,719.2</w:t>
            </w:r>
          </w:p>
        </w:tc>
      </w:tr>
      <w:tr>
        <w:trPr>
          <w:trHeight w:val="22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Common stock shares: 40,483,663 and 21,239,521 as of September 30, 2024 and December 31, 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2"/>
            <w:vMerge w:val="restart"/>
          </w:tcPr>
          <w:p>
            <w:pPr>
              <w:ind w:left="10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1,233,752,840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$18,853.3</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$ 4,133.9</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$(504.3)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$19,520.0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1,234,064,628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18,888.7</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$ 4,082.0</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r>
              <w:rPr>
                <w:rFonts w:ascii="Times New Roman" w:cs="Times New Roman" w:eastAsia="Times New Roman" w:hAnsi="Times New Roman"/>
                <w:sz w:val="18"/>
                <w:szCs w:val="18"/>
                <w:u w:val="single" w:color="auto"/>
                <w:color w:val="auto"/>
              </w:rPr>
              <w:t>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$19,792.4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4"/>
            <w:vMerge w:val="continue"/>
          </w:tcPr>
          <w:p>
            <w:pPr>
              <w:spacing w:after="0"/>
              <w:rPr>
                <w:sz w:val="9"/>
                <w:szCs w:val="9"/>
                <w:color w:val="auto"/>
              </w:rPr>
            </w:pP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1,221,994,491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$18,814.7</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$ 4,639.7</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$(251.8)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$20,467.4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11,900,724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19,244,142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$0.36 per common share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1,234,064,628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18,888.7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$ 4,082.0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r>
              <w:rPr>
                <w:rFonts w:ascii="Times New Roman" w:cs="Times New Roman" w:eastAsia="Times New Roman" w:hAnsi="Times New Roman"/>
                <w:sz w:val="18"/>
                <w:szCs w:val="18"/>
                <w:u w:val="single" w:color="auto"/>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$19,792.4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3"/>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1,220,385,566</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$18,719.4</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$ 5,369.1</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$20,843.3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1,220,899,433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18,760.7</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$ 5,553.0</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r>
              <w:rPr>
                <w:rFonts w:ascii="Times New Roman" w:cs="Times New Roman" w:eastAsia="Times New Roman" w:hAnsi="Times New Roman"/>
                <w:sz w:val="18"/>
                <w:szCs w:val="18"/>
                <w:u w:val="single" w:color="auto"/>
                <w:color w:val="auto"/>
              </w:rPr>
              <w:t>5)</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$20,865.6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2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1,213,793,231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$18,645.8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$ 5,175.6</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$21,072.3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6,864,535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dividends declared, $0.36 per common 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1,220,899,433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18,760.7</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$ 5,553.0</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r>
              <w:rPr>
                <w:rFonts w:ascii="Times New Roman" w:cs="Times New Roman" w:eastAsia="Times New Roman" w:hAnsi="Times New Roman"/>
                <w:sz w:val="18"/>
                <w:szCs w:val="18"/>
                <w:u w:val="single" w:color="auto"/>
                <w:color w:val="auto"/>
              </w:rPr>
              <w:t>5)</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$20,865.6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2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See Notes to Condensed Consolidated Financial Statements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2,096.1</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Acquired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2"/>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2,331.5</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Refunds (purchases) of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assets and subsidiaries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(891.2)</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financing fees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Non-contingent payments for product rights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items,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1,262.5</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(loss), financial position, equity and cash flows for the periods presented.</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 Viatris’ 2023 Form 10-K. The December 31, 2023 condensed consolidated balance sheet was derived from audited financial statements.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interim results of operations and comprehensive earnings (loss) for the three and nine months ended September 30, 2024, and cash flows for the nine months ended September 30, 2024, are not necessarily indicative of the results to be expected for the full fiscal year or any other future period.</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and an increase to net cash used in investing activities of $11.3 million for the nine months ended September 30, 2023.</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227"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Company’s net sales by product category for each of our reportable segments for the three and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respectively:</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tcPr>
          <w:p>
            <w:pPr>
              <w:spacing w:after="0"/>
              <w:rPr>
                <w:sz w:val="16"/>
                <w:szCs w:val="16"/>
                <w:color w:val="auto"/>
              </w:rPr>
            </w:pPr>
          </w:p>
        </w:tc>
        <w:tc>
          <w:tcPr>
            <w:tcW w:w="438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20" w:type="dxa"/>
            <w:vAlign w:val="bottom"/>
            <w:tcBorders>
              <w:top w:val="single" w:sz="8" w:color="auto"/>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20" w:type="dxa"/>
            <w:vAlign w:val="bottom"/>
            <w:tcBorders>
              <w:bottom w:val="single" w:sz="8" w:color="auto"/>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 w:type="dxa"/>
            <w:vAlign w:val="bottom"/>
            <w:tcBorders>
              <w:top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130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0" w:lineRule="exact"/>
        <w:rPr>
          <w:sz w:val="20"/>
          <w:szCs w:val="20"/>
          <w:color w:val="auto"/>
        </w:rPr>
      </w:pPr>
    </w:p>
    <w:p>
      <w:pPr>
        <w:ind w:left="660" w:right="360" w:hanging="328"/>
        <w:spacing w:after="0" w:line="229" w:lineRule="auto"/>
        <w:tabs>
          <w:tab w:leader="none" w:pos="65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and nine months ended September 30, 2024 include the impact of foreign currency translations and divested businesses compared to the prior year period.</w:t>
      </w:r>
    </w:p>
    <w:p>
      <w:pPr>
        <w:spacing w:after="0" w:line="88" w:lineRule="exact"/>
        <w:rPr>
          <w:rFonts w:ascii="Times New Roman" w:cs="Times New Roman" w:eastAsia="Times New Roman" w:hAnsi="Times New Roman"/>
          <w:sz w:val="23"/>
          <w:szCs w:val="23"/>
          <w:color w:val="auto"/>
          <w:vertAlign w:val="superscript"/>
        </w:rPr>
      </w:pPr>
    </w:p>
    <w:p>
      <w:pPr>
        <w:ind w:left="660" w:right="220" w:hanging="328"/>
        <w:spacing w:after="0" w:line="230"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Complex Gx</w:t>
      </w:r>
      <w:r>
        <w:rPr>
          <w:rFonts w:ascii="Times New Roman" w:cs="Times New Roman" w:eastAsia="Times New Roman" w:hAnsi="Times New Roman"/>
          <w:sz w:val="18"/>
          <w:szCs w:val="18"/>
          <w:color w:val="auto"/>
        </w:rPr>
        <w:t>, which was previously presented as a separate line item in the prior year period, is now included within</w:t>
      </w:r>
      <w:r>
        <w:rPr>
          <w:rFonts w:ascii="Times New Roman" w:cs="Times New Roman" w:eastAsia="Times New Roman" w:hAnsi="Times New Roman"/>
          <w:sz w:val="18"/>
          <w:szCs w:val="18"/>
          <w:i w:val="1"/>
          <w:iCs w:val="1"/>
          <w:color w:val="auto"/>
        </w:rPr>
        <w:t xml:space="preserve"> Generics. </w:t>
      </w: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made to prior periods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on a consolidated basis for select key products for the three and nine months ended September 30, 2024 and 2023,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Global Products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Lipitor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Norvasc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Lyrica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EpiPen® Auto-Injectors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Viagra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Creon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Celebrex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Effexor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Zoloft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Xalabrands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Segment Products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Influvac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Yupelri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Dymista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Xanax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Amitiza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ectPr>
          <w:pgSz w:w="11900" w:h="16838" w:orient="portrait"/>
          <w:cols w:equalWidth="0" w:num="1">
            <w:col w:w="11240"/>
          </w:cols>
          <w:pgMar w:left="320" w:top="114" w:right="339" w:bottom="1440" w:gutter="0" w:footer="0" w:header="0"/>
        </w:sectPr>
      </w:pP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(a)</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(b)</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does not disclose net sales for any products considered competitively sensitive.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disclosed may change in future periods, including as a result of seasonality, competition or new product launches.</w:t>
      </w:r>
    </w:p>
    <w:p>
      <w:pPr>
        <w:spacing w:after="0" w:line="75" w:lineRule="exact"/>
        <w:rPr>
          <w:sz w:val="20"/>
          <w:szCs w:val="20"/>
          <w:color w:val="auto"/>
        </w:rPr>
      </w:pPr>
    </w:p>
    <w:p>
      <w:pPr>
        <w:sectPr>
          <w:pgSz w:w="11900" w:h="16838" w:orient="portrait"/>
          <w:cols w:equalWidth="0" w:num="2">
            <w:col w:w="460" w:space="180"/>
            <w:col w:w="10600"/>
          </w:cols>
          <w:pgMar w:left="320" w:top="114" w:right="339" w:bottom="1440" w:gutter="0" w:footer="0" w:header="0"/>
          <w:type w:val="continuous"/>
        </w:sectPr>
      </w:pPr>
    </w:p>
    <w:p>
      <w:pPr>
        <w:ind w:left="660" w:hanging="328"/>
        <w:spacing w:after="0" w:line="229" w:lineRule="auto"/>
        <w:tabs>
          <w:tab w:leader="none" w:pos="65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and nine months ended September 30, 2024 include the impact of foreign currency translations compared to the prior year period.</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intellectual property matters included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for additional information regarding Yupelri® and Amitiza®.</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Variable Consideration and Accounts Receivable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three and nine months ended September 30, 2024 and 2023, respectively:</w: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19,289.2</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(7,726.7)</w:t>
            </w:r>
          </w:p>
        </w:tc>
        <w:tc>
          <w:tcPr>
            <w:tcW w:w="0" w:type="dxa"/>
            <w:vAlign w:val="bottom"/>
          </w:tcPr>
          <w:p>
            <w:pPr>
              <w:spacing w:after="0"/>
              <w:rPr>
                <w:sz w:val="1"/>
                <w:szCs w:val="1"/>
                <w:color w:val="auto"/>
              </w:rPr>
            </w:pPr>
          </w:p>
        </w:tc>
      </w:tr>
      <w:tr>
        <w:trPr>
          <w:trHeight w:val="22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200" w:firstLine="648"/>
        <w:spacing w:after="0" w:line="312" w:lineRule="auto"/>
        <w:rPr>
          <w:sz w:val="20"/>
          <w:szCs w:val="20"/>
          <w:color w:val="auto"/>
        </w:rPr>
      </w:pPr>
      <w:r>
        <w:rPr>
          <w:rFonts w:ascii="Times New Roman" w:cs="Times New Roman" w:eastAsia="Times New Roman" w:hAnsi="Times New Roman"/>
          <w:sz w:val="17"/>
          <w:szCs w:val="17"/>
          <w:color w:val="auto"/>
        </w:rPr>
        <w:t>No significant revisions were made to the methodology used in determining these provisions or the nature of the provisions during the three and nine months ended September 30, 2024. Such allowances were comprised of the following at September 30, 2024 and December 31, 2023, respectively:</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was comprised of the following at September 30, 2024 and December 31, 2023, respectively:</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$19.9 million and $30.8 million of accounts receivable as of September 30, 2024 and December 31, 2023, respectively, under these factoring arrangements. Additionally, in 2023, we entered into a similar arrangement for certain European countries. As of September 30, 2024 and December 31, 2023, we have assigned and derecognized approximately $357.0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Standards and Disclosure Rules Issued Not Yet Adopted</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March 2024, the SEC adopted final rules under SEC Release No. 34-99678 and No. 33-11275, “The Enhancement and Standardization of Climate-Related Disclosures for Investors” (the “Final Rules”), which will require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will also require disclosure outside of the financial statements of material scope 1 and scope 2 greenhouse gas emissions, among other climate-related disclosures. In April 2024, the SEC stayed the effectiveness of the Final Rules. Prior to the effectiveness of the Final Rules being stayed, the disclosure requirements of the Final Rules were scheduled to begin phasing in for the Company for fiscal year 2025. The Company is currently assessing the impact of the new rules on its consolidated financial statements and disclosures.</w:t>
      </w:r>
    </w:p>
    <w:p>
      <w:pPr>
        <w:spacing w:after="0" w:line="21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requires entities to disclose specified information about certain costs and expenses, including amounts of purchases of inventory, employee compensation, depreciation, and intangible asset amortization. The amendments in ASU 2024-03 are effective for annual reporting periods beginning after December 15, 2026, and interim reporting periods beginning after December 15, 2027, with early adoption permitted. The Company is currently assessing the impact of the adoption of this guidance on its consolidated financial statements and disclosures.</w:t>
      </w:r>
    </w:p>
    <w:p>
      <w:pPr>
        <w:spacing w:after="0" w:line="21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new accounting standards from those disclosed in Viatris’ 2023 Form 10-K. Refer to Viatris’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Idorsia</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the development programs and certain personnel related to selatogrel and cenerimod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contributing to the development costs for both programs.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w:t>
      </w:r>
    </w:p>
    <w:p>
      <w:pPr>
        <w:spacing w:after="0" w:line="21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nine months ended September 30, 2024, the Company incurred acquisition-related costs of approximately $3.9 million, which were recorded primarily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statements of operations.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additional information. The preliminary allocation of the purchase price to the assets acquired and liabilities assumed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0"/>
        </w:trPr>
        <w:tc>
          <w:tcPr>
            <w:tcW w:w="9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 subject to change relates to the finalization of income taxes. There were no measurement period adjustments during 2024.</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will both contribute to the development costs for both programs, which are expected to be incurred through 2026.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goodwill of $19.5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and nine months ended September 30, 2024 and 2023.</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OTC, API and women’s healthcare businesses were deemed businesses for U.S. GAAP accounting purposes. As such, the assets and liabilities included an allocation of goodwill. The sale of the rights to two women’s healthcare products in certain countries was accounted for as an asset sale. 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as necessary.</w:t>
      </w:r>
    </w:p>
    <w:p>
      <w:pPr>
        <w:spacing w:after="0" w:line="216"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During the three months ended September 30, 2024 and 2023, the Company recognized TSA income related to the divestitures of approximately $27.5 million and $47.2 million, respectively. During the nine months ended September 30, 2024 and 2023, the Company recognized TSA income related to the divestitures of approximately $47.0 million and $139.8 million, respectively. TSA income is recorded as a component of </w:t>
      </w: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Women’s Healthcare</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third quarter of 2023, Viatris executed an agreement to divest its women’s healthcare business to Insud Pharma, S. L., a leading Spanish multinational pharmaceutical company. The divestiture of the women’s healthcare business was primarily related to our oral and injectable contraceptives and did not include all of our women’s healthcare related products; as an example, our Xulane® product in the U.S. was excluded. The transaction included two manufacturing facilities in India. Assets and liabilities associated with the women’s healthcare business divested were classified as held for sale in the consolidated balance sheet as of December 31, 2023. The transaction closed in March 2024 and during the three and nine months ended September 30, 2024, the Company recognized a pre-tax loss on sale of approximately $2.0 million and a pre-tax gain on sale of approximately $77.6 million, respectively, for the difference between the consideration received and the carrying value of the assets transferred (including an allocation of goodwill), which were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2023, Viatris also entered into a separate agreement to divest its rights to women’s healthcare products Duphaston®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Femoston® in certain countries to Theramex HQ UK Limited, a leading global specialty pharmaceutical company dedicated to women’s health.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(other than in the U.K.) closed in December 2023, and upon closing, the Company recognized a pre-tax gain on sale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$156.2 million in that quarter for the difference between the consideration received and the carrying value of the assets transferred. In the third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Company closed the divestiture of the product rights in the U.K. to Insud Pharma, S. L., and recognized a pre-tax gain on sale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$10.8 million. The respective pre-tax gains were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in the condensed consolidated statements of operations.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OTC</w:t>
      </w:r>
    </w:p>
    <w:p>
      <w:pPr>
        <w:spacing w:after="0" w:line="1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we exercised our option to accept the offer in the OTC Transaction and entered into a definitive transaction agreement with respect to such OTC Transaction. The Company retained the rights for Viagra®, Dymista® (which, in certain limited markets, are sold as OTC products) and select OTC products in certain markets. The OTC Transaction closed on July 3, 2024.</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OTC Business divested met the criteria to be classified as held for sale on October 1, 2023. As such, the related assets and liabilities were classified as held for sale in the consolidated balance sheet as of December 31, 2023. Upon classification as held for sale in the fourth quarter of 2023, we recognized a total charge of approximately $734.7 million, which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was comprised of a goodwill impairment charge of approximately $580.1 million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and a charge of approximately $154.7 million to write down the disposal group to fair value, less cost to sell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 of operations. During the three and nine months ended September 30, 2024, the Company recorded additional pre-tax charges of approximately $92.6 million and $340.2 million, respectively, to further write down the disposal group to fair value, less cost to sell. The additional charges were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 and were primarily due to an increase in estimated transaction related costs, including the assumption of additional contractual obligations, as well as the impact of working capital and other transaction related adjustments on the proceeds.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API</w:t>
      </w:r>
    </w:p>
    <w:p>
      <w:pPr>
        <w:spacing w:after="0" w:line="11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October 1, 2023, Viatris executed an agreement to divest its API business in India to Matrix Pharma Private Limited, a privately held pharmaceutical company based in India. The transaction included three manufacturing sites and a R&amp;D lab in Hyderabad, three manufacturing sites in Vizag and third-party API sales. Viatris retained some selective R&amp;D capabilities in API. The transaction closed in June 2024. The API business in India met the criteria to be classified as held for sale on October 1, 2023 and the related assets and liabilities were reclassified as held for sale in the consolidated balance sheet as of December 31, 2023. During the three and nine months ended September 30, 2024, the Company recognized a pre-tax charge of approximately $15.1 million and $32.5 million, respectively, to write down the disposal group to fair value, less cost to sell, which was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 primarily driven by the impact of working capital and other transaction-related adjustments.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Upjohn Distributor Markets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2022, the commercialization rights in the Upjohn Distributor Markets met the criteria to be classified as held for sale. Upon classification as held for sale, the Company recognized a total charge of $374.2 million in 2022, which was comprised of a goodwill impairment charge of $117.0 million, other charges, principally inventory write-offs, of $84.3 million and a charge of approximately $172.9 million to write down the disposal group to fair value, less cost to sell. During the nine months ended September 30, 2023, the Company recorded an intangible asset charge of $32.0 million to write down the disposal group to fair value, less cost to sell, and additional charges of $19.2 million. Total charges during the year ended December 31, 2023 amounted to $136.4 million, primarily consisting of losses on the disposals of $85.2 million, which were recorded as a component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The divestitures of the commercialization rights in certain of the Upjohn Distributor Markets closed during 2023 and 2024, and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are expected to be completed in the near future. If the remaining transactions are not completed, the distribution arrangements will expire in accordance with our agreement with Pfizer and the Company will wind down operations in these markets, which may result in additional asset write-offs and other costs being incurred.</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Biocon Biologics Transaction</w:t>
      </w:r>
    </w:p>
    <w:p>
      <w:pPr>
        <w:spacing w:after="0" w:line="1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During the three months ended September 30, 2024 and 2023, the Company recorded a gain of $39.4 million and $19.1 million, respectively, and during the nine months ended September 30, 2024 and 2023, the Company recognized a gain of $368.7 million and $50.6 million, respectively, as a result of remeasuring the CCPS in Biocon Biologics to fair value. The increase is primarily related to changes in certain market factors, including Biocon’s share price. The Company’s CCPS in Biocon Biologics are classified as equity securities 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 and gains and losses recorded as a result of remeasuring the CCPS in Biocon Biologics to fair value are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The fair value is reassessed quarterly.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further discussion. Pursuant to the terms of the Biocon Agreement, the Company is entitled to receive a total of $335 million of additional cash payments in 2024 as deferred consideration, of which $145 million was received during the second quarter of 2024 with an additional $160 million payment due in the fourth quarter of 2024. In addition, the Biocon Agreement provides for a closing working capital target of $250 million, of which $220 million was paid by Viatris to Biocon Biologics during 2023. Viatris and Biocon Biologics have tentatively agreed to offset certain amounts due between the parties, including the remaining working capital target amount against the first deferred consideration payment described above. Refer to Note 8 </w:t>
      </w:r>
      <w:r>
        <w:rPr>
          <w:rFonts w:ascii="Times New Roman" w:cs="Times New Roman" w:eastAsia="Times New Roman" w:hAnsi="Times New Roman"/>
          <w:sz w:val="18"/>
          <w:szCs w:val="18"/>
          <w:i w:val="1"/>
          <w:iCs w:val="1"/>
          <w:color w:val="auto"/>
        </w:rPr>
        <w:t>Balance Sheet Components</w:t>
      </w:r>
      <w:r>
        <w:rPr>
          <w:rFonts w:ascii="Times New Roman" w:cs="Times New Roman" w:eastAsia="Times New Roman" w:hAnsi="Times New Roman"/>
          <w:sz w:val="18"/>
          <w:szCs w:val="18"/>
          <w:color w:val="auto"/>
        </w:rPr>
        <w:t xml:space="preserve"> for additional information on assets and liabilities related to Biocon Biologics.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assets and liabilities classified as held for sale at September 30, 2024. Assets and liabilities held for sale consisted of the following at December 31, 2023:</w:t>
      </w:r>
    </w:p>
    <w:p>
      <w:pPr>
        <w:sectPr>
          <w:pgSz w:w="11900" w:h="16838" w:orient="portrait"/>
          <w:cols w:equalWidth="0" w:num="1">
            <w:col w:w="11220"/>
          </w:cols>
          <w:pgMar w:left="320" w:top="114"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Valuation allowance on assets held for sale</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77" w:lineRule="exact"/>
        <w:rPr>
          <w:sz w:val="20"/>
          <w:szCs w:val="20"/>
          <w:color w:val="auto"/>
        </w:rPr>
      </w:pPr>
    </w:p>
    <w:p>
      <w:pPr>
        <w:ind w:left="764" w:hanging="764"/>
        <w:spacing w:after="0"/>
        <w:tabs>
          <w:tab w:leader="none" w:pos="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w:t>
      </w:r>
    </w:p>
    <w:p>
      <w:pPr>
        <w:spacing w:after="0" w:line="27"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422.4</w:t>
      </w:r>
    </w:p>
    <w:p>
      <w:pPr>
        <w:spacing w:after="0" w:line="22" w:lineRule="exact"/>
        <w:rPr>
          <w:rFonts w:ascii="Times New Roman" w:cs="Times New Roman" w:eastAsia="Times New Roman" w:hAnsi="Times New Roman"/>
          <w:sz w:val="18"/>
          <w:szCs w:val="18"/>
          <w:color w:val="auto"/>
        </w:rPr>
      </w:pPr>
    </w:p>
    <w:p>
      <w:pPr>
        <w:ind w:left="9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p>
    <w:p>
      <w:pPr>
        <w:spacing w:after="0" w:line="2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1,946.0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188.0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8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 w:lineRule="exact"/>
        <w:rPr>
          <w:sz w:val="20"/>
          <w:szCs w:val="20"/>
          <w:color w:val="auto"/>
        </w:rPr>
      </w:pPr>
    </w:p>
    <w:p>
      <w:pPr>
        <w:ind w:left="604" w:hanging="604"/>
        <w:spacing w:after="0"/>
        <w:tabs>
          <w:tab w:leader="none" w:pos="6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7886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44" w:hanging="744"/>
        <w:spacing w:after="0"/>
        <w:tabs>
          <w:tab w:leader="none" w:pos="7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137.4</w:t>
      </w:r>
    </w:p>
    <w:p>
      <w:pPr>
        <w:spacing w:after="0" w:line="27" w:lineRule="exact"/>
        <w:rPr>
          <w:rFonts w:ascii="Times New Roman" w:cs="Times New Roman" w:eastAsia="Times New Roman" w:hAnsi="Times New Roman"/>
          <w:sz w:val="18"/>
          <w:szCs w:val="18"/>
          <w:color w:val="auto"/>
        </w:rPr>
      </w:pPr>
    </w:p>
    <w:p>
      <w:pPr>
        <w:ind w:left="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w:t>
      </w:r>
    </w:p>
    <w:p>
      <w:pPr>
        <w:spacing w:after="0" w:line="22" w:lineRule="exact"/>
        <w:rPr>
          <w:rFonts w:ascii="Times New Roman" w:cs="Times New Roman" w:eastAsia="Times New Roman" w:hAnsi="Times New Roman"/>
          <w:sz w:val="18"/>
          <w:szCs w:val="18"/>
          <w:color w:val="auto"/>
        </w:rPr>
      </w:pPr>
    </w:p>
    <w:p>
      <w:pPr>
        <w:ind w:left="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w:t>
      </w:r>
    </w:p>
    <w:p>
      <w:pPr>
        <w:spacing w:after="0" w:line="22" w:lineRule="exact"/>
        <w:rPr>
          <w:rFonts w:ascii="Times New Roman" w:cs="Times New Roman" w:eastAsia="Times New Roman" w:hAnsi="Times New Roman"/>
          <w:sz w:val="18"/>
          <w:szCs w:val="18"/>
          <w:color w:val="auto"/>
        </w:rPr>
      </w:pPr>
    </w:p>
    <w:p>
      <w:pPr>
        <w:ind w:left="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w:t>
      </w:r>
    </w:p>
    <w:p>
      <w:pPr>
        <w:spacing w:after="0" w:line="31" w:lineRule="exact"/>
        <w:rPr>
          <w:sz w:val="20"/>
          <w:szCs w:val="20"/>
          <w:color w:val="auto"/>
        </w:rPr>
      </w:pPr>
    </w:p>
    <w:p>
      <w:pPr>
        <w:ind w:left="744" w:hanging="744"/>
        <w:spacing w:after="0"/>
        <w:tabs>
          <w:tab w:leader="none" w:pos="7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788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96" w:space="720"/>
            <w:col w:w="1204"/>
          </w:cols>
          <w:pgMar w:left="320" w:top="11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Incentive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18"/>
          <w:szCs w:val="18"/>
          <w:i w:val="1"/>
          <w:iCs w:val="1"/>
          <w:color w:val="auto"/>
        </w:rPr>
        <w:t>Viatris Inc. 2020 Stock Incentive Plan</w:t>
      </w:r>
      <w:r>
        <w:rPr>
          <w:rFonts w:ascii="Times New Roman" w:cs="Times New Roman" w:eastAsia="Times New Roman" w:hAnsi="Times New Roman"/>
          <w:sz w:val="18"/>
          <w:szCs w:val="18"/>
          <w:color w:val="auto"/>
        </w:rPr>
        <w:t>) which became effective as of the Distribution. In connection with the Combination, as of November 16,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the 2003 LTIP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awards (stock options and SARs)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3,434,489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3,426,600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3,374,710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stock awards outstanding, stock awards vested and expected to vest, and stock awards exercisable had average remaining contractual terms of 3.4 years, 3.3 years and 3.3 years, respectively. Also, at September 30, 2024, stock awards outstanding, stock awards vested and expected to vest, and stock awards exercisable had aggregate intrinsic values of $0.5 million, $0.4 million, and $0.3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changes in the Company’s nonvested Restricted Stock Awards (restricted stock and restricted stock unit awards,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from December 31, 2023 to September 30, 2024 is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13,858,847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(4,064,574)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29,449,119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$199.2 million of total unrecognized compensation expense, net of estimated forfeitures, related to all of its stock-based awards, which we expect to recognize over the remaining weighted average vesting period of 1.5 years. The total intrinsic value of Restricted Stock Awards released and stock options exercised during the nine months ended September 30, 2024 and 2023 was $141.5 million and $109.5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right="7540" w:hanging="332"/>
        <w:spacing w:after="0" w:line="503" w:lineRule="auto"/>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Pensions and Other Postretirement Benefits </w:t>
      </w:r>
      <w:r>
        <w:rPr>
          <w:rFonts w:ascii="Times New Roman" w:cs="Times New Roman" w:eastAsia="Times New Roman" w:hAnsi="Times New Roman"/>
          <w:sz w:val="18"/>
          <w:szCs w:val="18"/>
          <w:i w:val="1"/>
          <w:iCs w:val="1"/>
          <w:color w:val="auto"/>
        </w:rPr>
        <w:t>Defined Benefit Plans</w:t>
      </w: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three and nine months ended September 30,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Pension and Other Postretirement Benefits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the minimum mandatory contributions to its defined benefit pension plans in the U.S. and Puerto Rico for the 2024 plan year. The Company expects to make total benefit payments of approximately $114.4 million from pension and other postretirement benefit plans in 2024. The Company anticipates making contributions to pension and other postretirement benefit plans of approximately $61.3 million in 2024.</w:t>
      </w: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due from Biocon Biologics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 for taxes on intercompany profit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60" w:type="dxa"/>
            <w:vAlign w:val="bottom"/>
          </w:tcPr>
          <w:p>
            <w:pPr>
              <w:jc w:val="center"/>
              <w:ind w:left="3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5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22"/>
                <w:szCs w:val="22"/>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21"/>
                <w:szCs w:val="21"/>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right="420" w:hanging="328"/>
        <w:spacing w:after="0" w:line="230" w:lineRule="auto"/>
        <w:tabs>
          <w:tab w:leader="none" w:pos="589" w:val="left"/>
        </w:tabs>
        <w:numPr>
          <w:ilvl w:val="1"/>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Balance as of September 30, 2024 includes $389.0 million related to the Idorsia Transaction. Refer to Note 11 </w:t>
      </w:r>
      <w:r>
        <w:rPr>
          <w:rFonts w:ascii="Times New Roman" w:cs="Times New Roman" w:eastAsia="Times New Roman" w:hAnsi="Times New Roman"/>
          <w:sz w:val="18"/>
          <w:szCs w:val="18"/>
          <w:i w:val="1"/>
          <w:iCs w:val="1"/>
          <w:color w:val="auto"/>
        </w:rPr>
        <w:t>Financial Instruments and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additional information.</w:t>
      </w:r>
    </w:p>
    <w:p>
      <w:pPr>
        <w:spacing w:after="0" w:line="194" w:lineRule="exact"/>
        <w:rPr>
          <w:rFonts w:ascii="Times New Roman" w:cs="Times New Roman" w:eastAsia="Times New Roman" w:hAnsi="Times New Roman"/>
          <w:sz w:val="23"/>
          <w:szCs w:val="23"/>
          <w:color w:val="auto"/>
          <w:vertAlign w:val="superscript"/>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attributable to holders of Viatris Inc. common stock by the weighted average number of shares outstanding during the period. Diluted earnings (loss) per share is computed by dividing net earnings (loss)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Viatris Inc.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Basic earnings (loss) attributable to Viatris Inc. common shareholders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(loss) attributable to Viatris Inc.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earnings (loss) per share attributable to Viatris Inc.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(loss) attributable to Viatris Inc. common shareholders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(loss) attributable to Viatris Inc.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 earnings (loss) per share attributable to Viatris Inc.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 stock awards and Restricted Stock Awards were outstanding during the three and nine months ended September 30, 2024 and 2023, but were not included in the computation of diluted earnings (loss) per share for each respective period because the effect would be anti-dilutive. Excluded shares at September 30, 2024 also include certain share-based compensation awards and restricted shares whose performance conditions had not been fully met. Such excluded shares and anti-dilutive awards represented 9.1 million shares and 20.5 million shares for the three and nine months ended September 30, 2024, respectively, and 12.2 million shares and 16.8 million shares for the three and nine months ended September 30, 2023, respectively.</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paid a quarterly dividend of $0.12 per share on the Company’s issued and outstanding common stock on March 18, 2024, June 14, 2024, and September 13, 2024. On November 4, 2024, the Company’s Board of Directors declared a quarterly cash dividend of $0.12 per share on the Company’s issued and outstanding common stock, which will be payable on December 13, 2024 to shareholders of record as of the close of business on November 22, 2024.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nine months ended September 30, 2024 and 2023, the Company repurchased approximately 19.2 million shares of common stock at a cost of approximately $250 million, and approximately 21.2 million shares of common stock at a cost of approximately $250 million, respectively, under the program. As of September 30,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right="8520" w:hanging="332"/>
        <w:spacing w:after="0" w:line="503" w:lineRule="auto"/>
        <w:tabs>
          <w:tab w:leader="none" w:pos="3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40" w:type="dxa"/>
            <w:vAlign w:val="bottom"/>
          </w:tcPr>
          <w:p>
            <w:pPr>
              <w:spacing w:after="0"/>
              <w:rPr>
                <w:sz w:val="16"/>
                <w:szCs w:val="1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JANZ </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Markets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57"/>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2024 and December 31, 2023 include an accumulated impairment loss of $929.0 million.</w:t>
      </w:r>
    </w:p>
    <w:p>
      <w:pPr>
        <w:spacing w:after="0" w:line="1" w:lineRule="exact"/>
        <w:rPr>
          <w:rFonts w:ascii="Times New Roman" w:cs="Times New Roman" w:eastAsia="Times New Roman" w:hAnsi="Times New Roman"/>
          <w:sz w:val="23"/>
          <w:szCs w:val="23"/>
          <w:color w:val="auto"/>
          <w:vertAlign w:val="superscript"/>
        </w:rPr>
      </w:pPr>
    </w:p>
    <w:p>
      <w:pPr>
        <w:ind w:left="660" w:right="700" w:hanging="328"/>
        <w:spacing w:after="0" w:line="21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2024 and December 31, 2023 include an accumulated impairment loss of $351.0 million and $30.0 million, respectively.</w:t>
      </w:r>
    </w:p>
    <w:p>
      <w:pPr>
        <w:ind w:left="640" w:hanging="308"/>
        <w:spacing w:after="0" w:line="196"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2024 and December 31, 2023 include an accumulated impairment loss of $124.0 million.</w:t>
      </w:r>
    </w:p>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The Company performed the annual goodwill impairment test as of April 1, 2024.</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allocation of the Company’s total goodwill was as follows: North America $3.12 billion, Europe $3.86 billion, Emerging Markets $1.17 billion, JANZ $0.62 billion and Greater China $0.93 billion.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 of operations. The impairment charge was primarily the result of a 1.0% increase in the discount rate and a 0.5% reduction in the terminal growth rate assumption for the reporting unit.</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Company determined that the fair values of the North America, Greater China, and Emerging Markets reporting units were substantially in excess of the respective unit’s carrying value.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September 30, 2024 and December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17,187.9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17,978.9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 assets consist principally of customer lists and contractual rights.</w:t>
      </w:r>
    </w:p>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the Company recorded IPR&amp;D assets of approximately $675.0 million as part of the Idorsia Transaction.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intangible asset disposal &amp; impairment charges and IPR&amp;D intangible asset impairment charges (which are included as a component of amortization expense) are classified primarily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and were as follows for the three and nine months ended September 30,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 intangible asset impairment charges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1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intangible asset amortization expense (including disposal &amp; impairment</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0" w:type="dxa"/>
            <w:vAlign w:val="bottom"/>
          </w:tcPr>
          <w:p>
            <w:pPr>
              <w:spacing w:after="0"/>
              <w:rPr>
                <w:sz w:val="1"/>
                <w:szCs w:val="1"/>
                <w:color w:val="auto"/>
              </w:rPr>
            </w:pPr>
          </w:p>
        </w:tc>
      </w:tr>
      <w:tr>
        <w:trPr>
          <w:trHeight w:val="221"/>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w:t>
            </w:r>
          </w:p>
        </w:tc>
        <w:tc>
          <w:tcPr>
            <w:tcW w:w="3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concluded that one of its IPR&amp;D assets was fully impaired due to unfavorable clinical results and the termination of the development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2023, the Company recognized an intangible asset charge of approximately $32.0 million, which was recorded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 of operations, to write down the disposal group to fair value, less cost to sell, related to our commercialization rights in the Upjohn Distributor Markets, which were classified as held for sale.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 amortization expense over the remainder of 2024 and for the years ending December 31, 2025 through 2028 is estimated to be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and Yen borrowings and the notional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and Yen borrowings designated as net investment hedges:</w:t>
      </w:r>
    </w:p>
    <w:p>
      <w:pPr>
        <w:spacing w:after="0" w:line="11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Investment Hedge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160" w:type="dxa"/>
            <w:vAlign w:val="bottom"/>
            <w:gridSpan w:val="3"/>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2.250%</w:t>
            </w:r>
          </w:p>
        </w:tc>
        <w:tc>
          <w:tcPr>
            <w:tcW w:w="64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Euro Senior Notes due 2024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due 2024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2.125%</w:t>
            </w:r>
          </w:p>
        </w:tc>
        <w:tc>
          <w:tcPr>
            <w:tcW w:w="6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due 2025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1.362%</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3.125%</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2028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1.908%</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9"/>
        </w:trPr>
        <w:tc>
          <w:tcPr>
            <w:tcW w:w="71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forward contracts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Euro 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Yen</w:t>
            </w: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YEN Term Loan</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Yen 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3" w:lineRule="exact"/>
        <w:rPr>
          <w:sz w:val="20"/>
          <w:szCs w:val="20"/>
          <w:color w:val="auto"/>
        </w:rPr>
      </w:pPr>
    </w:p>
    <w:p>
      <w:pPr>
        <w:ind w:left="660" w:right="100" w:hanging="328"/>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de-designated €189.2 million of the 2.250% Euro Senior Notes due 2024 as net investment hedges during the third quarter of 2024 and an additional €200.0 million in October 2024.</w:t>
      </w:r>
    </w:p>
    <w:p>
      <w:pPr>
        <w:spacing w:after="0" w:line="4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 Senior Notes were repaid at maturity during the second quarter of 2024.</w:t>
      </w:r>
    </w:p>
    <w:p>
      <w:pPr>
        <w:spacing w:after="0" w:line="74" w:lineRule="exact"/>
        <w:rPr>
          <w:rFonts w:ascii="Times New Roman" w:cs="Times New Roman" w:eastAsia="Times New Roman" w:hAnsi="Times New Roman"/>
          <w:sz w:val="23"/>
          <w:szCs w:val="23"/>
          <w:color w:val="auto"/>
          <w:vertAlign w:val="superscript"/>
        </w:rPr>
      </w:pPr>
    </w:p>
    <w:p>
      <w:pPr>
        <w:ind w:left="660" w:right="720" w:hanging="328"/>
        <w:spacing w:after="0" w:line="230"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conjunction with the partial Senior Notes repayment during the third quarter of 2024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the Company de-designated the €500 million 2.125% Euro Senior Notes due 2025 as net investment hedges.</w:t>
      </w:r>
    </w:p>
    <w:p>
      <w:pPr>
        <w:spacing w:after="0" w:line="33"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principal amount of the foreign currency forward contracts at December 31, 2023 was €500 million. The contracts matured in July 2024.</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the principal amount of the Company’s outstanding Yen borrowings and the notional amount of the Yen borrowings designated as net investment hedges was $278.5 million.</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classification and fair values of derivative instruments in our condensed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20" w:type="dxa"/>
            <w:vAlign w:val="bottom"/>
            <w:tcBorders>
              <w:top w:val="single" w:sz="8" w:color="auto"/>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2024 Fair</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8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2024 Fair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8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80" w:type="dxa"/>
            <w:vAlign w:val="bottom"/>
            <w:shd w:val="clear" w:color="auto" w:fill="CCEEFF"/>
          </w:tcPr>
          <w:p>
            <w:pPr>
              <w:spacing w:after="0"/>
              <w:rPr>
                <w:sz w:val="16"/>
                <w:szCs w:val="16"/>
                <w:color w:val="auto"/>
              </w:rPr>
            </w:pPr>
          </w:p>
        </w:tc>
        <w:tc>
          <w:tcPr>
            <w:tcW w:w="18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w:t>
            </w:r>
          </w:p>
        </w:tc>
        <w:tc>
          <w:tcPr>
            <w:tcW w:w="18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9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shd w:val="clear" w:color="auto" w:fill="CCEEFF"/>
          </w:tcPr>
          <w:p>
            <w:pPr>
              <w:spacing w:after="0"/>
              <w:rPr>
                <w:sz w:val="16"/>
                <w:szCs w:val="16"/>
                <w:color w:val="auto"/>
              </w:rPr>
            </w:pPr>
          </w:p>
        </w:tc>
        <w:tc>
          <w:tcPr>
            <w:tcW w:w="18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not designated as hedges</w:t>
            </w:r>
          </w:p>
        </w:tc>
        <w:tc>
          <w:tcPr>
            <w:tcW w:w="1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gains/(losses) incurred to hedge or offset operational foreign exchange or interest rate risk: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13"/>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w:t>
            </w:r>
          </w:p>
        </w:tc>
        <w:tc>
          <w:tcPr>
            <w:tcW w:w="2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Hedging 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1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Hedging Relationships: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shd w:val="clear" w:color="auto" w:fill="CCEEFF"/>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shd w:val="clear" w:color="auto" w:fill="CCEEFF"/>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140" w:type="dxa"/>
            <w:vAlign w:val="bottom"/>
            <w:shd w:val="clear" w:color="auto" w:fill="CCEEFF"/>
          </w:tcPr>
          <w:p>
            <w:pPr>
              <w:ind w:left="80"/>
              <w:spacing w:after="0" w:line="231"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12"/>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w:t>
            </w:r>
          </w:p>
        </w:tc>
        <w:tc>
          <w:tcPr>
            <w:tcW w:w="2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Hedging 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1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8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Hedging Relationships: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8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140" w:type="dxa"/>
            <w:vAlign w:val="bottom"/>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r>
              <w:rPr>
                <w:rFonts w:ascii="Times New Roman" w:cs="Times New Roman" w:eastAsia="Times New Roman" w:hAnsi="Times New Roman"/>
                <w:sz w:val="18"/>
                <w:szCs w:val="18"/>
                <w:u w:val="single" w:color="auto"/>
                <w:color w:val="auto"/>
              </w:rPr>
              <w:t>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u w:val="single" w:color="auto"/>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8" w:lineRule="exact"/>
        <w:rPr>
          <w:sz w:val="20"/>
          <w:szCs w:val="20"/>
          <w:color w:val="auto"/>
        </w:rPr>
      </w:pPr>
    </w:p>
    <w:p>
      <w:pPr>
        <w:ind w:left="660" w:right="80" w:hanging="328"/>
        <w:spacing w:after="0" w:line="224"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September 30, 2024, the Company expects that approximately $29.0 million of pre-tax net losses on cash flow hedges will be reclassified from AOCE into earnings during the next twelve months.</w:t>
      </w:r>
    </w:p>
    <w:p>
      <w:pPr>
        <w:spacing w:after="0" w:line="4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recognized in earnings on derivatives.</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07" w:lineRule="auto"/>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reclassified from AOCE into earnings.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980" w:right="320" w:hanging="324"/>
        <w:spacing w:after="0" w:line="284" w:lineRule="auto"/>
        <w:tabs>
          <w:tab w:leader="none" w:pos="97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gives the highest priority to Level 1 inputs.</w:t>
      </w:r>
    </w:p>
    <w:p>
      <w:pPr>
        <w:spacing w:after="0" w:line="50"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rFonts w:ascii="Times New Roman" w:cs="Times New Roman" w:eastAsia="Times New Roman" w:hAnsi="Times New Roman"/>
          <w:sz w:val="18"/>
          <w:szCs w:val="18"/>
          <w:i w:val="1"/>
          <w:iCs w:val="1"/>
          <w:color w:val="auto"/>
        </w:rPr>
      </w:pPr>
    </w:p>
    <w:p>
      <w:pPr>
        <w:ind w:left="980" w:right="140" w:hanging="324"/>
        <w:spacing w:after="0" w:line="284" w:lineRule="auto"/>
        <w:tabs>
          <w:tab w:leader="none" w:pos="97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Exchange traded funds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spacing w:after="0" w:line="6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ind w:left="980" w:right="120" w:hanging="324"/>
        <w:spacing w:after="0" w:line="267" w:lineRule="auto"/>
        <w:tabs>
          <w:tab w:leader="none" w:pos="97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sources at the reporting date. Unrealized gains and losses attributable to changes in fair value are included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hanging="324"/>
        <w:spacing w:after="0" w:line="284" w:lineRule="auto"/>
        <w:tabs>
          <w:tab w:leader="none" w:pos="97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attributable to changes in fair value are included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50" w:lineRule="exact"/>
        <w:rPr>
          <w:rFonts w:ascii="Times New Roman" w:cs="Times New Roman" w:eastAsia="Times New Roman" w:hAnsi="Times New Roman"/>
          <w:sz w:val="18"/>
          <w:szCs w:val="18"/>
          <w:b w:val="1"/>
          <w:bCs w:val="1"/>
          <w:i w:val="1"/>
          <w:iCs w:val="1"/>
          <w:color w:val="auto"/>
        </w:rPr>
      </w:pPr>
    </w:p>
    <w:p>
      <w:pPr>
        <w:ind w:left="980" w:right="100" w:hanging="324"/>
        <w:spacing w:after="0" w:line="261" w:lineRule="auto"/>
        <w:tabs>
          <w:tab w:leader="none" w:pos="97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CCPS in Biocon Biologics </w:t>
      </w:r>
      <w:r>
        <w:rPr>
          <w:rFonts w:ascii="Times New Roman" w:cs="Times New Roman" w:eastAsia="Times New Roman" w:hAnsi="Times New Roman"/>
          <w:sz w:val="18"/>
          <w:szCs w:val="18"/>
          <w:color w:val="auto"/>
        </w:rPr>
        <w:t>— valued using a Monte Carlo simulation model using Level 3 inputs. The fair value of the CCPS is sensitive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changes in the forecasts of operating metrics, changes in volatility and discount rates, and share dilution. The Company elected the fair value option for the CCPS under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xml:space="preserve"> The fair value is reassessed quarterly and any change in the fair value estimate is recorded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Net </w:t>
      </w:r>
      <w:r>
        <w:rPr>
          <w:rFonts w:ascii="Times New Roman" w:cs="Times New Roman" w:eastAsia="Times New Roman" w:hAnsi="Times New Roman"/>
          <w:sz w:val="18"/>
          <w:szCs w:val="18"/>
          <w:color w:val="auto"/>
        </w:rPr>
        <w:t>in the condensed consolidated statements of operations for that period.</w:t>
      </w:r>
    </w:p>
    <w:p>
      <w:pPr>
        <w:spacing w:after="0" w:line="71" w:lineRule="exact"/>
        <w:rPr>
          <w:rFonts w:ascii="Times New Roman" w:cs="Times New Roman" w:eastAsia="Times New Roman" w:hAnsi="Times New Roman"/>
          <w:sz w:val="18"/>
          <w:szCs w:val="18"/>
          <w:b w:val="1"/>
          <w:bCs w:val="1"/>
          <w:i w:val="1"/>
          <w:iCs w:val="1"/>
          <w:color w:val="auto"/>
        </w:rPr>
      </w:pPr>
    </w:p>
    <w:p>
      <w:pPr>
        <w:ind w:left="980" w:right="380" w:hanging="324"/>
        <w:spacing w:after="0" w:line="267" w:lineRule="auto"/>
        <w:tabs>
          <w:tab w:leader="none" w:pos="97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and spot rates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to these contracts are highly rated financial institutions.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2024, the Company had a contingent consideration liability of $389.0 million related to the Idorsia Transaction. As of September 30, 2024 and December 31, 2023, the Company had a contingent consideration liability of $149.9 million and $177.6 million, respectively, related to the Respiratory Delivery Platform, and as of December 31, 2023, the Company had a contingent consideration liability of $15.8 million related to the Biocon Biologics Transaction.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September 30, 2024, discount rates ranging from 8.5% to 18.0%, and at December 31, 2023, discount rates ranging from 6.4% and 8.0% were utilized in the valuations. Significant changes in unobservable inputs could result in material changes to the contingent consideration liabilities.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2023 to September 30, 2024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Portion </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condensed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condensed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other than the CCPS, any future transacted financial asset or liability will be evaluated for the fair value election.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Viatris’ 2023 Form 10-K.</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 and Note Securitization Facility</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2025. The Company also had a $200 million Note Securitization Facility which expired in August 2024 and was not renewed.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the Receivables Facility are included as a component of short-term borrowings, while the accounts receivable securing these obligations remain as a component of accounts receivable, net, in our condensed consolidated balance sheets.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440" w:type="dxa"/>
            <w:vAlign w:val="bottom"/>
          </w:tcPr>
          <w:p>
            <w:pPr>
              <w:jc w:val="center"/>
              <w:ind w:left="3008"/>
              <w:spacing w:after="0"/>
              <w:rPr>
                <w:sz w:val="20"/>
                <w:szCs w:val="20"/>
                <w:color w:val="auto"/>
              </w:rPr>
            </w:pPr>
            <w:r>
              <w:rPr>
                <w:rFonts w:ascii="Times New Roman" w:cs="Times New Roman" w:eastAsia="Times New Roman" w:hAnsi="Times New Roman"/>
                <w:sz w:val="14"/>
                <w:szCs w:val="14"/>
                <w:b w:val="1"/>
                <w:bCs w:val="1"/>
                <w:color w:val="auto"/>
              </w:rPr>
              <w:t>Interest Rate as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40" w:type="dxa"/>
            <w:vAlign w:val="bottom"/>
          </w:tcPr>
          <w:p>
            <w:pPr>
              <w:jc w:val="center"/>
              <w:ind w:left="3008"/>
              <w:spacing w:after="0" w:line="146" w:lineRule="exact"/>
              <w:rPr>
                <w:sz w:val="20"/>
                <w:szCs w:val="20"/>
                <w:color w:val="auto"/>
              </w:rPr>
            </w:pPr>
            <w:r>
              <w:rPr>
                <w:rFonts w:ascii="Times New Roman" w:cs="Times New Roman" w:eastAsia="Times New Roman" w:hAnsi="Times New Roman"/>
                <w:sz w:val="14"/>
                <w:szCs w:val="14"/>
                <w:b w:val="1"/>
                <w:bCs w:val="1"/>
                <w:color w:val="auto"/>
              </w:rPr>
              <w:t>of September 30,</w:t>
            </w:r>
          </w:p>
        </w:tc>
        <w:tc>
          <w:tcPr>
            <w:tcW w:w="12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100" w:type="dxa"/>
            <w:vAlign w:val="bottom"/>
            <w:vMerge w:val="continue"/>
          </w:tcPr>
          <w:p>
            <w:pPr>
              <w:spacing w:after="0"/>
              <w:rPr>
                <w:sz w:val="16"/>
                <w:szCs w:val="16"/>
                <w:color w:val="auto"/>
              </w:rPr>
            </w:pPr>
          </w:p>
        </w:tc>
        <w:tc>
          <w:tcPr>
            <w:tcW w:w="4440" w:type="dxa"/>
            <w:vAlign w:val="bottom"/>
          </w:tcPr>
          <w:p>
            <w:pPr>
              <w:jc w:val="center"/>
              <w:ind w:left="30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2.250 %</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(a) ****</w:t>
            </w:r>
          </w:p>
        </w:tc>
        <w:tc>
          <w:tcPr>
            <w:tcW w:w="3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1.023 %</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(b)*</w:t>
            </w:r>
          </w:p>
        </w:tc>
        <w:tc>
          <w:tcPr>
            <w:tcW w:w="3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2.125 %</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54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26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(b)*</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2.125 %</w:t>
            </w:r>
          </w:p>
        </w:tc>
        <w:tc>
          <w:tcPr>
            <w:tcW w:w="3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(b)***</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1.650 %</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(b)**</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1.362 %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1.908 %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3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4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5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Variable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4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2024 Euro Senior Notes were repaid at maturity in the second quarter of 2024.</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Senior Notes Repayment</w:t>
      </w:r>
      <w:r>
        <w:rPr>
          <w:rFonts w:ascii="Times New Roman" w:cs="Times New Roman" w:eastAsia="Times New Roman" w:hAnsi="Times New Roman"/>
          <w:sz w:val="18"/>
          <w:szCs w:val="18"/>
          <w:color w:val="auto"/>
        </w:rPr>
        <w:t xml:space="preserve"> section below for additional details.</w:t>
      </w:r>
    </w:p>
    <w:p>
      <w:pPr>
        <w:spacing w:after="0" w:line="6" w:lineRule="exact"/>
        <w:rPr>
          <w:sz w:val="20"/>
          <w:szCs w:val="20"/>
          <w:color w:val="auto"/>
        </w:rPr>
      </w:pPr>
    </w:p>
    <w:p>
      <w:pPr>
        <w:ind w:left="500" w:hanging="168"/>
        <w:spacing w:after="0"/>
        <w:tabs>
          <w:tab w:leader="none" w:pos="5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originally issued by Mylan N.V.; now held by Utah Acquisition Sub Inc.</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Viatris Inc.</w:t>
      </w:r>
    </w:p>
    <w:p>
      <w:pPr>
        <w:spacing w:after="0" w:line="56"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Notes Repayment</w:t>
      </w:r>
    </w:p>
    <w:p>
      <w:pPr>
        <w:spacing w:after="0" w:line="227"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On September 16, 2024, Viatris and Mylan Inc. completed cash tender offers for their then-outstanding 1.650% Senior Notes due 2025 (the “2025 Senior Notes”) and 2.125% Senior Notes due 2025 (the “2025 Euro Senior Notes”), respectively. Viatris paid $422.3 million to repurchase $432.0 million aggregate principal amount of the 2025 Senior Notes at a repurchase price equal to 97.8% of the aggregate principal amount of the 2025 Senior Notes accepted for tender, and also paid accrued and unpaid interest. Mylan Inc. paid €206.9 million to repurchase €208.1 million aggregate principal amount of the 2025 Euro Senior Notes at a repurchase price equal to 99.4% of the aggregate principal amount of the 2025 Euro Senior Notes accepted for tender, and also paid accrued and unpaid interest. On September 20, 2024, Utah Acquisition Sub Inc. also completed a cash tender offer for its then-outstanding</w:t>
      </w:r>
    </w:p>
    <w:p>
      <w:pPr>
        <w:spacing w:after="0" w:line="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3.950% Senior Notes due 2026 (the “2026 Senior Notes” and, together with the 2025 Senior Notes and the 2025 Euro Senior Notes, the “Senior Notes”) and paid $572.5 million to repurchase $575.0 million aggregate principal amount at a repurchase price equal to 99.6% of the aggregate principal amount of the 2026 Senior Notes accepted for tender, and also paid accrued and unpaid interest.</w:t>
      </w:r>
    </w:p>
    <w:p>
      <w:pPr>
        <w:spacing w:after="0" w:line="21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September 16, 2024, after completing the tender offer, the Company irrevocably deposited with the trustee under the indenture governing the 2025 Senior Notes, U.S. government obligations in an amount sufficient to fund the payment of accrued and unpaid interest and the remaining</w:t>
      </w:r>
    </w:p>
    <w:p>
      <w:pPr>
        <w:spacing w:after="0" w:line="253" w:lineRule="auto"/>
        <w:rPr>
          <w:sz w:val="20"/>
          <w:szCs w:val="20"/>
          <w:color w:val="auto"/>
        </w:rPr>
      </w:pPr>
      <w:r>
        <w:rPr>
          <w:rFonts w:ascii="Times New Roman" w:cs="Times New Roman" w:eastAsia="Times New Roman" w:hAnsi="Times New Roman"/>
          <w:sz w:val="18"/>
          <w:szCs w:val="18"/>
          <w:color w:val="auto"/>
        </w:rPr>
        <w:t>$318.0 million aggregate principal amount as it becomes due. After the deposit of such funds with the trustee, the Company’s obligations under the 2025 Senior Notes Indenture with respect to the 2025 Senior Notes were satisfied and discharged. In addition, on September 16, 2024, after completing the tender offer, Mylan Inc. issued a notice of redemption for the remaining €291.9 million aggregate principal amount of the 2025 Euro Senior Notes and such redemption was completed on October 16, 2024.</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tender offers and satisfaction and discharge of the Senior Notes were completed using cash and cash equivalents on hand and accounted for as a debt extinguishment. The total gain recognized on the debt extinguishment (net of the write off of related unamortized deferred financing fees) for the three and nine months ended September 30, 2024 was $16.7 million and is included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Revolving Facility</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September 27, 2024, Viatris entered into a $3.5 billion amended and restated revolving credit agreement (the “2024 Revolving Facility”) with a syndicate of banks. The 2024 Revolving Facility amended and restated the 2021 Revolving Facility. The 2024 Revolving Facility has substantially identical terms to the 2021 Revolving Facility with the following exceptions: 1) the maturity of the 2024 Revolving Facility is September 2029 and 2) the pricing was adjusted to reflect current market prices.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2024 Revolving Facility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require maintenance of a Maximum Leverage Ratio no greater than 3.75 to 1.00 as of the last day of any fiscal quarter,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the aggregate fair value of the Company’s outstanding notes was approximately $13.40 billion and $15.25 billion, respectively. The fair values of the outstanding notes were valued at quoted market prices from broker or dealer quotations and were classified as Level 2 in the fair value hierarchy.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September 30, 2024 were as follows for each of the periods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10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1"/>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Euro Senior Notes were fully redeemed on October 16, 2024.</w:t>
      </w:r>
    </w:p>
    <w:p>
      <w:pPr>
        <w:spacing w:after="0" w:line="200" w:lineRule="exact"/>
        <w:rPr>
          <w:rFonts w:ascii="Times New Roman" w:cs="Times New Roman" w:eastAsia="Times New Roman" w:hAnsi="Times New Roman"/>
          <w:sz w:val="23"/>
          <w:szCs w:val="23"/>
          <w:color w:val="auto"/>
          <w:vertAlign w:val="superscript"/>
        </w:rPr>
      </w:pPr>
    </w:p>
    <w:p>
      <w:pPr>
        <w:spacing w:after="0" w:line="29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condensed consolidated balance sheets, is comprised of the following: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 fixed income securities, net of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and prior service cost related to defined benefit plans,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loss on derivatives in cash flow hedging relationships, net of tax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net investment hedging relationships,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Components of accumulated other comprehensive loss, before tax, consist of the following, for the three and nine months ended September 30, 2024 and 2023: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6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0" w:type="dxa"/>
            <w:vAlign w:val="bottom"/>
          </w:tcPr>
          <w:p>
            <w:pPr>
              <w:spacing w:after="0"/>
              <w:rPr>
                <w:sz w:val="12"/>
                <w:szCs w:val="12"/>
                <w:color w:val="auto"/>
              </w:rPr>
            </w:pPr>
          </w:p>
        </w:tc>
        <w:tc>
          <w:tcPr>
            <w:tcW w:w="10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156"/>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cash flow hedges, included in other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155"/>
        </w:trPr>
        <w:tc>
          <w:tcPr>
            <w:tcW w:w="32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 other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net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32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56"/>
        </w:trPr>
        <w:tc>
          <w:tcPr>
            <w:tcW w:w="32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divestiture of defined pension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plan 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divestiture of defined pension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plan 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who evaluates the performance of its segments based on total revenues and segment profitability.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 and impairments of goodwill and long-lived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Acquired IPR&amp;D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117" w:lineRule="exact"/>
        <w:rPr>
          <w:rFonts w:ascii="Times New Roman" w:cs="Times New Roman" w:eastAsia="Times New Roman" w:hAnsi="Times New Roman"/>
          <w:sz w:val="18"/>
          <w:szCs w:val="18"/>
          <w:color w:val="auto"/>
        </w:rPr>
      </w:pPr>
    </w:p>
    <w:p>
      <w:pPr>
        <w:ind w:left="660" w:right="20" w:firstLine="320"/>
        <w:spacing w:after="0" w:line="255"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divestitures, and, as applicable, any associated transition activities.</w:t>
      </w:r>
    </w:p>
    <w:p>
      <w:pPr>
        <w:spacing w:after="0" w:line="80" w:lineRule="exact"/>
        <w:rPr>
          <w:rFonts w:ascii="Times New Roman" w:cs="Times New Roman" w:eastAsia="Times New Roman" w:hAnsi="Times New Roman"/>
          <w:sz w:val="18"/>
          <w:szCs w:val="18"/>
          <w:color w:val="auto"/>
        </w:rPr>
      </w:pPr>
    </w:p>
    <w:p>
      <w:pPr>
        <w:ind w:left="660" w:right="20" w:firstLine="320"/>
        <w:spacing w:after="0" w:line="258"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 chief operating decision maker.</w:t>
      </w:r>
    </w:p>
    <w:p>
      <w:pPr>
        <w:spacing w:after="0" w:line="160"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2023 Form 10-K.</w:t>
      </w:r>
    </w:p>
    <w:p>
      <w:pPr>
        <w:spacing w:after="0" w:line="16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Segment Profitability</w:t>
            </w:r>
          </w:p>
        </w:tc>
      </w:tr>
      <w:tr>
        <w:trPr>
          <w:trHeight w:val="211"/>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Segment Profitability</w:t>
            </w:r>
          </w:p>
        </w:tc>
      </w:tr>
      <w:tr>
        <w:trPr>
          <w:trHeight w:val="211"/>
        </w:trPr>
        <w:tc>
          <w:tcPr>
            <w:tcW w:w="4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including those related to the Idorsia Transaction. Refer to Note 11 </w:t>
      </w:r>
      <w:r>
        <w:rPr>
          <w:rFonts w:ascii="Times New Roman" w:cs="Times New Roman" w:eastAsia="Times New Roman" w:hAnsi="Times New Roman"/>
          <w:sz w:val="18"/>
          <w:szCs w:val="18"/>
          <w:i w:val="1"/>
          <w:iCs w:val="1"/>
          <w:color w:val="auto"/>
        </w:rPr>
        <w:t>Financial Instruments and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discussion of contingent consideration.</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Our potential maximum development milestones not accrued for at September 30, 2024 totaled approximately $412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estimate that the amounts that may be paid through the end of 2024 to be approximately $8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Mapi</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2018, the Company entered into an exclusive license and commercialization agreement with Mapi for the development and commercialization on a world-wide basis of GA Depot. Under the terms of the license and commercialization agreement, as of September 30, 2024, Mapi is eligible to receive regulatory approval and commercial launch milestone payments of up to $90.0 million. Additionally, upon commercial launch of GA Depot, Mapi is eligible to receive potential contingent payments, such as tiered royalties and tiered sales-based milestones.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 xml:space="preserve">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 w:cs="Times New Roman" w:eastAsia="Times New Roman" w:hAnsi="Times New Roman"/>
          <w:sz w:val="17"/>
          <w:szCs w:val="17"/>
          <w:i w:val="1"/>
          <w:iCs w:val="1"/>
          <w:color w:val="auto"/>
        </w:rPr>
        <w:t>Acquired IPR&amp;D</w:t>
      </w:r>
      <w:r>
        <w:rPr>
          <w:rFonts w:ascii="Times New Roman" w:cs="Times New Roman" w:eastAsia="Times New Roman" w:hAnsi="Times New Roman"/>
          <w:sz w:val="17"/>
          <w:szCs w:val="17"/>
          <w:color w:val="auto"/>
        </w:rPr>
        <w:t xml:space="preserve"> expense in the consolidated statements of operations during the fourth quarter of 2023.</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was informed that Mapi received a Complete Response Letter (“CRL”) regarding the NDA for GA Depot 40 mg from the FDA. The Companies are reviewing the content of the CRL and will be determining the appropriate next steps.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holds investments in preferred shares of Mapi that are accounted for at cost, less impairment, if any, adjusted for observable price changes,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During the second quarter of 2023, the Company made an additional investment of $30.0 million in preferred shares of Mapi. The preferred shares are convertible on a one-to-one basis into Mapi ordinary shares at Viatris’ option. The Company recognized a gain of $45.6 million during the second quarter of 2023 as a result of remeasuring our pre-existing equity interest in Mapi, which was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condensed consolidated financial statements.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 of each of September 30, 2024 and December 31, 2023, our condensed consolidated balance sheets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$132.1 million related to our equity investments in Mapi, which included cumulative unrealized gains of $62.1 million, and within </w:t>
      </w:r>
      <w:r>
        <w:rPr>
          <w:rFonts w:ascii="Times New Roman" w:cs="Times New Roman" w:eastAsia="Times New Roman" w:hAnsi="Times New Roman"/>
          <w:sz w:val="17"/>
          <w:szCs w:val="17"/>
          <w:i w:val="1"/>
          <w:iCs w:val="1"/>
          <w:color w:val="auto"/>
        </w:rPr>
        <w:t>Prepaid Expenses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Current Assets</w:t>
      </w:r>
      <w:r>
        <w:rPr>
          <w:rFonts w:ascii="Times New Roman" w:cs="Times New Roman" w:eastAsia="Times New Roman" w:hAnsi="Times New Roman"/>
          <w:sz w:val="17"/>
          <w:szCs w:val="17"/>
          <w:color w:val="auto"/>
        </w:rPr>
        <w:t>, $52.5 million related to advances, including for initial orders of commercial launch supply of GA Depot under our supply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Mapi. Our maximum exposure to loss as a result of our involvement with Mapi is limited to the carrying value of the investments and advances.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other significant changes to our licensing and other partner agreements as disclosed in our 2023 Form 10-K.</w:t>
      </w:r>
    </w:p>
    <w:p>
      <w:pPr>
        <w:spacing w:after="0" w:line="200" w:lineRule="exact"/>
        <w:rPr>
          <w:sz w:val="20"/>
          <w:szCs w:val="20"/>
          <w:color w:val="auto"/>
        </w:rPr>
      </w:pPr>
    </w:p>
    <w:p>
      <w:pPr>
        <w:spacing w:after="0" w:line="264" w:lineRule="exact"/>
        <w:rPr>
          <w:sz w:val="20"/>
          <w:szCs w:val="20"/>
          <w:color w:val="auto"/>
        </w:rPr>
      </w:pPr>
    </w:p>
    <w:p>
      <w:pPr>
        <w:ind w:left="660" w:right="9080" w:hanging="652"/>
        <w:spacing w:after="0" w:line="532" w:lineRule="auto"/>
        <w:tabs>
          <w:tab w:leader="none" w:pos="331"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b w:val="1"/>
          <w:bCs w:val="1"/>
          <w:i w:val="1"/>
          <w:iCs w:val="1"/>
          <w:color w:val="auto"/>
        </w:rPr>
        <w:t>Legislative Updates</w:t>
      </w:r>
    </w:p>
    <w:p>
      <w:pPr>
        <w:spacing w:after="0" w:line="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our condensed consolidated balance sheets as of September 30, 2024 and December 31, 2023. The share repurchase and authorization amounts otherwise disclosed in this Form 10-Q exclude the excise tax. The Company does not anticipate being subject to the 15% CAMT tax in either 2023 or 2024 based on enacted law and regulatory guidance; however, our CAMT status could change in the future, depending on new regulations or regulatory guidance issued by the U.S. Department of the Treasury.</w:t>
      </w:r>
    </w:p>
    <w:p>
      <w:pPr>
        <w:spacing w:after="0" w:line="21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many countries are actively considering or have proposed or enacted changes to their tax laws based on the Pillar Two Global Anti-Base Erosion Rules (“Pillar Two Rules”) proposed by the OECD.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the impact of the Pillar Two Rules in the countries that have enacted such rules effective January 1, 2024, is not material to our results of operations for the three and nine months ended September 30, 2024. While the Company is monitoring developments and evaluating the potential impact on future periods, we do not expect Pillar Two Rules to have a significant impact on the 2024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Examinations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ongoing IRS examinations. The years 2020 through 2022 are open years, with 2020 and 2021 under examination.</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Australia, the tax authorities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commenced litigation in the Australian Federal Court challenging those decisions. A trial took place in October 2023 and on March 20, 2024, the Court issued a decision in favor of the Company. The tax authorities did not appeal the Court decision. The Company made a partial payment of $56.0 million in 2021 and $5.2 million in 2022 in order to stay potential interest and penalties resulting from this litigation, which has been refunded.</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6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2023 due to the terms of this agreement. The remaining issues are in the audit phase or are being challenged in the Indian tax courts.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 has filed a petition seeking review of the decision to the Supreme Administrative Court.</w:t>
      </w:r>
    </w:p>
    <w:p>
      <w:pPr>
        <w:spacing w:after="0" w:line="21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recorded a net reserve for uncertain tax positions of $266.7 million and $287.1 million, including interest and penalties, in connection with its international audits at September 30, 2024 and December 31, 2023, respectively. In connection with our international tax audits, it is possible that we will incur material losses above the amounts reserved.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U.S. state taxing jurisdictions remain open from fiscal year 2013 through 2022, with several state audits currently in progress. The Company’s major international taxing jurisdictions remain open from 2012 through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Litigation</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 Litigation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A trial is currently scheduled to begin in July 2026.</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Class certification was denied.</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received a civil subpoena from the Attorney General of the State of Mississippi seeking information relating to the sales and/or marketing of EpiPen® Auto-Injector. The Company is fully cooperating with this request and has communicated with certain other State Attorneys General regarding related issues. The issues covered in the Mississippi subpoena and the communications with certain other States generally relate to issues from litigations and/or investigations that have been previously disclosed, including the indirect purchaser class action that was resolved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total accrual of approximately $5.5 million related to these matters at September 30, 2024,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Pricing Matters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Department of Justice</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Beginning in December 2015, the Company received subpoenas from the Antitrust Division of the DOJ seeking information relating to the marketing, pricing, and sale of certain of our generic products and any communications with competitors about such products.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May 10, 2018, the Company received a civil investigative demand from the Civil Division of the DOJ seeking information relating to the pricing and sale of its generic drug products.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had fully cooperated with these investigations, which we believe were related to a broader industry-wide investigation of the generic pharmaceutical industry. The Antitrust Division of the DOJ has advised that it no longer considers the Company, and its former President, a subject of its antitrust investigation. The Civil Division of the DOJ has also informed the Company that it does not expect to take any further actions in connection with its civil investigative demand.</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and class certification and summary judgment motions are pending.</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forty-three states, the District of Columbia and the Commonwealth of Puerto Rico. The Company is alleged to have engaged in anticompetitive conduct with respect to four generic drug products. The amended complaint also includes claims asserted by attorneys general of thirty-three states and the Commonwealth of Puerto Rico against certain individuals, including the Company’s former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forty-four states, certain territories and the District of Columbia. The amended complaint also includes claims asserted by attorneys general of thirty-nine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was transferred to the aforementioned MDL proceeding in the EDPA.</w:t>
      </w:r>
    </w:p>
    <w:p>
      <w:pPr>
        <w:spacing w:after="0" w:line="21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forty-three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was transferred to the aforementioned MDL proceeding in the EDPA and was ordered to proceed as a bellwether.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aforementioned complaints have now been transferred back to the U.S. District Court for the District of Connecticut.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color w:val="auto"/>
        </w:rPr>
        <w:t>Purported class action complaints were filed in October 2016 against Mylan N.V. and Mylan Inc. (collectively, for the purposes of this paragraph,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203" w:lineRule="exact"/>
        <w:rPr>
          <w:sz w:val="20"/>
          <w:szCs w:val="20"/>
          <w:color w:val="auto"/>
        </w:rPr>
      </w:pPr>
    </w:p>
    <w:p>
      <w:pPr>
        <w:ind w:right="240" w:firstLine="648"/>
        <w:spacing w:after="0" w:line="290" w:lineRule="auto"/>
        <w:rPr>
          <w:sz w:val="20"/>
          <w:szCs w:val="20"/>
          <w:color w:val="auto"/>
        </w:rPr>
      </w:pPr>
      <w:r>
        <w:rPr>
          <w:rFonts w:ascii="Times New Roman" w:cs="Times New Roman" w:eastAsia="Times New Roman" w:hAnsi="Times New Roman"/>
          <w:sz w:val="17"/>
          <w:szCs w:val="17"/>
          <w:color w:val="auto"/>
        </w:rPr>
        <w:t>The operative complaint was the third amended consolidated complaint, which was filed on June 17, 2019, and contained the allegations as described above against Mylan, certain of Mylan’s former directors and officers, and certain of the Company’s current directors, officers, and employees</w:t>
      </w:r>
    </w:p>
    <w:p>
      <w:pPr>
        <w:ind w:right="80"/>
        <w:spacing w:after="0" w:line="255" w:lineRule="auto"/>
        <w:rPr>
          <w:sz w:val="20"/>
          <w:szCs w:val="20"/>
          <w:color w:val="auto"/>
        </w:rPr>
      </w:pPr>
      <w:r>
        <w:rPr>
          <w:rFonts w:ascii="Times New Roman" w:cs="Times New Roman" w:eastAsia="Times New Roman" w:hAnsi="Times New Roman"/>
          <w:sz w:val="18"/>
          <w:szCs w:val="18"/>
          <w:color w:val="auto"/>
        </w:rPr>
        <w:t>(collectively, for purposes of this paragraph, the “defendants”). A class was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sought damages and costs and expenses, including attorneys’ fees and expert costs. On March 30, 2023, the Court dismissed all of Plaintiffs’ claims by granting Defendants’ motion for summary judgment and denying Plaintiffs’ cross-motion for partial summary judgment. Plaintiffs’ appeals to the U.S. Court of Appeals for the Second Circuit were rejected and the SDNY’s decision dismissing Plaintiffs’ claims was affirmed. Plaintiffs’ petition seeking review by the U.S. Supreme Court was also denied, which concludes this matter.</w:t>
      </w:r>
    </w:p>
    <w:p>
      <w:pPr>
        <w:spacing w:after="0" w:line="21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April 30, 2017, a similar lawsuit was filed in the Tel Aviv District Court (Economic Division) in Israel (“Israel Litigation”), which had been stayed pending a decision in the SDNY Class Action Litigation. The Israel Litigation was dismissed by the Court.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alleged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sought monetary damages, reasonable costs and expenses, and certain other equitable and injunctive relief. The Court has approved the settlement to fully resolve this matter.</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have filed an appeal to the United States Court of Appeal for the Third Circuit.</w:t>
      </w:r>
    </w:p>
    <w:p>
      <w:pPr>
        <w:spacing w:after="0" w:line="21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jc w:val="both"/>
        <w:ind w:right="340" w:firstLine="648"/>
        <w:spacing w:after="0" w:line="281" w:lineRule="auto"/>
        <w:rPr>
          <w:sz w:val="20"/>
          <w:szCs w:val="20"/>
          <w:color w:val="auto"/>
        </w:rPr>
      </w:pPr>
      <w:r>
        <w:rPr>
          <w:rFonts w:ascii="Times New Roman" w:cs="Times New Roman" w:eastAsia="Times New Roman" w:hAnsi="Times New Roman"/>
          <w:sz w:val="17"/>
          <w:szCs w:val="17"/>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January 13, 2023, the Company received a civil subpoena from the Attorney General of the State of New York seeking information relating to opioids manufactured, marketed, or sold by the Company and related subject matter. Beginning in January 2024, the Company has received similar subpoenas from the Attorneys General of Alaska, Oregon, Utah, Maryland, and Louisiana. The Company is fully cooperating with these subpoena requests.</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accrued approximately $270 million in connection with the possible resolution of certain of these matters at September 30, 2024,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Citalopram</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€11.8 million as of September 30, 2024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Perindopril</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received a notice from an organization representing health insurers in the Netherlands stating an intention to commence follow-on litigation and asserting monetary damages. Also, bodies of national health authorities in England, Wales, Scotland, and Northern Ireland served a claim in the English High Court against Servier, seeking monetary damages, plus interest, purportedly arising from the settlement agreements. Servier plans to seek to have all of the generic companies, including the Company, joined as defendants in this litigation.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accrued approximately $65.9 million as of September 30, 2024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 immediately appealed to the U.S. Court of</w:t>
      </w:r>
    </w:p>
    <w:p>
      <w:pPr>
        <w:spacing w:after="0" w:line="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9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approximately $5.4 million accrued related to its intellectual property matters at September 30, 2024. It is reasonably possible that we may incur additional losses and fees but we cannot estimate a range of such reasonably possible losses or legal fees related to these claims at this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Yupelri</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 The actions filed in Delaware, North Carolina and Pennsylvania have been dismissed and the remaining actions will proceed in New Jersey. The Company has entered into settlement agreements with Teva, Accord, Orbicular, Lupin, and Qilu granting licenses to commercialize their generic versions of Yupelri® in April 2039 or earlier depending on certain circumstances. Three ANDA filers remain in the litigation.</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Tyrvaya</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In March 2024, Oyster Point filed an amended complaint asserting infringement with respect to four additional patents that were recently listed in the Orange Book for Tyrvaya® and also have expiration dates in October 2035.</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Amitiza</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Beginning in April 2024, Sawai filed challenges with the JPO with respect to the 12µg strength, asserting invalidity of patent term extensions of five additional patents expiring in October 2025, September 2026, August 2027, November 2027, and December 2028, and challenged the validity of the August 2027 patent itself.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including commercial, contractual, employment, or other similar matters that are considered normal to its business. The Company has approximately $8 million accrued related to these various other legal proceedings at September 30,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Viatris Inc.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subsidiaries for the periods presented. Unless context requires otherwise, the “Company,” “Viatris,” “our” or “we” refer to Viatris Inc. and its subsidiaries.</w:t>
      </w:r>
    </w:p>
    <w:p>
      <w:pPr>
        <w:spacing w:after="0" w:line="21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2023 Form 10-K, the unaudited interim financial statements and related Notes included in Part I — Item 1 of this Form 10-Q and our other SEC filings and public disclosures. The interim results of operations and comprehensive loss for the three and nine months ended September 30, 2024, and cash flows for the nine months ended September 30, 2024 are not necessarily indicative of the results to be expected for the full fiscal year or any other future period.</w:t>
      </w:r>
    </w:p>
    <w:p>
      <w:pPr>
        <w:spacing w:after="0" w:line="17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announced and completed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2" w:lineRule="exact"/>
        <w:rPr>
          <w:sz w:val="20"/>
          <w:szCs w:val="20"/>
          <w:color w:val="auto"/>
        </w:rPr>
      </w:pPr>
    </w:p>
    <w:p>
      <w:pPr>
        <w:ind w:left="660" w:right="280" w:hanging="328"/>
        <w:spacing w:after="0" w:line="23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w:t>
      </w:r>
    </w:p>
    <w:p>
      <w:pPr>
        <w:ind w:left="660" w:right="160" w:hanging="328"/>
        <w:spacing w:after="0" w:line="22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w:t>
      </w:r>
    </w:p>
    <w:p>
      <w:pPr>
        <w:ind w:left="660" w:right="240" w:hanging="328"/>
        <w:spacing w:after="0" w:line="219"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divestitures, failure to realize the total transaction values or proceeds, including as a result of any purchase price adjustment or a failure to achieve any conditions to the payment of any contingent consideration;</w:t>
      </w:r>
    </w:p>
    <w:p>
      <w:pPr>
        <w:ind w:left="660" w:hanging="328"/>
        <w:spacing w:after="0" w:line="23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or impairment charges or other losses, including but not limited to related to the divestiture or sale of businesses or assets;</w:t>
      </w:r>
    </w:p>
    <w:p>
      <w:pPr>
        <w:ind w:left="660" w:hanging="328"/>
        <w:spacing w:after="0" w:line="23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w:t>
      </w: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right="20" w:hanging="328"/>
        <w:spacing w:after="0" w:line="23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motivate and retain key personnel;</w:t>
      </w: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right="700" w:hanging="328"/>
        <w:spacing w:after="0" w:line="22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spacing w:after="0" w:line="1" w:lineRule="exact"/>
        <w:rPr>
          <w:rFonts w:ascii="Times New Roman" w:cs="Times New Roman" w:eastAsia="Times New Roman" w:hAnsi="Times New Roman"/>
          <w:sz w:val="18"/>
          <w:szCs w:val="18"/>
          <w:color w:val="auto"/>
        </w:rPr>
      </w:pPr>
    </w:p>
    <w:p>
      <w:pPr>
        <w:ind w:left="660" w:right="680" w:hanging="328"/>
        <w:spacing w:after="0" w:line="219"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ind w:left="660" w:right="280" w:hanging="328"/>
        <w:spacing w:after="0" w:line="22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1" w:lineRule="exact"/>
        <w:rPr>
          <w:rFonts w:ascii="Times New Roman" w:cs="Times New Roman" w:eastAsia="Times New Roman" w:hAnsi="Times New Roman"/>
          <w:sz w:val="18"/>
          <w:szCs w:val="18"/>
          <w:color w:val="auto"/>
        </w:rPr>
      </w:pPr>
    </w:p>
    <w:p>
      <w:pPr>
        <w:ind w:left="660" w:right="300" w:hanging="328"/>
        <w:spacing w:after="0" w:line="219"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ind w:left="660" w:hanging="328"/>
        <w:spacing w:after="0" w:line="23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IT systems;</w:t>
      </w: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560" w:hanging="328"/>
        <w:spacing w:after="0" w:line="23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ind w:left="660" w:hanging="328"/>
        <w:spacing w:after="0" w:line="219"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40" w:hanging="328"/>
        <w:spacing w:after="0" w:line="22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3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2023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Viatris is a global healthcare company which we believe is 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Viatris’ executive management team is focused on ensuring that the Company is optimally structured and efficiently resourced to deliver sustainable value to patients, shareholders, customers and other key stakeholders.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is comprised of approved molecules across a wide range of key therapeutic areas, including globally recognized iconic and key brands and generics, including complex products. The Company operates approximately 26 manufacturing and packaging sites worldwide that produce oral solid doses, injectables, complex dosage forms and API, with a global workforce of approximately 32,000. Viatris is headquartered in the U.S., with global centers in Pittsburgh, Pennsylvania, Shanghai, China and Hyderabad, India.</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27"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process of obtaining regulatory approval to manufacture and market new branded and generic pharmaceutical products is rigorous, time consuming, costly, and inherently unpredictable. Complex products are more difficult, costly and time-consuming to receive regulatory approval for and bring to market.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spacing w:after="0" w:line="210"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depending on certain factors – including decisions by Japanese regulatory and/or patent authorities – generic entry may occur for Amitiza® 24 μg in Japan in June or December 2025.</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spacing w:after="0" w:line="18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and staffing challenges and other economic considerations, supply chain disruptions, foreign currency exchange fluctuations, public health epidemics, changes in intellectual property legal protections and other regulatory changes.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Lexicon Licensing Agreement</w:t>
      </w:r>
    </w:p>
    <w:p>
      <w:pPr>
        <w:spacing w:after="0" w:line="11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October 2024, the Company announced that it had entered into an exclusive licensing agreement with Lexicon Pharmaceuticals, Inc. (“Lexicon”) for sotagliflozin in all markets outside of the United States and Europe in exchange for an upfront payment of $25 million, and additional potential contingent payments, including regulatory milestones, sales milestones and tiered royalties ranging from low-double-digit to upper-teens on annual net sales. Viatris will be responsible for all regulatory and commercialization activities for sotagliflozin in the licensed territories. Lexicon will be responsible for providing clinical and commercial supply of sotagliflozin to Viatris. The Company currently expects to account for the transaction as an asset acquisition, with the upfront payment being expensed as in-process research and development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Idorsia Acquisition</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March 15, 2024, the Company acquired the development programs and certain personnel related to selatogrel and cenerimod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 Viatris and Idorsia are both contributing to the development costs for both programs, which are expected to be incurred through 2026. 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in Part I, Item 1 of this Form 10-Q for more information.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was primarily related to our oral and injectable contraceptives and did not include all of our women’s healthcare related products; as an example, our Xulane® product in the U.S. was excluded. The transaction to divest the Company’s rights to two women’s healthcare products in certain countries closed in December 2023 (other than in the U.K.), and the divestiture of the women’s healthcare business closed in March 2024. In the third quarter of 2024, the Company closed the divestiture of the product rights in the U.K. The divestitures of the commercialization rights in certain of the Upjohn Distributor Markets closed during 2023 and 2024, the divestiture of our API business in India closed in June 2024, and the OTC Transaction closed in July 2024.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nine months ended September 30, 2024 and 2023, the Company repurchased approximately 19.2 million shares of common stock at a cost of approximately $250 million, and approximately 21.2 million shares of common stock at a cost of approximately $250 million, respectively, under the program. As of September 30,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Company’s financial results for the three and nine months ended September 30, 2024 compared to the prior year period: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449"/>
        </w:trPr>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Use of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2024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20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Developed Markets </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Emerging Markets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(3)(5)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right="400" w:hanging="328"/>
        <w:spacing w:after="0" w:line="229"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Reductions were driven primarily by the inclusion of net sales in the prior year period related to divestitures that have closed during 2023 and 2024.</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September 30, 2024, other revenues in Developed Markets, Greater China, JANZ, and Emerging Markets were approximately $9.5 million, $0.4 million, $1.2 million, and $2.1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Viatris reported total revenues of $3.75 billion, compared to $3.94 billion for the comparable prior year period, representing a decrease of $190.7 million, or 5%. Total revenues include both net sales and other revenues from third parties. Net sales for the current quarter were $3.74 billion, compared to $3.93 billion for the comparable prior year period, representing a decrease of $195.9 million, or 5%. Other revenues for the current quarter were $13.2 million, compared to $8.0 million for the comparable prior year period.</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Net sales decreased by approximately $290.7 million or 7% due to the inclusion of net sales in the prior year period related to divestitures that have closed during 2023 and 2024. The decrease in net sales was also partially driven by the unfavorable impact of foreign currency translation of approximately $14.6 million, or less than 1%, primarily reflecting changes in the U.S. Dollar as compared to the currencies of subsidiaries in Japan and countries in Emerging Markets. Additionally, on a constant currency basis, net sales from the remaining business increased by approximately $109.4 million, or 3%, for the three months ended September 30, 2024 compared to the prior year period. The increase was driven by new product sales, primarily in Developed Markets, of approximately $133.1 million. New product sales include new products launched in 2024 and the carryover impact of new products, including business development, launched within the last twelve months. This increase was partially offset by base business erosion of approximately $23.7 million.</w:t>
      </w:r>
    </w:p>
    <w:p>
      <w:pPr>
        <w:spacing w:after="0" w:line="21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36% and 35% for the three months ended September 30, 2024 and 2023,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Net sales from Developed Markets decreased by $109.8 million or 5% during the three months ended September 30, 2024 when compared to the prior year period. Net sales decreased by approximately $184.7 million or 8% due to the inclusion of net sales in the prior year period related to divestitures that have closed during 2023 and 2024. The favorable impact of foreign currency translation was approximately $15.4 million, or less than 1%. Constant currency net sales from the remaining business increased by approximately $59.5 million or 2% when compared to the prior year period. New product sales throughout Developed Markets, combined with the stability of our existing product portfolio, helped to offset the anticipated lower net sales of certain existing products within the U.S., including EpiPen® Auto-Injector, as a result of lower pricing due to additional competition and increased utilization within government channels. Net sales within North America totaled approximately $990.6 million and net sales within Europe totaled approximately $1.31 billion.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$13.4 million or 2% for the three months ended September 30, 2024 when compared to the prior year period. The unfavorable impact of foreign currency translation was approximately $1.9 million. Constant currency net sales increased by approximately $15.3 million or 3% when compared to the prior year period, driven by higher volumes of existing products. Divestitures did not have a significant impact on the net sales for the current quarter.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sales from JANZ increased by $9.8 million or 3% for the three months ended September 30, 2024 when compared to the prior year period. The unfavorable impact of foreign currency translation was approximately $9.8 million, or 3%. In addition, net sales decreased by approximately $6.5 million, or 2%, due to the inclusion of net sales in the prior year period related to divestitures that have closed during 2023 and 2024. Constant currency net sales from the remaining business increased by approximately $26.1 million, or 8%, when compared to the prior year period, driven primarily by new product sales in Australia and volume growth of our promoted brands in Japan. This increase was partially offset by lower net sales of existing products mainly driven by lower pricing in Japan as a result of government price reductions and additional competition.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Net sales from Emerging Markets decreased by $109.3 million or 17% for the three months ended September 30, 2024 when compared to the prior year period. Net sales decreased by approximately $99.5 million, or 15%, due to the inclusion of net sales in the prior year period related to divestitures that have closed during 2023 and 2024. The decrease in net sales was also partially driven by the unfavorable impact of foreign currency translation of approximately $18.3 million, or 3%. Constant currency net sales from the remaining business increased by $8.5 million, or 1% when compared to the prior year period, primarily driven by new products and higher volumes of existing products in certain Latin American, Middle Eastern and Asian countries.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increased from $2.25 billion for the three months ended September 30, 2023 to $2.29 billion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increase in cost of sales was primarily driven by restructuring related costs for additional anticipated plant closures. This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partially offset by the impact of the decrease in net sales, including as a result of the divestitures that have closed during 2023 and 2024</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September 30, 2024 was $1.46 billion and gross margins were 39%. For the three months ended September 30, 2023, gross profit was $1.69 billion and gross margins were 43%. The changes in gross profit and gross margins are primarily related to the impact of the divestitures and the restructuring-related costs discussed above. Adjusted gross margins were approximately 58% for the three months ended September 30, 2024, compared to approximately 59% for the three months ended September 30, 2023.</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three months ended September 30, 2024 compared to the three months ended September 30,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2,292.0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2,250.6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2,333.9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three months ended September 30, 2024 was $198.4 million, compared to $211.2 million for the comparable prior year period, a decrease of $12.8 million due to the timing of clinical development programs.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14"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SG&amp;A expense for the current quarter was $1.00 billion, compared to $1.05 billion for the comparable prior year period, a decrease of $50.1 million. The decrease was primarily driven by the impact of the divestitures, including lower acquisition and divestiture-related costs of approximately $21.5 million.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losses/(gains) recognized in litigation settlements and other contingencies, net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Contingent consideration adjustment for the current quarter was primarily driven by a fair value adjustment related to the Idorsia contingent consideration liability. Refer to Note 11 </w:t>
      </w:r>
      <w:r>
        <w:rPr>
          <w:rFonts w:ascii="Times New Roman" w:cs="Times New Roman" w:eastAsia="Times New Roman" w:hAnsi="Times New Roman"/>
          <w:sz w:val="17"/>
          <w:szCs w:val="17"/>
          <w:i w:val="1"/>
          <w:iCs w:val="1"/>
          <w:color w:val="auto"/>
        </w:rPr>
        <w:t>Financial Instruments and Risk Management</w:t>
      </w:r>
      <w:r>
        <w:rPr>
          <w:rFonts w:ascii="Times New Roman" w:cs="Times New Roman" w:eastAsia="Times New Roman" w:hAnsi="Times New Roman"/>
          <w:sz w:val="17"/>
          <w:szCs w:val="17"/>
          <w:color w:val="auto"/>
        </w:rPr>
        <w:t xml:space="preserve"> in Part I, Item 1 of this Form 10-Q for more information.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Also 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Part I, Item 1 of this Form 10-Q for more information.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totaled $145.6 million, compared to $141.5 million for the three months ended September 30, 2023, an increase of $4.1 million. The increase is primarily due to the non-cash accretion of the contingent consideration liability related to the Idorsia Transaction, partially offset by lower interest expense as a result of debt repayments.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includes gains and losses from divestitures of businesses, changes in the fair value of equity securities, extinguishment of debt, foreign exchange, expense (income) related to post-employment benefit plans, TSA income, and interest and dividend income. Other income, net for the three months ended September 30, 2024 totaled $10.2 million, compared to $92.0 million for the three months ended September 30, 2023.</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other income, net was primarily driven by net loss on divestitures of approximately $107.4 million, and by lower TSA income of approximately $19.7 million as the prior year period included TSA income related to the reimbursement for transition services provided to Biocon Biologics. Biocon Biologics had substantially exited all transition services with Viatris as of December 31, 2023. The costs related to the transition services are included in SG&amp;A and R&amp;D. These decrease were partially offset by a higher net gain of $20.3 million related to the CCPS in Biocon Biologics, higher interest income of $17.3 million, and gain on debt extinguishments of $16.7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recognized an income tax benefit of $4.3 million, compared to an income tax provision of $70.6 million for the comparable prior year period, a change of $74.9 million. The current year and prior year provisions were impacted by the levels of income and the changing mix at which it is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Currency</w:t>
            </w:r>
          </w:p>
        </w:tc>
        <w:tc>
          <w:tcPr>
            <w:tcW w:w="120" w:type="dxa"/>
            <w:vAlign w:val="bottom"/>
          </w:tcPr>
          <w:p>
            <w:pPr>
              <w:spacing w:after="0"/>
              <w:rPr>
                <w:sz w:val="11"/>
                <w:szCs w:val="11"/>
                <w:color w:val="auto"/>
              </w:rPr>
            </w:pPr>
          </w:p>
        </w:tc>
        <w:tc>
          <w:tcPr>
            <w:tcW w:w="106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2024 Constant</w:t>
            </w:r>
          </w:p>
        </w:tc>
        <w:tc>
          <w:tcPr>
            <w:tcW w:w="100" w:type="dxa"/>
            <w:vAlign w:val="bottom"/>
          </w:tcPr>
          <w:p>
            <w:pPr>
              <w:spacing w:after="0"/>
              <w:rPr>
                <w:sz w:val="11"/>
                <w:szCs w:val="11"/>
                <w:color w:val="auto"/>
              </w:rPr>
            </w:pPr>
          </w:p>
        </w:tc>
        <w:tc>
          <w:tcPr>
            <w:tcW w:w="13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Impact </w:t>
            </w:r>
            <w:r>
              <w:rPr>
                <w:rFonts w:ascii="Times New Roman" w:cs="Times New Roman" w:eastAsia="Times New Roman" w:hAnsi="Times New Roman"/>
                <w:sz w:val="18"/>
                <w:szCs w:val="18"/>
                <w:b w:val="1"/>
                <w:bCs w:val="1"/>
                <w:color w:val="auto"/>
                <w:w w:val="96"/>
                <w:vertAlign w:val="superscript"/>
              </w:rPr>
              <w:t>(1)</w:t>
            </w:r>
          </w:p>
        </w:tc>
        <w:tc>
          <w:tcPr>
            <w:tcW w:w="120" w:type="dxa"/>
            <w:vAlign w:val="bottom"/>
          </w:tcPr>
          <w:p>
            <w:pPr>
              <w:spacing w:after="0"/>
              <w:rPr>
                <w:sz w:val="17"/>
                <w:szCs w:val="17"/>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20" w:type="dxa"/>
            <w:vAlign w:val="bottom"/>
          </w:tcPr>
          <w:p>
            <w:pPr>
              <w:jc w:val="right"/>
              <w:ind w:right="18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Developed Markets </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Emerging Markets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(3)(5)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Reductions were driven primarily by the inclusion of net sales in the prior year period related to divestitures that have closed during 2023 and 2024.</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nine months ended September 30, 2024, other revenues in Developed Markets, Greater China, JANZ, and Emerging Markets were approximately $22.6 million, $0.8 million, $1.7 million, and $8.7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Viatris reported total revenues of $11.21 billion, compared to $11.59 billion for the comparable prior year period, representing a decrease of $378.4 million, or 3%. Total revenues include both net sales and other revenues from third parties. Net sales for the nine months ended September 30, 2024 were $11.18 billion, compared to $11.56 billion for the comparable prior year period, representing a decrease of $385.1 million, or 3%. Other revenues for the nine months ended September 30, 2024 were $33.8 million, compared to $27.1 million for the comparable prior year period.</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sales decreased by approximately $445.4 million or 4% due to the inclusion of net sales in the prior year period related to divestitures that have closed during 2023 and 2024. The decrease in net sales was also partially driven by the unfavorable impact of foreign currency translation of approximately $190.9 million, or 2%, primarily reflecting changes in the U.S. Dollar as compared to the currencies of subsidiaries in Japan, China, and countries in Emerging Markets. Additionally, on a constant currency basis, net sales from the remaining business increased by approximately $251.2 million, or 2%, for the nine months ended September 30, 2024 compared to the prior year period. The increase was driven by new product sales of approximately $497.2 million, primarily in Developed Markets. New product sales include new products launched in 2024 and the carryover impact of new products, including business development, launched within the last twelve months. This increase was partially offset by base business erosion of approximately $246.0 million.</w:t>
      </w:r>
    </w:p>
    <w:p>
      <w:pPr>
        <w:spacing w:after="0" w:line="192"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33% and 34% for the nine months ended September 30, 2024 and 2023,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sales from Developed Markets decreased by $149.4 million or 2% for the nine months ended September 30, 2024 when compared to the prior year period. Net sales decreased by approximately $231.3 million or 3% due to the inclusion of net sales in the prior year period related to divestitures that have closed during 2023 and 2024. The favorable impact of foreign currency translation was approximately $13.6 million or essentially flat. Constant currency net sales from the remaining business increased by approximately $68.3 million or 1% when compared to the prior year period. New product sales throughout Developed Markets, including Breyna™ in the U.S., combined with the stability of our existing product portfolio, helped to offset the anticipated lower net sales of certain existing products within the U.S., including EpiPen® Auto-Injector and Perforomist®, as a result of lower pricing and volumes due to additional competition and increased utilization within government channels. Net sales within North America totaled approximately $2.87 billion and net sales within Europe totaled approximately $3.91 billion.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were essentially flat for the nine months ended September 30, 2024 when compared to the prior year period. The unfavorable impact of foreign currency translation was approximately $42.4 million, or 3%. Constant currency net sales increased by approximately $42.0 million or 3% when compared to the prior year period, driven by higher volumes of existing products. Divestitures did not have a significant impact on the net sales for the current year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Net sales from JANZ decreased by $40.5 million or 4% for the nine months ended September 30, 2024 when compared to the prior year period. This decrease was the result of the unfavorable impact of foreign currency translation of approximately $70.6 million, or 7%. In addition, net sales decreased by approximately $7.1 million, or 1%, due to the inclusion of net sales in the prior year period related to divestitures that have closed during</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2023 and 2024. Constant currency net sales from the remaining business increased by approximately $37.2 million, or 4%, when compared to the prior year period, driven primarily by new product sales in Australia and volume growth of our promoted brands in Japan. This increase was partially offset by lower net sales of existing products mainly driven by lower pricing in Japan as a result of government price reductions and additional competition.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Net sales from Emerging Markets decreased by $194.8 million or 10% for the nine months ended September 30, 2024 when compared to the prior year period. Net sales decreased by approximately $207.0 million, or 11%, due to the inclusion of net sales in the prior year period related to divestitures that have closed during 2023 and 2024. The decrease in net sales was also partially driven by the unfavorable impact of foreign currency translation of approximately $91.5 million, or 5%. Constant currency net sales from the remaining business increased by $103.7 million, or 5% when compared to the prior year period, primarily driven by new products and higher volumes of existing products in certain Latin American, Middle Eastern and Asian countries.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Cost of sales increased from $6.75 billion for the nine months ended September 30, 2023 to $6.80 billion for the nine months ended September 30, 2024. The increase in cost of sales was largely driven by an IPR&amp;D intangible asset impairment charge of $102.0 million. Refer to Note 10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in Part I, Item 1 of this Form 10-Q for more information. This increase was partially offset by the impact of the decrease in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as a result of the divestitures that have closed during 2023 and 2024</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nine months ended September 30, 2024 was $4.41 billion and gross margins were 39%. For the nine months ended September 30, 2023, gross profit was $4.84 billion and gross margins were 42%. The changes in gross profit and gross margins are primarily related to the impact of the divestitures and the IPR&amp;D intangible asset impairment charge. Adjusted gross margins were approximately 58% for the nine months ended September 30, 2024, compared to approximately 60%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nine months ended September 30, 2024 compared to the nine months ended September 30,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6,802.6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6,747.5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(1,907.6)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(1,864.7)</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4,659.6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4,673.1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6,551.6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6,916.5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nine months ended September 30, 2024 was $602.2 million, compared to $602.4 million for the comparable prior year period, essentially flat.</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SG&amp;A expense for the nine months ended September 30, 2024 was $3.38 billion, compared to $3.04 billion for the comparable prior year period, an increase of $334.6 million. The increase was primarily due to a goodwill impairment charge of $321.0 million related to the JANZ reporting unit, and higher acquisition and divestiture-related costs of approximately $45.2 million.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 on the goodwill impairment charge. These increases were partially offset by the impact of the divestitures.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losses/(gains) recognized in litigation settlements and other contingencies, net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210.9</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w w:val="96"/>
              </w:rPr>
              <w:t>(49.2)</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239.3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(36.5)</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Contingent consideration adjustment for the nine months ended September 30, 2024 was primarily driven by a fair value adjustment related to the Idorsia contingent consideration liability.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in Part I, Item 1 of this Form 10-Q for more information.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Also 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Part I, Item 1 of this Form 10-Q for more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totaled $429.8 million, compared to $432.2 million for the nine months ended September 30, 2023, a decrease of $2.4 million. The decrease is primarily due to the impact of debt repayments, partially offset by the non-cash accretion of the contingent consideration liability related to the Idorsia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includes gains and losses from divestitures of businesses, changes in the fair value of equity securities, extinguishment of debt, foreign exchange, expense (income) related to post-employment benefit plans, TSA income, and interest and dividend income. Other income, net for the nine months ended September 30, 2024 totaled $143.2 million, compared to $269.4 million for the nine months ended September 30, 2023.</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other income, net was primarily driven by a net loss on divestitures of approximately $295.8 million, and by lower TSA income of approximately $92.8 million as the prior year period included TSA income related to the reimbursement for transition services provided to Biocon Biologics. Biocon Biologics had substantially exited all transition services with Viatris as of December 31, 2023. The costs related to the transition services are included in SG&amp;A and R&amp;D. This decrease was partially offset by higher net gains of $220.8 million related to our non-marketable equity investments, including the CCPS in Biocon Biologics, higher interest income of $39.8 million, and gain on debt extinguishments of $16.7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20" w:firstLine="19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an income tax provision of $21.0 million, compared to $237.6 million for the comparable prior year period, a decrease of $216.6 million. The current year income tax provision was negatively impacted due to the goodwill impairment charge recorded in the second quarter of 2024, for which no tax benefit was realized. This was partially offset by a benefit related to the release of reserves for uncertain tax positions as a result of the favorable court decision in the Australian tax matter, and certain statute of limitations expirations. The current year and prior year provisions were also impacted by the levels of income and the changing mix at which it is earned in jurisdictions with differing tax rates. Further impacting the tax provision for the nine months ended September 30, 2023 was a tax expense of $22.3 million related to an agreement with the Indian tax authorities in March 2023 in respect of the pricing of its international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EPS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on divestitures of businesses, restructuring related costs, impairment of long-lived assets, acquisition and divestiture-related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EBITDA, adjusted net earnings, and adjusted EPS include: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Adjustments, Including Contingent Consideration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and Divestiture-Related Costs and Other Special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related to restructuring, acquisition and divestiture-related activities and other actions are excluded from adjusted cost of sales,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adjusted net earnings, and adjusted EPS, as applicable. These amounts include items such as:</w:t>
      </w:r>
    </w:p>
    <w:p>
      <w:pPr>
        <w:spacing w:after="0" w:line="99" w:lineRule="exact"/>
        <w:rPr>
          <w:sz w:val="20"/>
          <w:szCs w:val="20"/>
          <w:color w:val="auto"/>
        </w:rPr>
      </w:pPr>
    </w:p>
    <w:p>
      <w:pPr>
        <w:ind w:left="980" w:right="560" w:hanging="324"/>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divestitures, including impairments of held for sale assets; and</w:t>
      </w:r>
    </w:p>
    <w:p>
      <w:pPr>
        <w:spacing w:after="0" w:line="63"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are generally excluded from adjusted EBITDA,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Earnings (Loss) to Adjusted Net Earnings and U.S. GAAP Earnings (Loss) Per Share to Adjusted EPS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net earnings (loss) and diluted earnings (loss) per share as reported under U.S. GAAP, and adjusted net earnings and adjusted EPS for the periods shown follows: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9"/>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 GAAP net earnings (loss) and U.S. GAAP diluted</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Purchase accounting amortization (primarily included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 cost of sales)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of goodwill (included in SG&amp;A)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(primarily amortization of premiums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discounts on long term debt)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Loss on divestitures of businesses (included in other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income, net) </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Acquisition and divestiture-related costs (primarily</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included in SG&amp;A) </w:t>
            </w:r>
            <w:r>
              <w:rPr>
                <w:rFonts w:ascii="Times New Roman" w:cs="Times New Roman" w:eastAsia="Times New Roman" w:hAnsi="Times New Roman"/>
                <w:sz w:val="23"/>
                <w:szCs w:val="23"/>
                <w:color w:val="auto"/>
                <w:vertAlign w:val="superscript"/>
              </w:rPr>
              <w:t>(d)</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costs </w:t>
            </w:r>
            <w:r>
              <w:rPr>
                <w:rFonts w:ascii="Times New Roman" w:cs="Times New Roman" w:eastAsia="Times New Roman" w:hAnsi="Times New Roman"/>
                <w:sz w:val="23"/>
                <w:szCs w:val="23"/>
                <w:color w:val="auto"/>
                <w:vertAlign w:val="superscript"/>
              </w:rPr>
              <w:t>(e)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(g)</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of the above items and other income tax</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related items </w:t>
            </w:r>
            <w:r>
              <w:rPr>
                <w:rFonts w:ascii="Times New Roman" w:cs="Times New Roman" w:eastAsia="Times New Roman" w:hAnsi="Times New Roman"/>
                <w:sz w:val="23"/>
                <w:szCs w:val="23"/>
                <w:color w:val="auto"/>
                <w:vertAlign w:val="superscript"/>
              </w:rPr>
              <w:t>(h)</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earnings and 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1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include the following:</w:t>
      </w:r>
    </w:p>
    <w:p>
      <w:pPr>
        <w:spacing w:after="0" w:line="63" w:lineRule="exact"/>
        <w:rPr>
          <w:sz w:val="20"/>
          <w:szCs w:val="20"/>
          <w:color w:val="auto"/>
        </w:rPr>
      </w:pPr>
    </w:p>
    <w:p>
      <w:pPr>
        <w:ind w:left="660" w:hanging="328"/>
        <w:spacing w:after="0" w:line="229" w:lineRule="auto"/>
        <w:tabs>
          <w:tab w:leader="none" w:pos="655"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nine months ended September 30, 2024, includes an IPR&amp;D intangible asset impairment charge of $102.0 million as the Company concluded that one of its IPR&amp;D assets was fully impaired due to unfavorable clinical results and the termination of the development program.</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nine months ended September 30, 2024, includes a goodwill impairment charge of $321.0 million related to the JANZ reporting unit.</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33" w:lineRule="auto"/>
        <w:tabs>
          <w:tab w:leader="none" w:pos="655"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September 30, 2024, consists primarily of additional pre-tax charges related to the divestitures of the OTC, API, and women’s healthcare businesses of approximately $92.6 million, $15.1 million, and $2.0 million, respectively. For the nine months ended September 30, 2024, consists primarily of additional pre-tax charges / (gains) related to the divestitures of the OTC, API, and women’s healthcare businesses of approximately $340.2 million, $32.5 million, and $(77.6) million, respectively.</w:t>
      </w:r>
    </w:p>
    <w:p>
      <w:pPr>
        <w:spacing w:after="0" w:line="8"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and divestiture-related costs consist primarily of transaction costs including legal and consulting fees and integration activities.</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55"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2024, charges include approximately $82.7 million and $98.3 million, respectively, in cost of sales, approximately $0.9 million and $1.9 million, respectively, in R&amp;D, and approximately $21.8 million and $45.9 million, respectively, in SG&amp;A.</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55"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2024, charges include incremental manufacturing variances at plants in the 2020 restructuring program of approximately $4.0 million and $15.5 million, respectively.</w:t>
      </w:r>
    </w:p>
    <w:p>
      <w:pPr>
        <w:spacing w:after="0" w:line="36"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2024, includes gains of approximately $39.4 million and $368.7 million, respectively, as a result of remeasuring the CCPS in Biocon Biologics to fair value. Also includes a gain on the extinguishment of debt of $16.7 million.</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Earnings (Loss) to EBITDA and Adjusted EBITDA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reconciliation of U.S. GAAP net earnings (loss) to EBITDA and adjusted EBITDA for the three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compared to the prior year period: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earnings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divestitures of businesses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and divestiture-related and other special items </w:t>
            </w:r>
            <w:r>
              <w:rPr>
                <w:rFonts w:ascii="Times New Roman" w:cs="Times New Roman" w:eastAsia="Times New Roman" w:hAnsi="Times New Roman"/>
                <w:sz w:val="23"/>
                <w:szCs w:val="23"/>
                <w:color w:val="auto"/>
                <w:vertAlign w:val="superscript"/>
              </w:rPr>
              <w:t>(c)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premiums and discounts on long-term debt.</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$1.82 billion for the nine months ended September 30, 2024.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and an increase to net cash used in investing activities of $11.3 million for the nine months ended September 30, 2023.</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$511.3 million to $1.82 billion for the nine months ended September 30, 2024, as compared to net cash provided by operating activities of $2.33 billion for the nine months ended September 30, 2023.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principally due to lower operating earnings, including as a result of divestitures in 2023 and 2024, higher transaction costs associated with the divestitures, and the timing of cash payments and collections.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was $1.97 billion for the nine months ended September 30, 2024, as compared to net cash used in investing activities of $891.2 million for the nine months ended September 30, 2023, an increase of $2.86 billion.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investing activities included the following:</w:t>
      </w:r>
    </w:p>
    <w:p>
      <w:pPr>
        <w:spacing w:after="0" w:line="121" w:lineRule="exact"/>
        <w:rPr>
          <w:sz w:val="20"/>
          <w:szCs w:val="20"/>
          <w:color w:val="auto"/>
        </w:rPr>
      </w:pPr>
    </w:p>
    <w:p>
      <w:pPr>
        <w:ind w:left="980" w:hanging="324"/>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assets and businesses of $2.51 billion primarily related to the divestitures of the OTC Business, the API business in India and the women’s healthcare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$350.0 million related to the Idorsia Transaction; and</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$185.6 million. While there can be no assurance that current expectations will be realized, capital expenditures for the 2024 calendar year are expected to be approximately $350 million to $450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$667.7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$211.5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$2.91 billion for the nine months ended September 30, 2024, as compared to $1.38 billion for the nine months ended September 30, 2023, an increase of $1.53 billion.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Senior Notes of approximately $1.54 billion;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1.023% Euro Senior Notes at maturity of approximately $801.7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$431.5 million; and</w:t>
      </w:r>
    </w:p>
    <w:p>
      <w:pPr>
        <w:spacing w:after="0" w:line="11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$100.0 million in deferred consideration from the Biocon Biologics Transaction, and net cash of $97.2 million collected on behalf of various partners, including Biocon Biologics, which are included in Other items, net.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3.125% Senior Notes at maturity of approximately $750.0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$431.6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$104.6 million collected on behalf of various partners, including Biocon Biologics, which is included in Other items,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totaled $1.88 billion at September 30, 2024. The majority of our cash is invested in U.S. government money market funds and in bank deposits.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w:t>
      </w:r>
    </w:p>
    <w:p>
      <w:pPr>
        <w:spacing w:after="0" w:line="2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access to $3.5 billion under the 2024 Revolving Facility which matures in September 2029. Up to $1.65 billion of the 2024 Revolving Facility may be used to support borrowings under our Commercial Paper Program. As of September 30, 2024, the Company did not have any borrowings outstanding under the Commercial Paper Program or the 2024 Revolving Facility.</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2025. The Company also had a $200 million Note Securitization Facility which expired in August 2024 and was not renewed. As of September 30, 2024, the Company did not have any borrowings outstanding under the Receivables Facility.</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are included as a component of short-term borrowings, while the accounts receivable securing these obligations remain as a component of accounts receivable, net, in our condensed consolidated balance sheets. In addition, the agreement governing the Receivables Facility contains various customary affirmative and negative covenants, and customary default and termination provisions.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$19.9 million and $30.8 million of accounts receivable as of September 30, 2024 and December 31, 2023 under these factoring arrangements, respectively. Additionally, in 2023, we entered into a similar arrangement for certain European countries. As of September 30, 2024 and December 31, 2023, we have assigned and derecognized approximately $357.0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dividends paid and declared and share repurchase program, refer to Note 9 </w:t>
      </w:r>
      <w:r>
        <w:rPr>
          <w:rFonts w:ascii="Times New Roman" w:cs="Times New Roman" w:eastAsia="Times New Roman" w:hAnsi="Times New Roman"/>
          <w:sz w:val="18"/>
          <w:szCs w:val="18"/>
          <w:i w:val="1"/>
          <w:iCs w:val="1"/>
          <w:color w:val="auto"/>
        </w:rPr>
        <w:t>Earnings (Loss) per Share</w:t>
      </w:r>
      <w:r>
        <w:rPr>
          <w:rFonts w:ascii="Times New Roman" w:cs="Times New Roman" w:eastAsia="Times New Roman" w:hAnsi="Times New Roman"/>
          <w:sz w:val="18"/>
          <w:szCs w:val="18"/>
          <w:color w:val="auto"/>
        </w:rPr>
        <w:t xml:space="preserve"> in Part I, Item 1 of this Form 10-Q.</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debt agreements and mandatory minimum repayments remaining on the outstanding notional amount of long-term debt at September 30, 2024,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in compliance with its covenants at September 30, 2024 and expects to remain in compliance for the next twelve months.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Part I, Item 1 of this Form 10-Q for more information.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Viatris Inc. is the issuer of the Registered Upjohn Notes, which are fully and unconditionally guaranteed on a senior unsecured basis by Mylan Inc., Mylan II B.V. and Utah Acquisition Sub Inc.</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Mylan Inc. is the issuer of the Mylan Inc. U.S. Dollar Notes, which are fully and unconditionally guaranteed on a senior unsecured basis by Mylan II B.V., Viatris Inc. and Utah Acquisition Sub Inc.</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outstanding notes of such series in accordance with the indenture governing the Registered Upjohn Notes.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unaudited summarized financial information of Viatris Inc., Mylan Inc., Utah Acquisition Sub Inc., and Mylan II B.V. on a combined basis as of and for the nine months ended September 30, 2024 and as of and for the year ended December 31, 2023. All intercompany balances have been eliminated in consolidation. This unaudited combined summarized financial information is presented utilizing the equity method of accounting.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 and</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63,212.6</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29,824.8</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0" w:type="dxa"/>
            <w:vAlign w:val="bottom"/>
          </w:tcPr>
          <w:p>
            <w:pPr>
              <w:spacing w:after="0"/>
              <w:rPr>
                <w:sz w:val="1"/>
                <w:szCs w:val="1"/>
                <w:color w:val="auto"/>
              </w:rPr>
            </w:pPr>
          </w:p>
        </w:tc>
      </w:tr>
      <w:tr>
        <w:trPr>
          <w:trHeight w:val="281"/>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Summarized Income Statement Information</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of Viatris Inc., Mylan Inc., Utah Acquisition Sub Inc.</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4"/>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80" w:type="dxa"/>
            <w:vAlign w:val="bottom"/>
          </w:tcPr>
          <w:p>
            <w:pPr>
              <w:spacing w:after="0"/>
              <w:rPr>
                <w:sz w:val="17"/>
                <w:szCs w:val="17"/>
                <w:color w:val="auto"/>
              </w:rPr>
            </w:pPr>
          </w:p>
        </w:tc>
        <w:tc>
          <w:tcPr>
            <w:tcW w:w="1120" w:type="dxa"/>
            <w:vAlign w:val="bottom"/>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$371.1 million accrued for legal contingencies at September 30, 2024.</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divestitures, Viatris and the respective buyers have entered into transition services and manufacturing and supply agreements pursuant to which the Company is providing services to the respective purchasers, substantially the same as we previously provided to the related businesses, generally for a period of up to 12 months, subject to potential extensions in certain circumstances. In addition, in connection with the OTC Transaction and the divestiture of our women’s healthcare business, we have entered into distribution agreements for certain markets for a limited period of time. In connection with the closing of the API business divestiture, we have entered into a manufacturing and supply agreement pursuant to which we are purchasing a significant amount of API from the purchaser in that transaction.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Application of Critical Accounting Policies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The Company performed the annual goodwill impairment test as of April 1, 2024.</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When compared to the prior year’s annual goodwill impairment test completed on April 1, 2023, due to certain macroeconomic conditions, the Company has experienced fluctuations in foreign exchange rates in certain international markets, combined with an increase in market interest rates. These conditions impacted all reporting units, with the most significant impact in JANZ and Emerging Markets. The impact in the other reporting units was offset by changes in other discount rate assumptions.</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allocation of the Company’s total goodwill was as follows: North America $3.12 billion, Europe $3.86 billion, Emerging Markets $1.17 billion, JANZ $0.62 billion and Greater China $0.93 billion.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its annual goodwill impairment test, the Company recorded a goodwill impairment charge of $321.0 million during the second quarter of 2024 related to its JANZ reporting unit, which was recorded within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 of operations. The impairment charge was primarily the result of a 1.0% increase in the discount rate and a 0.5% reduction in the terminal growth rate assumption for the reporting unit.</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the JANZ reporting unit at April 1, 2024, the Company forecasted cash flows for the next 10 years. During the forecast period, the revenue compound annual growth rate was approximately negative 0.3%. A terminal year value was calculated with a 1.0% revenue growth rate applied. The discount rate utilized was 8.0% and the estimated tax rate was 30.3%.</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 recorded in the JANZ reporting unit, the carrying value of the reporting unit was equal to its estimated fair value as of April 1, 2024. If market conditions or the projected results were to change materially, it may be necessary to record further impairment charges to the JANZ reporting unit in future periods.</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April 1, 2024, the Company determined that the fair values of the North America, Greater China, and Emerging Markets reporting units were substantially in excess of the respective unit’s carrying value.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$882 million or 7.9% for the annual goodwill impairment test. As it relates to the discounted cash flow approach for the Europe reporting unit at April 1, 2024, the Company forecasted cash flows for the next 10 years. During the forecast period, the revenue compound annual growth rate was approximately 2.5%. A terminal year value was calculated with a 2.0% revenue growth rate applied. The discount rate utilized was 10.0% and the estimated tax rate was 15.7%. If all other assumptions are held constant, a reduction in the terminal value growth rate by 1.5% or an increase in discount rate by 1.0% would result in an impairment charge for the Europe reporting unit.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market risk, see “Item 7A. Quantitative and Qualitative Disclosures about Market Risk” in Viatris’ 2023 Form 10-K.</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2024. Based upon that evaluation, the Principal Executive Officer and the Principal Financial Officer concluded that the Company’s disclosure controls and procedures were effective.</w:t>
      </w:r>
    </w:p>
    <w:p>
      <w:pPr>
        <w:spacing w:after="0" w:line="20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changes in the Company’s internal control over financial reporting (“ICFR”) that occurred during the third quarter of 2024 that have materially affected, or are reasonably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For information regarding legal proceedings, refer to Note 17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in the accompanying Notes to interim financial statements in this 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Company’s risk factors from those disclosed in Viatris’ 2023 Form 10-K.</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were no repurchases of the Company’s common stock during the three months ended September 30, 2024. Refer to Part I,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Recent Developments </w:t>
      </w:r>
      <w:r>
        <w:rPr>
          <w:rFonts w:ascii="Times New Roman" w:cs="Times New Roman" w:eastAsia="Times New Roman" w:hAnsi="Times New Roman"/>
          <w:sz w:val="18"/>
          <w:szCs w:val="18"/>
          <w:color w:val="auto"/>
        </w:rPr>
        <w:t>of this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Company’s authorized share repurchase program.</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4"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1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Second Amended and Restated Revolving Credit Agreement, dated as of September 27, 2024, among Viatris, certain affiliates and</w:t>
            </w:r>
          </w:p>
        </w:tc>
      </w:tr>
      <w:tr>
        <w:trPr>
          <w:trHeight w:val="151"/>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780" w:type="dxa"/>
            <w:vAlign w:val="bottom"/>
          </w:tcPr>
          <w:p>
            <w:pPr>
              <w:ind w:left="780"/>
              <w:spacing w:after="0" w:line="150" w:lineRule="exact"/>
              <w:rPr>
                <w:sz w:val="20"/>
                <w:szCs w:val="20"/>
                <w:color w:val="auto"/>
              </w:rPr>
            </w:pPr>
            <w:r>
              <w:rPr>
                <w:rFonts w:ascii="Times New Roman" w:cs="Times New Roman" w:eastAsia="Times New Roman" w:hAnsi="Times New Roman"/>
                <w:sz w:val="17"/>
                <w:szCs w:val="17"/>
                <w:color w:val="auto"/>
              </w:rPr>
              <w:t>subsidiaries of Viatris from time to time party thereto as guarantors, each lender and issuing bank from time to time party thereto and Bank</w:t>
            </w:r>
          </w:p>
        </w:tc>
      </w:tr>
      <w:tr>
        <w:trPr>
          <w:trHeight w:val="180"/>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780" w:type="dxa"/>
            <w:vAlign w:val="bottom"/>
          </w:tcPr>
          <w:p>
            <w:pPr>
              <w:ind w:left="780"/>
              <w:spacing w:after="0" w:line="181" w:lineRule="exact"/>
              <w:rPr>
                <w:sz w:val="20"/>
                <w:szCs w:val="20"/>
                <w:color w:val="auto"/>
              </w:rPr>
            </w:pPr>
            <w:r>
              <w:rPr>
                <w:rFonts w:ascii="Times New Roman" w:cs="Times New Roman" w:eastAsia="Times New Roman" w:hAnsi="Times New Roman"/>
                <w:sz w:val="18"/>
                <w:szCs w:val="18"/>
                <w:color w:val="auto"/>
                <w:w w:val="99"/>
              </w:rPr>
              <w:t>of America, N.A., as administrative agent, filed as Exhibit 10.1 to the Report on Form 8-K filed by Viatris Inc. with the SEC on September</w:t>
            </w: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27, 2024, and incorporated herein by reference.*</w:t>
            </w:r>
          </w:p>
        </w:tc>
      </w:tr>
      <w:tr>
        <w:trPr>
          <w:trHeight w:val="400"/>
        </w:trPr>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140" w:type="dxa"/>
            <w:vAlign w:val="bottom"/>
          </w:tcPr>
          <w:p>
            <w:pPr>
              <w:spacing w:after="0"/>
              <w:rPr>
                <w:sz w:val="24"/>
                <w:szCs w:val="24"/>
                <w:color w:val="auto"/>
              </w:rPr>
            </w:pPr>
          </w:p>
        </w:tc>
        <w:tc>
          <w:tcPr>
            <w:tcW w:w="10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List of subsidiary guarantors and issuers of guaranteed securities.</w:t>
            </w:r>
          </w:p>
        </w:tc>
      </w:tr>
      <w:tr>
        <w:trPr>
          <w:trHeight w:val="723"/>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426"/>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spacing w:after="0" w:line="238" w:lineRule="exact"/>
        <w:rPr>
          <w:sz w:val="20"/>
          <w:szCs w:val="20"/>
          <w:color w:val="auto"/>
        </w:rPr>
      </w:pPr>
    </w:p>
    <w:p>
      <w:pPr>
        <w:ind w:left="1120" w:hanging="1094"/>
        <w:spacing w:after="0"/>
        <w:tabs>
          <w:tab w:leader="none" w:pos="1120"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spacing w:after="0" w:line="265" w:lineRule="exact"/>
        <w:rPr>
          <w:sz w:val="20"/>
          <w:szCs w:val="20"/>
          <w:color w:val="auto"/>
        </w:rPr>
      </w:pPr>
    </w:p>
    <w:p>
      <w:pPr>
        <w:ind w:left="1120" w:hanging="1094"/>
        <w:spacing w:after="0" w:line="237"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80" w:lineRule="exact"/>
        <w:rPr>
          <w:sz w:val="20"/>
          <w:szCs w:val="20"/>
          <w:color w:val="auto"/>
        </w:rPr>
      </w:pPr>
    </w:p>
    <w:p>
      <w:pPr>
        <w:ind w:left="20" w:right="220"/>
        <w:spacing w:after="0" w:line="237" w:lineRule="auto"/>
        <w:rPr>
          <w:sz w:val="20"/>
          <w:szCs w:val="20"/>
          <w:color w:val="auto"/>
        </w:rPr>
      </w:pPr>
      <w:r>
        <w:rPr>
          <w:rFonts w:ascii="Times New Roman" w:cs="Times New Roman" w:eastAsia="Times New Roman" w:hAnsi="Times New Roman"/>
          <w:sz w:val="18"/>
          <w:szCs w:val="18"/>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A. Smith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20"/>
          </w:cols>
          <w:pgMar w:left="320" w:top="114" w:right="8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Subsidiary Guarantors and Issuers of Guaranteed Securities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As of September 30, 2024,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of September 30, 2024, Viatris, Utah and Mylan II were the guarantors of the 4.550% Senior Notes due 2028, 5.400% Senior Notes due 2043 and 5.200% Senior Notes due 2048 issued by Mylan Inc.</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of September 30, 2024, Utah, Mylan Inc. and Mylan II were the guarantors of the 2.300% Senior Notes due 2027, 2.700% Senior Notes due 2030, 3.850% Senior Notes due 2040 and 4.000% Senior Notes due 2050 issued by Viatris.</w:t>
      </w:r>
    </w:p>
    <w:p>
      <w:pPr>
        <w:sectPr>
          <w:pgSz w:w="11900" w:h="16838" w:orient="portrait"/>
          <w:cols w:equalWidth="0" w:num="1">
            <w:col w:w="11240"/>
          </w:cols>
          <w:pgMar w:left="320" w:top="140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34290</wp:posOffset>
            </wp:positionV>
            <wp:extent cx="25031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ectPr>
          <w:pgSz w:w="11900" w:h="16838" w:orient="portrait"/>
          <w:cols w:equalWidth="0" w:num="1">
            <w:col w:w="11240"/>
          </w:cols>
          <w:pgMar w:left="320" w:top="90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Theodora Mistras, certify that:</w:t>
      </w:r>
    </w:p>
    <w:p>
      <w:pPr>
        <w:spacing w:after="0" w:line="131" w:lineRule="exact"/>
        <w:rPr>
          <w:sz w:val="20"/>
          <w:szCs w:val="20"/>
          <w:color w:val="auto"/>
        </w:rPr>
      </w:pPr>
    </w:p>
    <w:p>
      <w:pPr>
        <w:ind w:left="640" w:hanging="187"/>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ectPr>
          <w:pgSz w:w="11900" w:h="16838" w:orient="portrait"/>
          <w:cols w:equalWidth="0" w:num="1">
            <w:col w:w="11240"/>
          </w:cols>
          <w:pgMar w:left="320" w:top="90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Viatris Inc. (the “Company”) for the period ended September 30, 2024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8" w:lineRule="exact"/>
        <w:rPr>
          <w:sz w:val="20"/>
          <w:szCs w:val="20"/>
          <w:color w:val="auto"/>
        </w:rPr>
      </w:pPr>
    </w:p>
    <w:p>
      <w:pPr>
        <w:ind w:left="1080" w:hanging="181"/>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98" w:lineRule="exact"/>
        <w:rPr>
          <w:sz w:val="20"/>
          <w:szCs w:val="20"/>
          <w:color w:val="auto"/>
        </w:rPr>
      </w:pPr>
    </w:p>
    <w:p>
      <w:pPr>
        <w:ind w:right="420" w:firstLine="445"/>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4" w:lineRule="exact"/>
        <w:rPr>
          <w:sz w:val="20"/>
          <w:szCs w:val="20"/>
          <w:color w:val="auto"/>
        </w:rPr>
      </w:pPr>
    </w:p>
    <w:p>
      <w:pPr>
        <w:ind w:right="520" w:firstLine="445"/>
        <w:spacing w:after="0" w:line="329"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lowerLetter"/>
      <w:start w:val="3"/>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4"/>
    </w:lvl>
  </w:abstractNum>
  <w:abstractNum w:abstractNumId="9">
    <w:nsid w:val="6CEAF087"/>
    <w:multiLevelType w:val="hybridMultilevel"/>
    <w:lvl w:ilvl="0">
      <w:lvlJc w:val="left"/>
      <w:lvlText w:val="%1."/>
      <w:numFmt w:val="decimal"/>
      <w:start w:val="5"/>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6"/>
    </w:lvl>
  </w:abstractNum>
  <w:abstractNum w:abstractNumId="15">
    <w:nsid w:val="5577F8E1"/>
    <w:multiLevelType w:val="hybridMultilevel"/>
    <w:lvl w:ilvl="0">
      <w:lvlJc w:val="left"/>
      <w:lvlText w:val="%1."/>
      <w:numFmt w:val="decimal"/>
      <w:start w:val="7"/>
    </w:lvl>
  </w:abstractNum>
  <w:abstractNum w:abstractNumId="16">
    <w:nsid w:val="440BADFC"/>
    <w:multiLevelType w:val="hybridMultilevel"/>
    <w:lvl w:ilvl="0">
      <w:lvlJc w:val="left"/>
      <w:lvlText w:val="%1"/>
      <w:numFmt w:val="decimal"/>
      <w:start w:val="1"/>
    </w:lvl>
    <w:lvl w:ilvl="1">
      <w:lvlJc w:val="left"/>
      <w:lvlText w:val="(%2)"/>
      <w:numFmt w:val="decimal"/>
      <w:start w:val="1"/>
    </w:lvl>
  </w:abstractNum>
  <w:abstractNum w:abstractNumId="17">
    <w:nsid w:val="5072367"/>
    <w:multiLevelType w:val="hybridMultilevel"/>
    <w:lvl w:ilvl="0">
      <w:lvlJc w:val="left"/>
      <w:lvlText w:val="%1."/>
      <w:numFmt w:val="decimal"/>
      <w:start w:val="9"/>
    </w:lvl>
    <w:lvl w:ilvl="1">
      <w:lvlJc w:val="left"/>
      <w:lvlText w:val="%2"/>
      <w:numFmt w:val="decimal"/>
      <w:start w:val="1"/>
    </w:lvl>
  </w:abstractNum>
  <w:abstractNum w:abstractNumId="18">
    <w:nsid w:val="3804823E"/>
    <w:multiLevelType w:val="hybridMultilevel"/>
    <w:lvl w:ilvl="0">
      <w:lvlJc w:val="left"/>
      <w:lvlText w:val="%1."/>
      <w:numFmt w:val="decimal"/>
      <w:start w:val="10"/>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lvl w:ilvl="1">
      <w:lvlJc w:val="left"/>
      <w:lvlText w:val="(%2)"/>
      <w:numFmt w:val="lowerLetter"/>
      <w:start w:val="1"/>
    </w:lvl>
  </w:abstractNum>
  <w:abstractNum w:abstractNumId="32">
    <w:nsid w:val="1D4ED43B"/>
    <w:multiLevelType w:val="hybridMultilevel"/>
    <w:lvl w:ilvl="0">
      <w:lvlJc w:val="left"/>
      <w:lvlText w:val="%1."/>
      <w:numFmt w:val="decimal"/>
      <w:start w:val="13"/>
    </w:lvl>
    <w:lvl w:ilvl="1">
      <w:lvlJc w:val="left"/>
      <w:lvlText w:val="%2"/>
      <w:numFmt w:val="lowerLetter"/>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6"/>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32"/>
    </w:lvl>
  </w:abstractNum>
  <w:abstractNum w:abstractNumId="50">
    <w:nsid w:val="12E685FB"/>
    <w:multiLevelType w:val="hybridMultilevel"/>
    <w:lvl w:ilvl="0">
      <w:lvlJc w:val="left"/>
      <w:lvlText w:val="%1"/>
      <w:numFmt w:val="decimal"/>
      <w:start w:val="104"/>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15" Type="http://schemas.openxmlformats.org/officeDocument/2006/relationships/hyperlink" Target="https://www.sec.gov/Archives/edgar/data/1792044/00009501572400131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2024-11-07T15:45:03Z</dcterms:created>
  <dcterms:modified xsi:type="dcterms:W3CDTF">2024-11-07T15:45:03Z</dcterms:modified>
</cp:coreProperties>
</file>