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CORNWELL W DON</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03/02/2021</w:t>
      </w:r>
    </w:p>
    <w:p>
      <w:pPr>
        <w:spacing w:after="0" w:line="20" w:lineRule="exact"/>
        <w:rPr>
          <w:sz w:val="24"/>
          <w:szCs w:val="24"/>
          <w:color w:val="auto"/>
        </w:rPr>
      </w:pPr>
      <w:r>
        <w:rPr>
          <w:sz w:val="24"/>
          <w:szCs w:val="24"/>
          <w:color w:val="auto"/>
        </w:rPr>
        <w:br w:type="column"/>
      </w:r>
    </w:p>
    <w:p>
      <w:pPr>
        <w:ind w:left="-3" w:right="640" w:firstLine="3"/>
        <w:spacing w:after="0" w:line="262"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200660</wp:posOffset>
            </wp:positionV>
            <wp:extent cx="6967855" cy="109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090295"/>
                    </a:xfrm>
                    <a:prstGeom prst="rect">
                      <a:avLst/>
                    </a:prstGeom>
                    <a:noFill/>
                  </pic:spPr>
                </pic:pic>
              </a:graphicData>
            </a:graphic>
          </wp:anchor>
        </w:drawing>
      </w:r>
    </w:p>
    <w:p>
      <w:pPr>
        <w:spacing w:after="0" w:line="372"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4"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03/03/2021</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13.8383</w:t>
            </w:r>
            <w:r>
              <w:rPr>
                <w:rFonts w:ascii="Times New Roman" w:cs="Times New Roman" w:eastAsia="Times New Roman" w:hAnsi="Times New Roman"/>
                <w:sz w:val="21"/>
                <w:szCs w:val="21"/>
                <w:color w:val="008000"/>
                <w:w w:val="98"/>
                <w:vertAlign w:val="superscript"/>
              </w:rPr>
              <w:t>(1)</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24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13,996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03/02/2021</w:t>
            </w:r>
          </w:p>
        </w:tc>
        <w:tc>
          <w:tcPr>
            <w:tcW w:w="1140" w:type="dxa"/>
            <w:vAlign w:val="bottom"/>
          </w:tcPr>
          <w:p>
            <w:pPr>
              <w:spacing w:after="0"/>
              <w:rPr>
                <w:sz w:val="11"/>
                <w:szCs w:val="11"/>
                <w:color w:val="auto"/>
              </w:rPr>
            </w:pPr>
          </w:p>
        </w:tc>
        <w:tc>
          <w:tcPr>
            <w:tcW w:w="4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11"/>
                <w:szCs w:val="11"/>
                <w:color w:val="auto"/>
              </w:rPr>
            </w:pPr>
          </w:p>
        </w:tc>
        <w:tc>
          <w:tcPr>
            <w:tcW w:w="4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13,996</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13,996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acquisition of 3,000 shares of common stock in transactions ranging from $13.81 to $13.86. The reporting person undertakes to provide to the issuer, any security holder of the issuer, or the staff of the Securities and Exchange Commission, upon request, full information regarding the number of shares of common stock purchased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These RSUs will vest on March 2, 2022.</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03/04/2021</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74477"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2021-03-04T17:36:34Z</dcterms:created>
  <dcterms:modified xsi:type="dcterms:W3CDTF">2021-03-04T17:36:34Z</dcterms:modified>
</cp:coreProperties>
</file>