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GOETTLER MICHAEL</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1000 MYLAN BOULEVARD</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CANONSBURG</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PA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15317</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Viatris Inc</w:t>
              </w:r>
            </w:hyperlink>
            <w:r>
              <w:rPr/>
              <w:t xml:space="preserve"> [ </w:t>
            </w:r>
            <w:r>
              <w:rPr>
                <w:rFonts w:ascii="Times;serif" w:hAnsi="Times;serif"/>
                <w:color w:val="0000FF"/>
                <w:sz w:val="24"/>
                <w:highlight w:val="white"/>
              </w:rPr>
              <w:t>VTRS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Executive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09/22/2021</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3184" w:type="dxa"/>
        <w:jc w:val="left"/>
        <w:tblInd w:w="0" w:type="dxa"/>
        <w:tblCellMar>
          <w:top w:w="60" w:type="dxa"/>
          <w:left w:w="60" w:type="dxa"/>
          <w:bottom w:w="60" w:type="dxa"/>
          <w:right w:w="60" w:type="dxa"/>
        </w:tblCellMar>
      </w:tblPr>
      <w:tblGrid>
        <w:gridCol w:w="1055"/>
        <w:gridCol w:w="861"/>
        <w:gridCol w:w="891"/>
        <w:gridCol w:w="771"/>
        <w:gridCol w:w="591"/>
        <w:gridCol w:w="300"/>
        <w:gridCol w:w="1071"/>
        <w:gridCol w:w="276"/>
        <w:gridCol w:w="906"/>
        <w:gridCol w:w="801"/>
        <w:gridCol w:w="891"/>
        <w:gridCol w:w="1221"/>
        <w:gridCol w:w="801"/>
        <w:gridCol w:w="1071"/>
        <w:gridCol w:w="831"/>
        <w:gridCol w:w="846"/>
      </w:tblGrid>
      <w:tr>
        <w:trPr>
          <w:tblHeader w:val="true"/>
        </w:trPr>
        <w:tc>
          <w:tcPr>
            <w:tcW w:w="1318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5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436.6893</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436.6893</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826.6617</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(2)</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970.9738</w:t>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(2)</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22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970.9738</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7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1,838.073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Dividend Equivalent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09/22/2021</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2,061.5155</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(3)</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12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2,061.5155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107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3,902.4905</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dividend equivalent units ("DEUs") that accrued with respect to the 53,958 restricted stock units ("RSUs") previously granted on November 20,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Represents DEUs that accrued with respect to the 119,975 RSUs previously granted on November 20, 2020 and vest on the same schedule as the underlying RSUs.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Represents DEUs that accrued with respect to RSUs previously granted on March 2, 2021 and vest on the same schedule as the underlying RSUs.</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Kevin Macikowski, by power of attorney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09/24/2021</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45691" TargetMode="External"/><Relationship Id="rId4" Type="http://schemas.openxmlformats.org/officeDocument/2006/relationships/hyperlink" Target="http://www.sec.gov/cgi-bin/browse-edgar?action=getcompany&amp;CIK=000179204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641</Words>
  <CharactersWithSpaces>4041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