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UNITED STATES SECURITIES AND EXCHANGE COMMISSION</w:t>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810895</wp:posOffset>
            </wp:positionH>
            <wp:positionV relativeFrom="paragraph">
              <wp:posOffset>151765</wp:posOffset>
            </wp:positionV>
            <wp:extent cx="5520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321"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810895</wp:posOffset>
            </wp:positionH>
            <wp:positionV relativeFrom="paragraph">
              <wp:posOffset>147955</wp:posOffset>
            </wp:positionV>
            <wp:extent cx="5520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318" w:lineRule="exact"/>
        <w:rPr>
          <w:sz w:val="24"/>
          <w:szCs w:val="24"/>
          <w:color w:val="auto"/>
        </w:rPr>
      </w:pPr>
    </w:p>
    <w:p>
      <w:pPr>
        <w:ind w:left="120"/>
        <w:spacing w:after="0"/>
        <w:rPr>
          <w:sz w:val="20"/>
          <w:szCs w:val="20"/>
          <w:color w:val="auto"/>
        </w:rPr>
      </w:pPr>
      <w:r>
        <w:rPr>
          <w:rFonts w:ascii="Arial" w:cs="Arial" w:eastAsia="Arial" w:hAnsi="Arial"/>
          <w:sz w:val="13"/>
          <w:szCs w:val="13"/>
          <w:b w:val="1"/>
          <w:bCs w:val="1"/>
          <w:color w:val="auto"/>
        </w:rPr>
        <w:t>(Mark One)</w:t>
      </w:r>
    </w:p>
    <w:p>
      <w:pPr>
        <w:spacing w:after="0" w:line="67" w:lineRule="exact"/>
        <w:rPr>
          <w:sz w:val="24"/>
          <w:szCs w:val="24"/>
          <w:color w:val="auto"/>
        </w:rPr>
      </w:pPr>
    </w:p>
    <w:p>
      <w:pPr>
        <w:ind w:left="1540" w:hanging="1424"/>
        <w:spacing w:after="0"/>
        <w:tabs>
          <w:tab w:leader="none" w:pos="15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SPECIAL FINANCIAL REPORT PURSUANT TO RULE 15d-2 OF THE SECURITIES EXCHANGE ACT OF 1934</w:t>
      </w:r>
    </w:p>
    <w:p>
      <w:pPr>
        <w:spacing w:after="0" w:line="200" w:lineRule="exact"/>
        <w:rPr>
          <w:sz w:val="24"/>
          <w:szCs w:val="24"/>
          <w:color w:val="auto"/>
        </w:rPr>
      </w:pPr>
    </w:p>
    <w:p>
      <w:pPr>
        <w:spacing w:after="0" w:line="23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Contains only financial statements for the fiscal year ended December 31, 2019</w:t>
      </w:r>
    </w:p>
    <w:p>
      <w:pPr>
        <w:spacing w:after="0" w:line="215" w:lineRule="exact"/>
        <w:rPr>
          <w:sz w:val="24"/>
          <w:szCs w:val="24"/>
          <w:color w:val="auto"/>
        </w:rPr>
      </w:pPr>
    </w:p>
    <w:p>
      <w:pPr>
        <w:ind w:left="1540" w:hanging="1424"/>
        <w:spacing w:after="0"/>
        <w:tabs>
          <w:tab w:leader="none" w:pos="154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215" w:lineRule="exact"/>
        <w:rPr>
          <w:sz w:val="24"/>
          <w:szCs w:val="24"/>
          <w:color w:val="auto"/>
        </w:rPr>
      </w:pPr>
    </w:p>
    <w:tbl>
      <w:tblPr>
        <w:tblLayout w:type="fixed"/>
        <w:tblInd w:w="120" w:type="dxa"/>
        <w:tblCellMar>
          <w:top w:w="0" w:type="dxa"/>
          <w:left w:w="0" w:type="dxa"/>
          <w:bottom w:w="0" w:type="dxa"/>
          <w:right w:w="0" w:type="dxa"/>
        </w:tblCellMar>
      </w:tblPr>
      <w:tr>
        <w:trPr>
          <w:trHeight w:val="178"/>
        </w:trPr>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20" w:type="dxa"/>
            <w:vAlign w:val="bottom"/>
            <w:gridSpan w:val="5"/>
          </w:tcPr>
          <w:p>
            <w:pPr>
              <w:ind w:left="1120"/>
              <w:spacing w:after="0"/>
              <w:rPr>
                <w:sz w:val="20"/>
                <w:szCs w:val="20"/>
                <w:color w:val="auto"/>
              </w:rPr>
            </w:pPr>
            <w:r>
              <w:rPr>
                <w:rFonts w:ascii="Arial" w:cs="Arial" w:eastAsia="Arial" w:hAnsi="Arial"/>
                <w:sz w:val="13"/>
                <w:szCs w:val="13"/>
                <w:b w:val="1"/>
                <w:bCs w:val="1"/>
                <w:color w:val="auto"/>
              </w:rPr>
              <w:t>For the transition period from</w:t>
            </w:r>
          </w:p>
        </w:tc>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rPr>
              <w:t>to</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30"/>
        </w:trPr>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gridSpan w:val="7"/>
          </w:tcPr>
          <w:p>
            <w:pPr>
              <w:jc w:val="center"/>
              <w:ind w:left="549"/>
              <w:spacing w:after="0"/>
              <w:rPr>
                <w:sz w:val="20"/>
                <w:szCs w:val="20"/>
                <w:color w:val="auto"/>
              </w:rPr>
            </w:pPr>
            <w:r>
              <w:rPr>
                <w:rFonts w:ascii="Arial" w:cs="Arial" w:eastAsia="Arial" w:hAnsi="Arial"/>
                <w:sz w:val="13"/>
                <w:szCs w:val="13"/>
                <w:b w:val="1"/>
                <w:bCs w:val="1"/>
                <w:color w:val="auto"/>
              </w:rPr>
              <w:t>Commission file number 000-56114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95"/>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Borders>
              <w:top w:val="single" w:sz="8" w:color="auto"/>
            </w:tcBorders>
            <w:gridSpan w:val="4"/>
          </w:tcPr>
          <w:p>
            <w:pPr>
              <w:jc w:val="center"/>
              <w:ind w:left="134"/>
              <w:spacing w:after="0"/>
              <w:rPr>
                <w:sz w:val="20"/>
                <w:szCs w:val="20"/>
                <w:color w:val="auto"/>
              </w:rPr>
            </w:pPr>
            <w:r>
              <w:rPr>
                <w:rFonts w:ascii="Arial" w:cs="Arial" w:eastAsia="Arial" w:hAnsi="Arial"/>
                <w:sz w:val="25"/>
                <w:szCs w:val="25"/>
                <w:b w:val="1"/>
                <w:bCs w:val="1"/>
                <w:color w:val="auto"/>
              </w:rPr>
              <w:t>UPJOHN INC.</w:t>
            </w:r>
          </w:p>
        </w:tc>
        <w:tc>
          <w:tcPr>
            <w:tcW w:w="26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72"/>
        </w:trPr>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gridSpan w:val="7"/>
          </w:tcPr>
          <w:p>
            <w:pPr>
              <w:jc w:val="center"/>
              <w:ind w:left="529"/>
              <w:spacing w:after="0"/>
              <w:rPr>
                <w:sz w:val="20"/>
                <w:szCs w:val="20"/>
                <w:color w:val="auto"/>
              </w:rPr>
            </w:pPr>
            <w:r>
              <w:rPr>
                <w:rFonts w:ascii="Arial" w:cs="Arial" w:eastAsia="Arial" w:hAnsi="Arial"/>
                <w:sz w:val="14"/>
                <w:szCs w:val="14"/>
                <w:color w:val="auto"/>
              </w:rPr>
              <w:t>(Exact name of registrant as specified in its charter)</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405"/>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0" w:type="dxa"/>
            <w:vAlign w:val="bottom"/>
            <w:gridSpan w:val="3"/>
          </w:tcPr>
          <w:p>
            <w:pPr>
              <w:jc w:val="center"/>
              <w:ind w:right="1154"/>
              <w:spacing w:after="0"/>
              <w:rPr>
                <w:sz w:val="20"/>
                <w:szCs w:val="20"/>
                <w:color w:val="auto"/>
              </w:rPr>
            </w:pPr>
            <w:r>
              <w:rPr>
                <w:rFonts w:ascii="Arial" w:cs="Arial" w:eastAsia="Arial" w:hAnsi="Arial"/>
                <w:sz w:val="14"/>
                <w:szCs w:val="14"/>
                <w:b w:val="1"/>
                <w:bCs w:val="1"/>
                <w:color w:val="auto"/>
              </w:rPr>
              <w:t>Delaware</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40" w:type="dxa"/>
            <w:vAlign w:val="bottom"/>
            <w:gridSpan w:val="3"/>
          </w:tcPr>
          <w:p>
            <w:pPr>
              <w:jc w:val="right"/>
              <w:ind w:right="2388"/>
              <w:spacing w:after="0"/>
              <w:rPr>
                <w:sz w:val="20"/>
                <w:szCs w:val="20"/>
                <w:color w:val="auto"/>
              </w:rPr>
            </w:pPr>
            <w:r>
              <w:rPr>
                <w:rFonts w:ascii="Arial" w:cs="Arial" w:eastAsia="Arial" w:hAnsi="Arial"/>
                <w:sz w:val="14"/>
                <w:szCs w:val="14"/>
                <w:b w:val="1"/>
                <w:bCs w:val="1"/>
                <w:color w:val="auto"/>
              </w:rPr>
              <w:t>83-4364296</w:t>
            </w:r>
          </w:p>
        </w:tc>
        <w:tc>
          <w:tcPr>
            <w:tcW w:w="240" w:type="dxa"/>
            <w:vAlign w:val="bottom"/>
          </w:tcPr>
          <w:p>
            <w:pPr>
              <w:spacing w:after="0"/>
              <w:rPr>
                <w:sz w:val="24"/>
                <w:szCs w:val="24"/>
                <w:color w:val="auto"/>
              </w:rPr>
            </w:pPr>
          </w:p>
        </w:tc>
      </w:tr>
      <w:tr>
        <w:trPr>
          <w:trHeight w:val="189"/>
        </w:trPr>
        <w:tc>
          <w:tcPr>
            <w:tcW w:w="5100" w:type="dxa"/>
            <w:vAlign w:val="bottom"/>
            <w:gridSpan w:val="5"/>
          </w:tcPr>
          <w:p>
            <w:pPr>
              <w:jc w:val="center"/>
              <w:ind w:left="1148"/>
              <w:spacing w:after="0"/>
              <w:rPr>
                <w:sz w:val="20"/>
                <w:szCs w:val="20"/>
                <w:color w:val="auto"/>
              </w:rPr>
            </w:pPr>
            <w:r>
              <w:rPr>
                <w:rFonts w:ascii="Arial" w:cs="Arial" w:eastAsia="Arial" w:hAnsi="Arial"/>
                <w:sz w:val="14"/>
                <w:szCs w:val="14"/>
                <w:color w:val="auto"/>
              </w:rPr>
              <w:t>(State or other jurisdiction of incorporation or organization)</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380" w:type="dxa"/>
            <w:vAlign w:val="bottom"/>
            <w:gridSpan w:val="5"/>
          </w:tcPr>
          <w:p>
            <w:pPr>
              <w:jc w:val="center"/>
              <w:ind w:right="1780"/>
              <w:spacing w:after="0"/>
              <w:rPr>
                <w:sz w:val="20"/>
                <w:szCs w:val="20"/>
                <w:color w:val="auto"/>
              </w:rPr>
            </w:pPr>
            <w:r>
              <w:rPr>
                <w:rFonts w:ascii="Arial" w:cs="Arial" w:eastAsia="Arial" w:hAnsi="Arial"/>
                <w:sz w:val="14"/>
                <w:szCs w:val="14"/>
                <w:color w:val="auto"/>
              </w:rPr>
              <w:t>(I.R.S. Employer Identification Number)</w:t>
            </w:r>
          </w:p>
        </w:tc>
      </w:tr>
      <w:tr>
        <w:trPr>
          <w:trHeight w:val="260"/>
        </w:trPr>
        <w:tc>
          <w:tcPr>
            <w:tcW w:w="1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80" w:type="dxa"/>
            <w:vAlign w:val="bottom"/>
            <w:gridSpan w:val="7"/>
          </w:tcPr>
          <w:p>
            <w:pPr>
              <w:jc w:val="center"/>
              <w:ind w:left="549"/>
              <w:spacing w:after="0"/>
              <w:rPr>
                <w:sz w:val="20"/>
                <w:szCs w:val="20"/>
                <w:color w:val="auto"/>
              </w:rPr>
            </w:pPr>
            <w:r>
              <w:rPr>
                <w:rFonts w:ascii="Arial" w:cs="Arial" w:eastAsia="Arial" w:hAnsi="Arial"/>
                <w:sz w:val="14"/>
                <w:szCs w:val="14"/>
                <w:color w:val="auto"/>
              </w:rPr>
              <w:t>235 East 42nd Street, New York, New York 10017</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162"/>
        </w:trPr>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gridSpan w:val="7"/>
          </w:tcPr>
          <w:p>
            <w:pPr>
              <w:jc w:val="center"/>
              <w:ind w:left="529"/>
              <w:spacing w:after="0"/>
              <w:rPr>
                <w:sz w:val="20"/>
                <w:szCs w:val="20"/>
                <w:color w:val="auto"/>
              </w:rPr>
            </w:pPr>
            <w:r>
              <w:rPr>
                <w:rFonts w:ascii="Arial" w:cs="Arial" w:eastAsia="Arial" w:hAnsi="Arial"/>
                <w:sz w:val="14"/>
                <w:szCs w:val="14"/>
                <w:color w:val="auto"/>
              </w:rPr>
              <w:t>(Address of principal executive offices) (zip code)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6360" w:type="dxa"/>
            <w:vAlign w:val="bottom"/>
            <w:gridSpan w:val="7"/>
          </w:tcPr>
          <w:p>
            <w:pPr>
              <w:jc w:val="center"/>
              <w:ind w:left="4588"/>
              <w:spacing w:after="0"/>
              <w:rPr>
                <w:sz w:val="20"/>
                <w:szCs w:val="20"/>
                <w:color w:val="auto"/>
              </w:rPr>
            </w:pPr>
            <w:r>
              <w:rPr>
                <w:rFonts w:ascii="Arial" w:cs="Arial" w:eastAsia="Arial" w:hAnsi="Arial"/>
                <w:sz w:val="14"/>
                <w:szCs w:val="14"/>
                <w:color w:val="auto"/>
              </w:rPr>
              <w:t>(212) 733-2323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2"/>
        </w:trPr>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gridSpan w:val="7"/>
          </w:tcPr>
          <w:p>
            <w:pPr>
              <w:jc w:val="center"/>
              <w:ind w:left="549"/>
              <w:spacing w:after="0"/>
              <w:rPr>
                <w:sz w:val="20"/>
                <w:szCs w:val="20"/>
                <w:color w:val="auto"/>
              </w:rPr>
            </w:pPr>
            <w:r>
              <w:rPr>
                <w:rFonts w:ascii="Arial" w:cs="Arial" w:eastAsia="Arial" w:hAnsi="Arial"/>
                <w:sz w:val="14"/>
                <w:szCs w:val="14"/>
                <w:color w:val="auto"/>
              </w:rPr>
              <w:t>(Registrant’s telephone number, including area code)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93"/>
        </w:trPr>
        <w:tc>
          <w:tcPr>
            <w:tcW w:w="13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gridSpan w:val="2"/>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gridSpan w:val="2"/>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r>
      <w:tr>
        <w:trPr>
          <w:trHeight w:val="184"/>
        </w:trPr>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80" w:type="dxa"/>
            <w:vAlign w:val="bottom"/>
            <w:gridSpan w:val="7"/>
          </w:tcPr>
          <w:p>
            <w:pPr>
              <w:jc w:val="center"/>
              <w:ind w:left="529"/>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61"/>
        </w:trPr>
        <w:tc>
          <w:tcPr>
            <w:tcW w:w="13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Title of each class</w:t>
            </w:r>
          </w:p>
        </w:tc>
        <w:tc>
          <w:tcPr>
            <w:tcW w:w="2600" w:type="dxa"/>
            <w:vAlign w:val="bottom"/>
            <w:gridSpan w:val="3"/>
          </w:tcPr>
          <w:p>
            <w:pPr>
              <w:spacing w:after="0"/>
              <w:rPr>
                <w:sz w:val="13"/>
                <w:szCs w:val="13"/>
                <w:color w:val="auto"/>
              </w:rPr>
            </w:pPr>
          </w:p>
        </w:tc>
        <w:tc>
          <w:tcPr>
            <w:tcW w:w="1280" w:type="dxa"/>
            <w:vAlign w:val="bottom"/>
            <w:gridSpan w:val="3"/>
          </w:tcPr>
          <w:p>
            <w:pPr>
              <w:jc w:val="center"/>
              <w:ind w:left="8"/>
              <w:spacing w:after="0"/>
              <w:rPr>
                <w:sz w:val="20"/>
                <w:szCs w:val="20"/>
                <w:color w:val="auto"/>
              </w:rPr>
            </w:pPr>
            <w:r>
              <w:rPr>
                <w:rFonts w:ascii="Arial" w:cs="Arial" w:eastAsia="Arial" w:hAnsi="Arial"/>
                <w:sz w:val="14"/>
                <w:szCs w:val="14"/>
                <w:color w:val="auto"/>
              </w:rPr>
              <w:t>Trading Symbol(s)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80" w:type="dxa"/>
            <w:vAlign w:val="bottom"/>
            <w:gridSpan w:val="4"/>
          </w:tcPr>
          <w:p>
            <w:pPr>
              <w:jc w:val="center"/>
              <w:ind w:left="88"/>
              <w:spacing w:after="0"/>
              <w:rPr>
                <w:sz w:val="20"/>
                <w:szCs w:val="20"/>
                <w:color w:val="auto"/>
              </w:rPr>
            </w:pPr>
            <w:r>
              <w:rPr>
                <w:rFonts w:ascii="Arial" w:cs="Arial" w:eastAsia="Arial" w:hAnsi="Arial"/>
                <w:sz w:val="14"/>
                <w:szCs w:val="14"/>
                <w:color w:val="auto"/>
              </w:rPr>
              <w:t>Name of each exchange on which registered</w:t>
            </w:r>
          </w:p>
        </w:tc>
      </w:tr>
      <w:tr>
        <w:trPr>
          <w:trHeight w:val="197"/>
        </w:trPr>
        <w:tc>
          <w:tcPr>
            <w:tcW w:w="1360" w:type="dxa"/>
            <w:vAlign w:val="bottom"/>
          </w:tcPr>
          <w:p>
            <w:pPr>
              <w:spacing w:after="0"/>
              <w:rPr>
                <w:sz w:val="17"/>
                <w:szCs w:val="17"/>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None</w:t>
            </w:r>
          </w:p>
        </w:tc>
        <w:tc>
          <w:tcPr>
            <w:tcW w:w="260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tcPr>
          <w:p>
            <w:pPr>
              <w:jc w:val="center"/>
              <w:ind w:right="148"/>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7"/>
                <w:szCs w:val="17"/>
                <w:color w:val="auto"/>
              </w:rPr>
            </w:pPr>
          </w:p>
        </w:tc>
      </w:tr>
      <w:tr>
        <w:trPr>
          <w:trHeight w:val="350"/>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00" w:type="dxa"/>
            <w:vAlign w:val="bottom"/>
            <w:tcBorders>
              <w:bottom w:val="single" w:sz="8" w:color="auto"/>
            </w:tcBorders>
            <w:gridSpan w:val="9"/>
          </w:tcPr>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5"/>
        </w:trPr>
        <w:tc>
          <w:tcPr>
            <w:tcW w:w="7540" w:type="dxa"/>
            <w:vAlign w:val="bottom"/>
            <w:gridSpan w:val="10"/>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620" w:type="dxa"/>
            <w:vAlign w:val="bottom"/>
            <w:gridSpan w:val="2"/>
          </w:tcPr>
          <w:p>
            <w:pPr>
              <w:ind w:left="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860" w:type="dxa"/>
            <w:vAlign w:val="bottom"/>
            <w:gridSpan w:val="2"/>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83"/>
        </w:trPr>
        <w:tc>
          <w:tcPr>
            <w:tcW w:w="7540" w:type="dxa"/>
            <w:vAlign w:val="bottom"/>
            <w:gridSpan w:val="10"/>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620" w:type="dxa"/>
            <w:vAlign w:val="bottom"/>
            <w:gridSpan w:val="2"/>
          </w:tcPr>
          <w:p>
            <w:pPr>
              <w:ind w:left="1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860" w:type="dxa"/>
            <w:vAlign w:val="bottom"/>
            <w:gridSpan w:val="2"/>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95" w:lineRule="exact"/>
        <w:rPr>
          <w:sz w:val="24"/>
          <w:szCs w:val="24"/>
          <w:color w:val="auto"/>
        </w:rPr>
      </w:pPr>
    </w:p>
    <w:p>
      <w:pPr>
        <w:ind w:left="120" w:right="100"/>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ind w:left="120"/>
        <w:spacing w:after="0" w:line="161" w:lineRule="exact"/>
        <w:tabs>
          <w:tab w:leader="none" w:pos="600" w:val="left"/>
          <w:tab w:leader="none" w:pos="120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6" w:lineRule="exact"/>
        <w:rPr>
          <w:sz w:val="24"/>
          <w:szCs w:val="24"/>
          <w:color w:val="auto"/>
        </w:rPr>
      </w:pPr>
    </w:p>
    <w:p>
      <w:pPr>
        <w:ind w:left="120" w:right="480"/>
        <w:spacing w:after="0" w:line="176"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ind w:left="120" w:right="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p>
      <w:pPr>
        <w:ind w:left="120"/>
        <w:spacing w:after="0" w:line="150" w:lineRule="exact"/>
        <w:tabs>
          <w:tab w:leader="none" w:pos="1580" w:val="left"/>
          <w:tab w:leader="none" w:pos="2460" w:val="left"/>
          <w:tab w:leader="none" w:pos="3580" w:val="left"/>
          <w:tab w:leader="none" w:pos="4320" w:val="left"/>
          <w:tab w:leader="none" w:pos="5720" w:val="left"/>
          <w:tab w:leader="none" w:pos="6600" w:val="left"/>
          <w:tab w:leader="none" w:pos="8360" w:val="left"/>
          <w:tab w:leader="none" w:pos="9220" w:val="left"/>
          <w:tab w:leader="none" w:pos="1098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Smaller reporting company</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56" w:lineRule="exact"/>
        <w:rPr>
          <w:sz w:val="24"/>
          <w:szCs w:val="24"/>
          <w:color w:val="auto"/>
        </w:rPr>
      </w:pPr>
    </w:p>
    <w:p>
      <w:pPr>
        <w:ind w:left="120" w:right="1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8" w:lineRule="exact"/>
        <w:rPr>
          <w:sz w:val="24"/>
          <w:szCs w:val="24"/>
          <w:color w:val="auto"/>
        </w:rPr>
      </w:pPr>
    </w:p>
    <w:p>
      <w:pPr>
        <w:ind w:left="120"/>
        <w:spacing w:after="0" w:line="161" w:lineRule="exact"/>
        <w:tabs>
          <w:tab w:leader="none" w:pos="7440" w:val="left"/>
          <w:tab w:leader="none" w:pos="80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60" w:lineRule="exact"/>
        <w:rPr>
          <w:sz w:val="24"/>
          <w:szCs w:val="24"/>
          <w:color w:val="auto"/>
        </w:rPr>
      </w:pPr>
    </w:p>
    <w:p>
      <w:pPr>
        <w:ind w:left="120" w:right="340"/>
        <w:spacing w:after="0" w:line="258"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No established public trading market for the registrant’s common stock.</w:t>
      </w:r>
    </w:p>
    <w:p>
      <w:pPr>
        <w:spacing w:after="0" w:line="45" w:lineRule="exact"/>
        <w:rPr>
          <w:sz w:val="24"/>
          <w:szCs w:val="24"/>
          <w:color w:val="auto"/>
        </w:rPr>
      </w:pPr>
    </w:p>
    <w:p>
      <w:pPr>
        <w:ind w:left="120"/>
        <w:spacing w:after="0"/>
        <w:rPr>
          <w:sz w:val="20"/>
          <w:szCs w:val="20"/>
          <w:color w:val="auto"/>
        </w:rPr>
      </w:pPr>
      <w:r>
        <w:rPr>
          <w:rFonts w:ascii="Arial" w:cs="Arial" w:eastAsia="Arial" w:hAnsi="Arial"/>
          <w:sz w:val="14"/>
          <w:szCs w:val="14"/>
          <w:color w:val="auto"/>
        </w:rPr>
        <w:t>As of May 6, 2020, there were 100 outstanding shares of the registrant’s common stock, $0.01 par value per share.</w:t>
      </w:r>
    </w:p>
    <w:p>
      <w:pPr>
        <w:spacing w:after="0" w:line="196"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DOCUMENTS INCORPORATED BY REFERENCE</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10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59"/>
        </w:trPr>
        <w:tc>
          <w:tcPr>
            <w:tcW w:w="10120" w:type="dxa"/>
            <w:vAlign w:val="bottom"/>
          </w:tcPr>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EXPLANATORY NOTE</w:t>
              </w:r>
            </w:hyperlink>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64"/>
        </w:trPr>
        <w:tc>
          <w:tcPr>
            <w:tcW w:w="101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FINANCIAL STATEMENTS</w:t>
              </w:r>
            </w:hyperlink>
          </w:p>
        </w:tc>
        <w:tc>
          <w:tcPr>
            <w:tcW w:w="760" w:type="dxa"/>
            <w:vAlign w:val="bottom"/>
          </w:tcPr>
          <w:p>
            <w:pPr>
              <w:spacing w:after="0"/>
              <w:rPr>
                <w:sz w:val="24"/>
                <w:szCs w:val="24"/>
                <w:color w:val="auto"/>
              </w:rPr>
            </w:pPr>
          </w:p>
        </w:tc>
      </w:tr>
      <w:tr>
        <w:trPr>
          <w:trHeight w:val="378"/>
        </w:trPr>
        <w:tc>
          <w:tcPr>
            <w:tcW w:w="10120" w:type="dxa"/>
            <w:vAlign w:val="bottom"/>
          </w:tcPr>
          <w:p>
            <w:pPr>
              <w:ind w:left="10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Report of Independent Registered Public Accounting Firm</w:t>
              </w:r>
            </w:hyperlink>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64"/>
        </w:trPr>
        <w:tc>
          <w:tcPr>
            <w:tcW w:w="10120" w:type="dxa"/>
            <w:vAlign w:val="bottom"/>
          </w:tcPr>
          <w:p>
            <w:pPr>
              <w:ind w:left="10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Consolidated Statement of Income for the period from February 14, 2019 (date of incorporation) to December 31, 2019</w:t>
              </w:r>
            </w:hyperlink>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64"/>
        </w:trPr>
        <w:tc>
          <w:tcPr>
            <w:tcW w:w="10120" w:type="dxa"/>
            <w:vAlign w:val="bottom"/>
          </w:tcPr>
          <w:p>
            <w:pPr>
              <w:ind w:left="10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Consolidated Statement of Comprehensive Income for the period from February 14, 2019 (date of incorporation) to December 31, 2019</w:t>
              </w:r>
            </w:hyperlink>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65"/>
        </w:trPr>
        <w:tc>
          <w:tcPr>
            <w:tcW w:w="10120" w:type="dxa"/>
            <w:vAlign w:val="bottom"/>
          </w:tcPr>
          <w:p>
            <w:pPr>
              <w:ind w:left="10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Consolidated Balance Sheet as of December 31, 2019</w:t>
              </w:r>
            </w:hyperlink>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64"/>
        </w:trPr>
        <w:tc>
          <w:tcPr>
            <w:tcW w:w="10120" w:type="dxa"/>
            <w:vAlign w:val="bottom"/>
          </w:tcPr>
          <w:p>
            <w:pPr>
              <w:ind w:left="10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Consolidated Statement of Equity for the period from February 14, 2019 (date of incorporation) to December 31, 2019</w:t>
              </w:r>
            </w:hyperlink>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64"/>
        </w:trPr>
        <w:tc>
          <w:tcPr>
            <w:tcW w:w="10120" w:type="dxa"/>
            <w:vAlign w:val="bottom"/>
          </w:tcPr>
          <w:p>
            <w:pPr>
              <w:ind w:left="100"/>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Consolidated Statement of Cash Flows for the period from February 14, 2019 (date of incorporation) to December 31, 2019</w:t>
              </w:r>
            </w:hyperlink>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65"/>
        </w:trPr>
        <w:tc>
          <w:tcPr>
            <w:tcW w:w="10120" w:type="dxa"/>
            <w:vAlign w:val="bottom"/>
          </w:tcPr>
          <w:p>
            <w:pPr>
              <w:ind w:left="10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Notes to Consolidated Financial Statements</w:t>
              </w:r>
            </w:hyperlink>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64"/>
        </w:trPr>
        <w:tc>
          <w:tcPr>
            <w:tcW w:w="10120" w:type="dxa"/>
            <w:vAlign w:val="bottom"/>
          </w:tcPr>
          <w:p>
            <w:pPr>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EXHIBIT INDEX</w:t>
              </w:r>
            </w:hyperlink>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64"/>
        </w:trPr>
        <w:tc>
          <w:tcPr>
            <w:tcW w:w="10120" w:type="dxa"/>
            <w:vAlign w:val="bottom"/>
          </w:tcPr>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SIGNATURES</w:t>
              </w:r>
            </w:hyperlink>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98"/>
        </w:trPr>
        <w:tc>
          <w:tcPr>
            <w:tcW w:w="10120" w:type="dxa"/>
            <w:vAlign w:val="bottom"/>
          </w:tcPr>
          <w:p>
            <w:pPr>
              <w:ind w:left="5300"/>
              <w:spacing w:after="0"/>
              <w:rPr>
                <w:sz w:val="20"/>
                <w:szCs w:val="20"/>
                <w:color w:val="auto"/>
              </w:rPr>
            </w:pPr>
            <w:r>
              <w:rPr>
                <w:rFonts w:ascii="Arial" w:cs="Arial" w:eastAsia="Arial" w:hAnsi="Arial"/>
                <w:sz w:val="18"/>
                <w:szCs w:val="18"/>
                <w:color w:val="auto"/>
              </w:rPr>
              <w:t>- 2 -</w:t>
            </w:r>
          </w:p>
        </w:tc>
        <w:tc>
          <w:tcPr>
            <w:tcW w:w="760" w:type="dxa"/>
            <w:vAlign w:val="bottom"/>
          </w:tcPr>
          <w:p>
            <w:pPr>
              <w:spacing w:after="0"/>
              <w:rPr>
                <w:sz w:val="24"/>
                <w:szCs w:val="24"/>
                <w:color w:val="auto"/>
              </w:rPr>
            </w:pPr>
          </w:p>
        </w:tc>
      </w:tr>
    </w:tbl>
    <w:p>
      <w:pPr>
        <w:sectPr>
          <w:pgSz w:w="11900" w:h="16838" w:orient="portrait"/>
          <w:cols w:equalWidth="0" w:num="1">
            <w:col w:w="11040"/>
          </w:cols>
          <w:pgMar w:left="320" w:top="486" w:right="5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169"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On February 13, 2020, the United States Securities and Exchange Commission (the “SEC”) declared effective the Registration Statement on Form S-4, as amended (the “Registration Statement”), of Upjohn Inc. (the “Company” or “Upjohn”), to register shares of its common stock, par value $0.01 per share, that will be issued and distributed in connection with the series of agreements entered into by Pfizer Inc. (“Pfizer”), Upjohn, Mylan N.V. (“Mylan”) and certain of their affiliates to combine Pfizer’s global, primarily off-patent branded and generic established medicines business (the “Upjohn Business”) with Mylan in an all-stock Reverse Morris Trust transaction (the “Transaction”), creating a new global pharmaceutical company. A detailed description of the Upjohn Inc. capital stock and the Transaction is included in the Registration Statement. Upjohn has been newly formed to effect the transactions. Effective as of the closing of the Transaction, Upjohn will be renamed “Viatris” and will operate both Mylan and the Upjohn Business.</w:t>
      </w:r>
    </w:p>
    <w:p>
      <w:pPr>
        <w:spacing w:after="0" w:line="100"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Rule 15d-2 under the Securities Exchange Act of 1934, as amended (“Rule 15d-2”), provides generally that if a company’s registration statement filed under the Securities Act of 1933, as amended, does not contain certified financial statements for the company’s last full fiscal year preceding the year in which such registration statement becomes effective (or for the life of the company if less than a full fiscal year), then the company must, within 90 days after the effective date of such registration statement, file a special financial report furnishing certified financial statements for the last full fiscal year or other period, as the case may be, meeting the requirements of the form appropriate for annual reports of that company. Rule 15d-2 further provides that the special financial report is to be filed under cover of the facing sheet of the form appropriate for annual reports of the company.</w:t>
      </w:r>
    </w:p>
    <w:p>
      <w:pPr>
        <w:spacing w:after="0" w:line="97"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The Registration Statement did not contain the certified financial statements of the Company for the fiscal year ended December 31, 2019; therefore, as required by Rule 15d-2, the Company is hereby filing its certified financial statements for the fiscal year ended December 31, 2019 with the SEC under cover of the facing page of an annual report on Form 10-K.</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20"/>
          </w:cols>
          <w:pgMar w:left="320" w:top="486" w:right="5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 and Board of Directors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Upjohn Inc.:</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2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have audited the accompanying consolidated balance sheet of Upjohn Inc. and subsidiaries (the Company) as of December 31, 2019, the related consolidated statements of income, comprehensive income, equity, and cash flows for the period from February 14, 2019 (date of incorporation) to December 31, 2019, and the related notes (collectively, the consolidated financial statements). In our opinion, the consolidated financial statements present fairly, in all material respects, the financial position of the Company as of December 31, 2019, and the results of its operations and its cash flows for the period from February 14, 2019 (date of incorporation) to December 31, 2019, in conformity with U.S. generally accepted accounting principles.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for Opinion</w:t>
      </w:r>
    </w:p>
    <w:p>
      <w:pPr>
        <w:spacing w:after="0" w:line="122" w:lineRule="exact"/>
        <w:rPr>
          <w:sz w:val="20"/>
          <w:szCs w:val="20"/>
          <w:color w:val="auto"/>
        </w:rPr>
      </w:pPr>
    </w:p>
    <w:p>
      <w:pPr>
        <w:ind w:left="120" w:right="100"/>
        <w:spacing w:after="0" w:line="257"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266700</wp:posOffset>
            </wp:positionV>
            <wp:extent cx="1242695" cy="248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269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KPMG LLP</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7, 2020</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100"/>
          </w:cols>
          <w:pgMar w:left="320" w:top="486"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8480" w:type="dxa"/>
            <w:vAlign w:val="bottom"/>
          </w:tcPr>
          <w:p>
            <w:pPr>
              <w:ind w:left="4920"/>
              <w:spacing w:after="0"/>
              <w:rPr>
                <w:sz w:val="20"/>
                <w:szCs w:val="20"/>
                <w:color w:val="auto"/>
              </w:rPr>
            </w:pPr>
            <w:r>
              <w:rPr>
                <w:rFonts w:ascii="Arial" w:cs="Arial" w:eastAsia="Arial" w:hAnsi="Arial"/>
                <w:sz w:val="18"/>
                <w:szCs w:val="18"/>
                <w:color w:val="auto"/>
              </w:rPr>
              <w:t>UPJOHN INC.</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10"/>
        </w:trPr>
        <w:tc>
          <w:tcPr>
            <w:tcW w:w="8480" w:type="dxa"/>
            <w:vAlign w:val="bottom"/>
          </w:tcPr>
          <w:p>
            <w:pPr>
              <w:ind w:left="3700"/>
              <w:spacing w:after="0"/>
              <w:rPr>
                <w:sz w:val="20"/>
                <w:szCs w:val="20"/>
                <w:color w:val="auto"/>
              </w:rPr>
            </w:pPr>
            <w:r>
              <w:rPr>
                <w:rFonts w:ascii="Arial" w:cs="Arial" w:eastAsia="Arial" w:hAnsi="Arial"/>
                <w:sz w:val="18"/>
                <w:szCs w:val="18"/>
                <w:color w:val="auto"/>
              </w:rPr>
              <w:t>CONSOLIDATED STATEMENT OF INCOME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8"/>
        </w:trPr>
        <w:tc>
          <w:tcPr>
            <w:tcW w:w="8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r>
      <w:tr>
        <w:trPr>
          <w:trHeight w:val="627"/>
        </w:trPr>
        <w:tc>
          <w:tcPr>
            <w:tcW w:w="8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Period From</w:t>
            </w:r>
          </w:p>
        </w:tc>
      </w:tr>
      <w:tr>
        <w:trPr>
          <w:trHeight w:val="203"/>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February 14, 2019 (Date</w:t>
            </w:r>
          </w:p>
        </w:tc>
      </w:tr>
      <w:tr>
        <w:trPr>
          <w:trHeight w:val="203"/>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of Incorporation) to</w:t>
            </w:r>
          </w:p>
        </w:tc>
      </w:tr>
      <w:tr>
        <w:trPr>
          <w:trHeight w:val="203"/>
        </w:trPr>
        <w:tc>
          <w:tcPr>
            <w:tcW w:w="84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(actual dollars and shares)</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rPr>
              <w:t>December 31, 2019</w:t>
            </w:r>
          </w:p>
        </w:tc>
      </w:tr>
      <w:tr>
        <w:trPr>
          <w:trHeight w:val="20"/>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84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Revenues</w:t>
            </w:r>
          </w:p>
        </w:tc>
        <w:tc>
          <w:tcPr>
            <w:tcW w:w="720" w:type="dxa"/>
            <w:vAlign w:val="bottom"/>
            <w:gridSpan w:val="3"/>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50"/>
        </w:trPr>
        <w:tc>
          <w:tcPr>
            <w:tcW w:w="8480" w:type="dxa"/>
            <w:vAlign w:val="bottom"/>
          </w:tcPr>
          <w:p>
            <w:pPr>
              <w:ind w:left="6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(income)/deductions—net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Income before provision/(benefit) for taxes on income</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Provision/(benefit) for taxes on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84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7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Earnings per common share—basic</w:t>
            </w:r>
          </w:p>
        </w:tc>
        <w:tc>
          <w:tcPr>
            <w:tcW w:w="460" w:type="dxa"/>
            <w:vAlign w:val="bottom"/>
            <w:gridSpan w:val="2"/>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Weighted-average common shares—basic</w:t>
            </w: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8"/>
        </w:trPr>
        <w:tc>
          <w:tcPr>
            <w:tcW w:w="8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Notes to Consolidated Financial Statements, which are an integral part of these statements.</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8480" w:type="dxa"/>
            <w:vAlign w:val="bottom"/>
          </w:tcPr>
          <w:p>
            <w:pPr>
              <w:ind w:left="4920"/>
              <w:spacing w:after="0"/>
              <w:rPr>
                <w:sz w:val="20"/>
                <w:szCs w:val="20"/>
                <w:color w:val="auto"/>
              </w:rPr>
            </w:pPr>
            <w:r>
              <w:rPr>
                <w:rFonts w:ascii="Arial" w:cs="Arial" w:eastAsia="Arial" w:hAnsi="Arial"/>
                <w:sz w:val="18"/>
                <w:szCs w:val="18"/>
                <w:color w:val="auto"/>
              </w:rPr>
              <w:t>UPJOHN INC.</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10"/>
        </w:trPr>
        <w:tc>
          <w:tcPr>
            <w:tcW w:w="8480" w:type="dxa"/>
            <w:vAlign w:val="bottom"/>
          </w:tcPr>
          <w:p>
            <w:pPr>
              <w:ind w:left="2900"/>
              <w:spacing w:after="0"/>
              <w:rPr>
                <w:sz w:val="20"/>
                <w:szCs w:val="20"/>
                <w:color w:val="auto"/>
              </w:rPr>
            </w:pPr>
            <w:r>
              <w:rPr>
                <w:rFonts w:ascii="Arial" w:cs="Arial" w:eastAsia="Arial" w:hAnsi="Arial"/>
                <w:sz w:val="18"/>
                <w:szCs w:val="18"/>
                <w:color w:val="auto"/>
              </w:rPr>
              <w:t>CONSOLIDATED STATEMENT OF COMPREHENSIVE INCOME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8"/>
        </w:trPr>
        <w:tc>
          <w:tcPr>
            <w:tcW w:w="8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r>
      <w:tr>
        <w:trPr>
          <w:trHeight w:val="627"/>
        </w:trPr>
        <w:tc>
          <w:tcPr>
            <w:tcW w:w="8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Period From</w:t>
            </w:r>
          </w:p>
        </w:tc>
      </w:tr>
      <w:tr>
        <w:trPr>
          <w:trHeight w:val="203"/>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w w:val="99"/>
              </w:rPr>
              <w:t>February 14, 2019 (Date</w:t>
            </w:r>
          </w:p>
        </w:tc>
      </w:tr>
      <w:tr>
        <w:trPr>
          <w:trHeight w:val="203"/>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of Incorporation) to</w:t>
            </w:r>
          </w:p>
        </w:tc>
      </w:tr>
      <w:tr>
        <w:trPr>
          <w:trHeight w:val="203"/>
        </w:trPr>
        <w:tc>
          <w:tcPr>
            <w:tcW w:w="84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(actual dollars)</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rPr>
              <w:t>December 31, 2019</w:t>
            </w:r>
          </w:p>
        </w:tc>
      </w:tr>
      <w:tr>
        <w:trPr>
          <w:trHeight w:val="20"/>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84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Other comprehensive income/(loss) before tax</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provision/(benefit) on other comprehensive income/(loss)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8480" w:type="dxa"/>
            <w:vAlign w:val="bottom"/>
          </w:tcPr>
          <w:p>
            <w:pPr>
              <w:ind w:left="60"/>
              <w:spacing w:after="0"/>
              <w:rPr>
                <w:sz w:val="20"/>
                <w:szCs w:val="20"/>
                <w:color w:val="auto"/>
              </w:rPr>
            </w:pPr>
            <w:r>
              <w:rPr>
                <w:rFonts w:ascii="Arial" w:cs="Arial" w:eastAsia="Arial" w:hAnsi="Arial"/>
                <w:sz w:val="18"/>
                <w:szCs w:val="18"/>
                <w:color w:val="auto"/>
              </w:rPr>
              <w:t>Other comprehensive income/(loss)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
        </w:trPr>
        <w:tc>
          <w:tcPr>
            <w:tcW w:w="8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8480" w:type="dxa"/>
            <w:vAlign w:val="bottom"/>
            <w:tcBorders>
              <w:bottom w:val="single" w:sz="8" w:color="auto"/>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Comprehensive income attributable to Upjohn Inc.</w:t>
            </w:r>
          </w:p>
        </w:tc>
        <w:tc>
          <w:tcPr>
            <w:tcW w:w="720" w:type="dxa"/>
            <w:vAlign w:val="bottom"/>
            <w:tcBorders>
              <w:bottom w:val="single" w:sz="8" w:color="auto"/>
            </w:tcBorders>
            <w:gridSpan w:val="3"/>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34"/>
        </w:trPr>
        <w:tc>
          <w:tcPr>
            <w:tcW w:w="8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Notes to Consolidated Financial Statements, which are an integral part of these statements.</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130" w:type="dxa"/>
        <w:tblCellMar>
          <w:top w:w="0" w:type="dxa"/>
          <w:left w:w="0" w:type="dxa"/>
          <w:bottom w:w="0" w:type="dxa"/>
          <w:right w:w="0" w:type="dxa"/>
        </w:tblCellMar>
      </w:tblPr>
      <w:tr>
        <w:trPr>
          <w:trHeight w:val="217"/>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140" w:type="dxa"/>
            <w:vAlign w:val="bottom"/>
          </w:tcPr>
          <w:p>
            <w:pPr>
              <w:jc w:val="center"/>
              <w:ind w:left="370"/>
              <w:spacing w:after="0"/>
              <w:rPr>
                <w:sz w:val="20"/>
                <w:szCs w:val="20"/>
                <w:color w:val="auto"/>
              </w:rPr>
            </w:pPr>
            <w:r>
              <w:rPr>
                <w:rFonts w:ascii="Arial" w:cs="Arial" w:eastAsia="Arial" w:hAnsi="Arial"/>
                <w:sz w:val="18"/>
                <w:szCs w:val="18"/>
                <w:color w:val="auto"/>
              </w:rPr>
              <w:t>UPJOHN INC.</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40" w:type="dxa"/>
            <w:vAlign w:val="bottom"/>
          </w:tcPr>
          <w:p>
            <w:pPr>
              <w:jc w:val="center"/>
              <w:ind w:left="390"/>
              <w:spacing w:after="0"/>
              <w:rPr>
                <w:sz w:val="20"/>
                <w:szCs w:val="20"/>
                <w:color w:val="auto"/>
              </w:rPr>
            </w:pPr>
            <w:r>
              <w:rPr>
                <w:rFonts w:ascii="Arial" w:cs="Arial" w:eastAsia="Arial" w:hAnsi="Arial"/>
                <w:sz w:val="18"/>
                <w:szCs w:val="18"/>
                <w:color w:val="auto"/>
                <w:w w:val="99"/>
              </w:rPr>
              <w:t>CONSOLIDATED BALANCE SHEET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7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7"/>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03"/>
        </w:trPr>
        <w:tc>
          <w:tcPr>
            <w:tcW w:w="88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(actual dollars and shares)</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ind w:left="20"/>
              <w:spacing w:after="0" w:line="203" w:lineRule="exact"/>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40" w:type="dxa"/>
            <w:vAlign w:val="bottom"/>
            <w:tcBorders>
              <w:left w:val="single" w:sz="8" w:color="CCEEFF"/>
            </w:tcBorders>
            <w:gridSpan w:val="3"/>
            <w:shd w:val="clear" w:color="auto" w:fill="CCEEFF"/>
          </w:tcPr>
          <w:p>
            <w:pPr>
              <w:ind w:left="60"/>
              <w:spacing w:after="0" w:line="176" w:lineRule="exact"/>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80" w:type="dxa"/>
            <w:vAlign w:val="bottom"/>
            <w:tcBorders>
              <w:left w:val="single" w:sz="8" w:color="CCEEFF"/>
            </w:tcBorders>
            <w:shd w:val="clear" w:color="auto" w:fill="000000"/>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840" w:type="dxa"/>
            <w:vAlign w:val="bottom"/>
            <w:gridSpan w:val="3"/>
          </w:tcPr>
          <w:p>
            <w:pPr>
              <w:ind w:left="260"/>
              <w:spacing w:after="0"/>
              <w:rPr>
                <w:sz w:val="20"/>
                <w:szCs w:val="20"/>
                <w:color w:val="auto"/>
              </w:rPr>
            </w:pPr>
            <w:r>
              <w:rPr>
                <w:rFonts w:ascii="Arial" w:cs="Arial" w:eastAsia="Arial" w:hAnsi="Arial"/>
                <w:sz w:val="18"/>
                <w:szCs w:val="18"/>
                <w:color w:val="auto"/>
              </w:rPr>
              <w:t>Total current assets</w:t>
            </w:r>
          </w:p>
        </w:tc>
        <w:tc>
          <w:tcPr>
            <w:tcW w:w="11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40" w:type="dxa"/>
            <w:vAlign w:val="bottom"/>
            <w:tcBorders>
              <w:left w:val="single" w:sz="8" w:color="CCEEFF"/>
            </w:tcBorders>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Total assets</w:t>
            </w:r>
          </w:p>
        </w:tc>
        <w:tc>
          <w:tcPr>
            <w:tcW w:w="1120" w:type="dxa"/>
            <w:vAlign w:val="bottom"/>
            <w:gridSpan w:val="3"/>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40" w:type="dxa"/>
            <w:vAlign w:val="bottom"/>
            <w:gridSpan w:val="3"/>
            <w:vMerge w:val="restart"/>
          </w:tcPr>
          <w:p>
            <w:pPr>
              <w:ind w:left="60"/>
              <w:spacing w:after="0"/>
              <w:rPr>
                <w:sz w:val="20"/>
                <w:szCs w:val="20"/>
                <w:color w:val="auto"/>
              </w:rPr>
            </w:pPr>
            <w:r>
              <w:rPr>
                <w:rFonts w:ascii="Arial" w:cs="Arial" w:eastAsia="Arial" w:hAnsi="Arial"/>
                <w:sz w:val="18"/>
                <w:szCs w:val="18"/>
                <w:color w:val="auto"/>
              </w:rPr>
              <w:t>Liabilities and Equity</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8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40" w:type="dxa"/>
            <w:vAlign w:val="bottom"/>
            <w:tcBorders>
              <w:left w:val="single" w:sz="8" w:color="CCEEFF"/>
            </w:tcBorders>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Total current liabilities</w:t>
            </w:r>
          </w:p>
        </w:tc>
        <w:tc>
          <w:tcPr>
            <w:tcW w:w="480" w:type="dxa"/>
            <w:vAlign w:val="bottom"/>
            <w:gridSpan w:val="2"/>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40" w:type="dxa"/>
            <w:vAlign w:val="bottom"/>
            <w:gridSpan w:val="3"/>
          </w:tcPr>
          <w:p>
            <w:pPr>
              <w:ind w:left="26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40" w:type="dxa"/>
            <w:vAlign w:val="bottom"/>
            <w:tcBorders>
              <w:left w:val="single" w:sz="8" w:color="CCEEFF"/>
            </w:tcBorders>
            <w:gridSpan w:val="3"/>
            <w:shd w:val="clear" w:color="auto" w:fill="CCEEFF"/>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40" w:type="dxa"/>
            <w:vAlign w:val="bottom"/>
            <w:gridSpan w:val="3"/>
          </w:tcPr>
          <w:p>
            <w:pPr>
              <w:ind w:left="60"/>
              <w:spacing w:after="0"/>
              <w:rPr>
                <w:sz w:val="20"/>
                <w:szCs w:val="20"/>
                <w:color w:val="auto"/>
              </w:rPr>
            </w:pPr>
            <w:r>
              <w:rPr>
                <w:rFonts w:ascii="Arial" w:cs="Arial" w:eastAsia="Arial" w:hAnsi="Arial"/>
                <w:sz w:val="18"/>
                <w:szCs w:val="18"/>
                <w:color w:val="auto"/>
              </w:rPr>
              <w:t>Common stock, $0.01 par value; 1,000 shares authorized; issued: 2019—100 shares</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8840" w:type="dxa"/>
            <w:vAlign w:val="bottom"/>
            <w:tcBorders>
              <w:left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840" w:type="dxa"/>
            <w:vAlign w:val="bottom"/>
            <w:gridSpan w:val="3"/>
          </w:tcPr>
          <w:p>
            <w:pPr>
              <w:ind w:left="60"/>
              <w:spacing w:after="0"/>
              <w:rPr>
                <w:sz w:val="20"/>
                <w:szCs w:val="20"/>
                <w:color w:val="auto"/>
              </w:rPr>
            </w:pPr>
            <w:r>
              <w:rPr>
                <w:rFonts w:ascii="Arial" w:cs="Arial" w:eastAsia="Arial" w:hAnsi="Arial"/>
                <w:sz w:val="18"/>
                <w:szCs w:val="18"/>
                <w:color w:val="auto"/>
              </w:rPr>
              <w:t>Due from shareholder</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8840" w:type="dxa"/>
            <w:vAlign w:val="bottom"/>
            <w:tcBorders>
              <w:left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40" w:type="dxa"/>
            <w:vAlign w:val="bottom"/>
            <w:gridSpan w:val="3"/>
          </w:tcPr>
          <w:p>
            <w:pPr>
              <w:ind w:left="60"/>
              <w:spacing w:after="0"/>
              <w:rPr>
                <w:sz w:val="20"/>
                <w:szCs w:val="20"/>
                <w:color w:val="auto"/>
              </w:rPr>
            </w:pPr>
            <w:r>
              <w:rPr>
                <w:rFonts w:ascii="Arial" w:cs="Arial" w:eastAsia="Arial" w:hAnsi="Arial"/>
                <w:sz w:val="18"/>
                <w:szCs w:val="18"/>
                <w:color w:val="auto"/>
              </w:rPr>
              <w:t>Accumulated other comprehensive income/(loss)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40" w:type="dxa"/>
            <w:vAlign w:val="bottom"/>
            <w:tcBorders>
              <w:left w:val="single" w:sz="8" w:color="CCEEFF"/>
            </w:tcBorders>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Total Upjohn Inc. shareholder’s equity</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4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color w:val="auto"/>
              </w:rPr>
              <w:t>Total liabilities and equity</w:t>
            </w:r>
          </w:p>
        </w:tc>
        <w:tc>
          <w:tcPr>
            <w:tcW w:w="112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Notes to Consolidated Financial Statements, which are an integral part of these statements.</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UPJOHN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6"/>
          </w:tcPr>
          <w:p>
            <w:pPr>
              <w:jc w:val="right"/>
              <w:ind w:right="40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41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gridSpan w:val="3"/>
            <w:vMerge w:val="restart"/>
          </w:tcPr>
          <w:p>
            <w:pPr>
              <w:jc w:val="right"/>
              <w:ind w:right="380"/>
              <w:spacing w:after="0"/>
              <w:rPr>
                <w:sz w:val="20"/>
                <w:szCs w:val="20"/>
                <w:color w:val="auto"/>
              </w:rPr>
            </w:pPr>
            <w:r>
              <w:rPr>
                <w:rFonts w:ascii="Arial" w:cs="Arial" w:eastAsia="Arial" w:hAnsi="Arial"/>
                <w:sz w:val="16"/>
                <w:szCs w:val="16"/>
                <w:color w:val="auto"/>
              </w:rPr>
              <w:t>Accum.</w:t>
            </w: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6"/>
                <w:szCs w:val="16"/>
                <w:color w:val="auto"/>
              </w:rPr>
              <w:t>Other</w:t>
            </w: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w w:val="98"/>
              </w:rPr>
              <w:t>Upjohn Inc.</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Add’l</w:t>
            </w:r>
          </w:p>
        </w:tc>
        <w:tc>
          <w:tcPr>
            <w:tcW w:w="180" w:type="dxa"/>
            <w:vAlign w:val="bottom"/>
          </w:tcPr>
          <w:p>
            <w:pPr>
              <w:spacing w:after="0"/>
              <w:rPr>
                <w:sz w:val="16"/>
                <w:szCs w:val="16"/>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6"/>
                <w:szCs w:val="16"/>
                <w:color w:val="auto"/>
              </w:rPr>
              <w:t>Due from</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6"/>
                <w:szCs w:val="16"/>
                <w:color w:val="auto"/>
                <w:w w:val="97"/>
              </w:rPr>
              <w:t>Comp.</w:t>
            </w:r>
          </w:p>
        </w:tc>
        <w:tc>
          <w:tcPr>
            <w:tcW w:w="16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Share -</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Par</w:t>
            </w:r>
          </w:p>
        </w:tc>
        <w:tc>
          <w:tcPr>
            <w:tcW w:w="180" w:type="dxa"/>
            <w:vAlign w:val="bottom"/>
          </w:tcPr>
          <w:p>
            <w:pPr>
              <w:spacing w:after="0"/>
              <w:rPr>
                <w:sz w:val="16"/>
                <w:szCs w:val="16"/>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6"/>
                <w:szCs w:val="16"/>
                <w:color w:val="auto"/>
                <w:w w:val="98"/>
              </w:rPr>
              <w:t>Paid-In</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Share-</w:t>
            </w:r>
          </w:p>
        </w:tc>
        <w:tc>
          <w:tcPr>
            <w:tcW w:w="1020" w:type="dxa"/>
            <w:vAlign w:val="bottom"/>
            <w:gridSpan w:val="3"/>
          </w:tcPr>
          <w:p>
            <w:pPr>
              <w:ind w:left="20"/>
              <w:spacing w:after="0"/>
              <w:rPr>
                <w:sz w:val="20"/>
                <w:szCs w:val="20"/>
                <w:color w:val="auto"/>
              </w:rPr>
            </w:pPr>
            <w:r>
              <w:rPr>
                <w:rFonts w:ascii="Arial" w:cs="Arial" w:eastAsia="Arial" w:hAnsi="Arial"/>
                <w:sz w:val="16"/>
                <w:szCs w:val="16"/>
                <w:color w:val="auto"/>
              </w:rPr>
              <w:t>Retained</w:t>
            </w:r>
          </w:p>
        </w:tc>
        <w:tc>
          <w:tcPr>
            <w:tcW w:w="960" w:type="dxa"/>
            <w:vAlign w:val="bottom"/>
            <w:gridSpan w:val="3"/>
          </w:tcPr>
          <w:p>
            <w:pPr>
              <w:jc w:val="right"/>
              <w:ind w:right="380"/>
              <w:spacing w:after="0"/>
              <w:rPr>
                <w:sz w:val="20"/>
                <w:szCs w:val="20"/>
                <w:color w:val="auto"/>
              </w:rPr>
            </w:pPr>
            <w:r>
              <w:rPr>
                <w:rFonts w:ascii="Arial" w:cs="Arial" w:eastAsia="Arial" w:hAnsi="Arial"/>
                <w:sz w:val="16"/>
                <w:szCs w:val="16"/>
                <w:color w:val="auto"/>
                <w:w w:val="98"/>
              </w:rPr>
              <w:t>Income/</w:t>
            </w:r>
          </w:p>
        </w:tc>
        <w:tc>
          <w:tcPr>
            <w:tcW w:w="16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holder’s</w:t>
            </w:r>
          </w:p>
        </w:tc>
        <w:tc>
          <w:tcPr>
            <w:tcW w:w="0" w:type="dxa"/>
            <w:vAlign w:val="bottom"/>
          </w:tcPr>
          <w:p>
            <w:pPr>
              <w:spacing w:after="0"/>
              <w:rPr>
                <w:sz w:val="1"/>
                <w:szCs w:val="1"/>
                <w:color w:val="auto"/>
              </w:rPr>
            </w:pPr>
          </w:p>
        </w:tc>
      </w:tr>
      <w:tr>
        <w:trPr>
          <w:trHeight w:val="187"/>
        </w:trPr>
        <w:tc>
          <w:tcPr>
            <w:tcW w:w="4140" w:type="dxa"/>
            <w:vAlign w:val="bottom"/>
          </w:tcPr>
          <w:p>
            <w:pPr>
              <w:spacing w:after="0"/>
              <w:rPr>
                <w:sz w:val="20"/>
                <w:szCs w:val="20"/>
                <w:color w:val="auto"/>
              </w:rPr>
            </w:pPr>
            <w:r>
              <w:rPr>
                <w:rFonts w:ascii="Arial" w:cs="Arial" w:eastAsia="Arial" w:hAnsi="Arial"/>
                <w:sz w:val="14"/>
                <w:szCs w:val="14"/>
                <w:color w:val="auto"/>
              </w:rPr>
              <w:t>(actual dollars and shares)</w:t>
            </w:r>
          </w:p>
        </w:tc>
        <w:tc>
          <w:tcPr>
            <w:tcW w:w="2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Shares</w:t>
            </w:r>
          </w:p>
        </w:tc>
        <w:tc>
          <w:tcPr>
            <w:tcW w:w="180" w:type="dxa"/>
            <w:vAlign w:val="bottom"/>
          </w:tcPr>
          <w:p>
            <w:pPr>
              <w:spacing w:after="0"/>
              <w:rPr>
                <w:sz w:val="16"/>
                <w:szCs w:val="16"/>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rPr>
              <w:t>Value</w:t>
            </w:r>
          </w:p>
        </w:tc>
        <w:tc>
          <w:tcPr>
            <w:tcW w:w="180" w:type="dxa"/>
            <w:vAlign w:val="bottom"/>
          </w:tcPr>
          <w:p>
            <w:pPr>
              <w:spacing w:after="0"/>
              <w:rPr>
                <w:sz w:val="16"/>
                <w:szCs w:val="16"/>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6"/>
                <w:szCs w:val="16"/>
                <w:color w:val="auto"/>
              </w:rPr>
              <w:t>Capital</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holder</w:t>
            </w:r>
          </w:p>
        </w:tc>
        <w:tc>
          <w:tcPr>
            <w:tcW w:w="1020" w:type="dxa"/>
            <w:vAlign w:val="bottom"/>
            <w:gridSpan w:val="3"/>
          </w:tcPr>
          <w:p>
            <w:pPr>
              <w:ind w:left="20"/>
              <w:spacing w:after="0"/>
              <w:rPr>
                <w:sz w:val="20"/>
                <w:szCs w:val="20"/>
                <w:color w:val="auto"/>
              </w:rPr>
            </w:pPr>
            <w:r>
              <w:rPr>
                <w:rFonts w:ascii="Arial" w:cs="Arial" w:eastAsia="Arial" w:hAnsi="Arial"/>
                <w:sz w:val="16"/>
                <w:szCs w:val="16"/>
                <w:color w:val="auto"/>
              </w:rPr>
              <w:t>Earnings</w:t>
            </w:r>
          </w:p>
        </w:tc>
        <w:tc>
          <w:tcPr>
            <w:tcW w:w="100" w:type="dxa"/>
            <w:vAlign w:val="bottom"/>
          </w:tcPr>
          <w:p>
            <w:pPr>
              <w:spacing w:after="0"/>
              <w:rPr>
                <w:sz w:val="16"/>
                <w:szCs w:val="16"/>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21"/>
        </w:trPr>
        <w:tc>
          <w:tcPr>
            <w:tcW w:w="41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Initial capitalization, February 14, 2019 (date of</w:t>
            </w: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incorporation)</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1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income/(loss), net of tax</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Balance, December 31, 2019</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4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Notes to Consolidated Financial Statements, which are an integral part of these statements.</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80" w:type="dxa"/>
            <w:vAlign w:val="bottom"/>
          </w:tcPr>
          <w:p>
            <w:pPr>
              <w:jc w:val="center"/>
              <w:ind w:right="390"/>
              <w:spacing w:after="0"/>
              <w:rPr>
                <w:sz w:val="20"/>
                <w:szCs w:val="20"/>
                <w:color w:val="auto"/>
              </w:rPr>
            </w:pPr>
            <w:r>
              <w:rPr>
                <w:rFonts w:ascii="Arial" w:cs="Arial" w:eastAsia="Arial" w:hAnsi="Arial"/>
                <w:sz w:val="18"/>
                <w:szCs w:val="18"/>
                <w:color w:val="auto"/>
              </w:rPr>
              <w:t>UPJOHN INC.</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80" w:type="dxa"/>
            <w:vAlign w:val="bottom"/>
          </w:tcPr>
          <w:p>
            <w:pPr>
              <w:jc w:val="center"/>
              <w:ind w:right="370"/>
              <w:spacing w:after="0"/>
              <w:rPr>
                <w:sz w:val="20"/>
                <w:szCs w:val="20"/>
                <w:color w:val="auto"/>
              </w:rPr>
            </w:pPr>
            <w:r>
              <w:rPr>
                <w:rFonts w:ascii="Arial" w:cs="Arial" w:eastAsia="Arial" w:hAnsi="Arial"/>
                <w:sz w:val="18"/>
                <w:szCs w:val="18"/>
                <w:color w:val="auto"/>
                <w:w w:val="98"/>
              </w:rPr>
              <w:t>CONSOLIDATED STATEMENT OF CASH FLOWS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5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7"/>
        </w:trPr>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Period From</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February 14, 2019 (Date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of Incorporation) to</w:t>
            </w:r>
          </w:p>
        </w:tc>
        <w:tc>
          <w:tcPr>
            <w:tcW w:w="0" w:type="dxa"/>
            <w:vAlign w:val="bottom"/>
          </w:tcPr>
          <w:p>
            <w:pPr>
              <w:spacing w:after="0"/>
              <w:rPr>
                <w:sz w:val="1"/>
                <w:szCs w:val="1"/>
                <w:color w:val="auto"/>
              </w:rPr>
            </w:pPr>
          </w:p>
        </w:tc>
      </w:tr>
      <w:tr>
        <w:trPr>
          <w:trHeight w:val="203"/>
        </w:trPr>
        <w:tc>
          <w:tcPr>
            <w:tcW w:w="40" w:type="dxa"/>
            <w:vAlign w:val="bottom"/>
            <w:tcBorders>
              <w:bottom w:val="single" w:sz="8" w:color="auto"/>
            </w:tcBorders>
          </w:tcPr>
          <w:p>
            <w:pPr>
              <w:spacing w:after="0"/>
              <w:rPr>
                <w:sz w:val="17"/>
                <w:szCs w:val="17"/>
                <w:color w:val="auto"/>
              </w:rPr>
            </w:pPr>
          </w:p>
        </w:tc>
        <w:tc>
          <w:tcPr>
            <w:tcW w:w="84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(actual dollars)</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auto"/>
            </w:tcBorders>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Operating Activities</w:t>
            </w:r>
          </w:p>
        </w:tc>
        <w:tc>
          <w:tcPr>
            <w:tcW w:w="6880" w:type="dxa"/>
            <w:vAlign w:val="bottom"/>
            <w:tcBorders>
              <w:bottom w:val="single" w:sz="8" w:color="CCEEFF"/>
            </w:tcBorders>
            <w:gridSpan w:val="2"/>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gridSpan w:val="5"/>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84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40" w:type="dxa"/>
            <w:vAlign w:val="bottom"/>
            <w:gridSpan w:val="5"/>
          </w:tcPr>
          <w:p>
            <w:pPr>
              <w:ind w:left="220"/>
              <w:spacing w:after="0"/>
              <w:rPr>
                <w:sz w:val="20"/>
                <w:szCs w:val="20"/>
                <w:color w:val="auto"/>
              </w:rPr>
            </w:pPr>
            <w:r>
              <w:rPr>
                <w:rFonts w:ascii="Arial" w:cs="Arial" w:eastAsia="Arial" w:hAnsi="Arial"/>
                <w:sz w:val="18"/>
                <w:szCs w:val="18"/>
                <w:color w:val="auto"/>
              </w:rPr>
              <w:t>Other changes in assets and liabilities: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8440" w:type="dxa"/>
            <w:vAlign w:val="bottom"/>
            <w:gridSpan w:val="5"/>
            <w:shd w:val="clear" w:color="auto" w:fill="CCEEFF"/>
          </w:tcPr>
          <w:p>
            <w:pPr>
              <w:ind w:left="34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40" w:type="dxa"/>
            <w:vAlign w:val="bottom"/>
            <w:gridSpan w:val="5"/>
          </w:tcPr>
          <w:p>
            <w:pPr>
              <w:ind w:left="2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0" w:type="dxa"/>
            <w:vAlign w:val="bottom"/>
            <w:shd w:val="clear" w:color="auto" w:fill="CCEEFF"/>
          </w:tcPr>
          <w:p>
            <w:pPr>
              <w:spacing w:after="0"/>
              <w:rPr>
                <w:sz w:val="17"/>
                <w:szCs w:val="17"/>
                <w:color w:val="auto"/>
              </w:rPr>
            </w:pPr>
          </w:p>
        </w:tc>
        <w:tc>
          <w:tcPr>
            <w:tcW w:w="844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40" w:type="dxa"/>
            <w:vAlign w:val="bottom"/>
            <w:gridSpan w:val="5"/>
          </w:tcPr>
          <w:p>
            <w:pPr>
              <w:ind w:left="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0" w:type="dxa"/>
            <w:vAlign w:val="bottom"/>
            <w:shd w:val="clear" w:color="auto" w:fill="CCEEFF"/>
          </w:tcPr>
          <w:p>
            <w:pPr>
              <w:spacing w:after="0"/>
              <w:rPr>
                <w:sz w:val="17"/>
                <w:szCs w:val="17"/>
                <w:color w:val="auto"/>
              </w:rPr>
            </w:pPr>
          </w:p>
        </w:tc>
        <w:tc>
          <w:tcPr>
            <w:tcW w:w="844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40" w:type="dxa"/>
            <w:vAlign w:val="bottom"/>
            <w:gridSpan w:val="5"/>
          </w:tcPr>
          <w:p>
            <w:pPr>
              <w:ind w:left="20"/>
              <w:spacing w:after="0"/>
              <w:rPr>
                <w:sz w:val="20"/>
                <w:szCs w:val="20"/>
                <w:color w:val="auto"/>
              </w:rPr>
            </w:pPr>
            <w:r>
              <w:rPr>
                <w:rFonts w:ascii="Arial" w:cs="Arial" w:eastAsia="Arial" w:hAnsi="Arial"/>
                <w:sz w:val="18"/>
                <w:szCs w:val="18"/>
                <w:color w:val="auto"/>
              </w:rPr>
              <w:t>Effect of exchange-rate changes on cash and cash equivalents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8440" w:type="dxa"/>
            <w:vAlign w:val="bottom"/>
            <w:gridSpan w:val="5"/>
            <w:shd w:val="clear" w:color="auto" w:fill="CCEEFF"/>
          </w:tcPr>
          <w:p>
            <w:pPr>
              <w:ind w:left="320"/>
              <w:spacing w:after="0" w:line="202" w:lineRule="exact"/>
              <w:rPr>
                <w:sz w:val="20"/>
                <w:szCs w:val="20"/>
                <w:color w:val="auto"/>
              </w:rPr>
            </w:pPr>
            <w:r>
              <w:rPr>
                <w:rFonts w:ascii="Arial" w:cs="Arial" w:eastAsia="Arial" w:hAnsi="Arial"/>
                <w:sz w:val="18"/>
                <w:szCs w:val="18"/>
                <w:color w:val="auto"/>
              </w:rPr>
              <w:t>Net increase/(decrease) in cash and cash equivalents</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40" w:type="dxa"/>
            <w:vAlign w:val="bottom"/>
            <w:gridSpan w:val="5"/>
          </w:tcPr>
          <w:p>
            <w:pPr>
              <w:ind w:left="320"/>
              <w:spacing w:after="0"/>
              <w:rPr>
                <w:sz w:val="20"/>
                <w:szCs w:val="20"/>
                <w:color w:val="auto"/>
              </w:rPr>
            </w:pPr>
            <w:r>
              <w:rPr>
                <w:rFonts w:ascii="Arial" w:cs="Arial" w:eastAsia="Arial" w:hAnsi="Arial"/>
                <w:sz w:val="18"/>
                <w:szCs w:val="18"/>
                <w:color w:val="auto"/>
              </w:rPr>
              <w:t>Cash and cash equivalents, beginning</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8440" w:type="dxa"/>
            <w:vAlign w:val="bottom"/>
            <w:gridSpan w:val="5"/>
            <w:shd w:val="clear" w:color="auto" w:fill="CCEEFF"/>
          </w:tcPr>
          <w:p>
            <w:pPr>
              <w:ind w:left="320"/>
              <w:spacing w:after="0" w:line="202" w:lineRule="exact"/>
              <w:rPr>
                <w:sz w:val="20"/>
                <w:szCs w:val="20"/>
                <w:color w:val="auto"/>
              </w:rPr>
            </w:pPr>
            <w:r>
              <w:rPr>
                <w:rFonts w:ascii="Arial" w:cs="Arial" w:eastAsia="Arial" w:hAnsi="Arial"/>
                <w:sz w:val="18"/>
                <w:szCs w:val="18"/>
                <w:color w:val="auto"/>
              </w:rPr>
              <w:t>Cash and cash equivalents, end</w:t>
            </w:r>
          </w:p>
        </w:tc>
        <w:tc>
          <w:tcPr>
            <w:tcW w:w="720" w:type="dxa"/>
            <w:vAlign w:val="bottom"/>
            <w:gridSpan w:val="3"/>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40" w:type="dxa"/>
            <w:vAlign w:val="bottom"/>
            <w:gridSpan w:val="5"/>
            <w:vMerge w:val="restart"/>
          </w:tcPr>
          <w:p>
            <w:pPr>
              <w:ind w:left="20"/>
              <w:spacing w:after="0"/>
              <w:rPr>
                <w:sz w:val="20"/>
                <w:szCs w:val="20"/>
                <w:color w:val="auto"/>
              </w:rPr>
            </w:pPr>
            <w:r>
              <w:rPr>
                <w:rFonts w:ascii="Arial" w:cs="Arial" w:eastAsia="Arial" w:hAnsi="Arial"/>
                <w:sz w:val="18"/>
                <w:szCs w:val="18"/>
                <w:color w:val="auto"/>
              </w:rPr>
              <w:t>Supplemental Cash Flow Information</w:t>
            </w: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8440" w:type="dxa"/>
            <w:vAlign w:val="bottom"/>
            <w:gridSpan w:val="5"/>
            <w:vMerge w:val="continue"/>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844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Cash paid during the period for:</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gridSpan w:val="5"/>
          </w:tcPr>
          <w:p>
            <w:pPr>
              <w:ind w:left="180"/>
              <w:spacing w:after="0"/>
              <w:rPr>
                <w:sz w:val="20"/>
                <w:szCs w:val="20"/>
                <w:color w:val="auto"/>
              </w:rPr>
            </w:pPr>
            <w:r>
              <w:rPr>
                <w:rFonts w:ascii="Arial" w:cs="Arial" w:eastAsia="Arial" w:hAnsi="Arial"/>
                <w:sz w:val="18"/>
                <w:szCs w:val="18"/>
                <w:color w:val="auto"/>
              </w:rPr>
              <w:t>Income taxes</w:t>
            </w:r>
          </w:p>
        </w:tc>
        <w:tc>
          <w:tcPr>
            <w:tcW w:w="7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0" w:type="dxa"/>
            <w:vAlign w:val="bottom"/>
            <w:tcBorders>
              <w:bottom w:val="single" w:sz="8" w:color="auto"/>
            </w:tcBorders>
            <w:shd w:val="clear" w:color="auto" w:fill="CCEEFF"/>
          </w:tcPr>
          <w:p>
            <w:pPr>
              <w:spacing w:after="0"/>
              <w:rPr>
                <w:sz w:val="18"/>
                <w:szCs w:val="18"/>
                <w:color w:val="auto"/>
              </w:rPr>
            </w:pPr>
          </w:p>
        </w:tc>
        <w:tc>
          <w:tcPr>
            <w:tcW w:w="8440" w:type="dxa"/>
            <w:vAlign w:val="bottom"/>
            <w:tcBorders>
              <w:bottom w:val="single" w:sz="8" w:color="auto"/>
            </w:tcBorders>
            <w:gridSpan w:val="5"/>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Notes to Consolidated Financial Statements, which are an integral part of these statements.</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140"/>
          </w:cols>
          <w:pgMar w:left="320" w:top="486"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 1. Organization and Basis of Presentation</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auto"/>
        </w:rPr>
        <w:t>A. Organization</w:t>
      </w:r>
    </w:p>
    <w:p>
      <w:pPr>
        <w:spacing w:after="0" w:line="154"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Upjohn Inc. (the “Company” or “Upjohn”), a Delaware corporation, was formed on February 14, 2019, and is currently a wholly-owned subsidiary of Pfizer Inc. (“Pfizer”). The Company has two wholly-owned subsidiaries, Utah Acquisition Holdco Inc. and Utah Acquisition Sub Inc., both of which are Delaware corporations formed on July 25, 2019. The Company and its subsidiaries have not commenced operations, have no significant assets or liabilities and have not conducted any material activities other than those incidental to its formation from February 14, 2019, its date of incorporation, through December 31, 2019.</w:t>
      </w:r>
    </w:p>
    <w:p>
      <w:pPr>
        <w:spacing w:after="0" w:line="95" w:lineRule="exact"/>
        <w:rPr>
          <w:sz w:val="20"/>
          <w:szCs w:val="20"/>
          <w:color w:val="auto"/>
        </w:rPr>
      </w:pPr>
    </w:p>
    <w:p>
      <w:pPr>
        <w:ind w:left="120" w:right="180"/>
        <w:spacing w:after="0" w:line="250" w:lineRule="auto"/>
        <w:rPr>
          <w:sz w:val="20"/>
          <w:szCs w:val="20"/>
          <w:color w:val="auto"/>
        </w:rPr>
      </w:pPr>
      <w:r>
        <w:rPr>
          <w:rFonts w:ascii="Arial" w:cs="Arial" w:eastAsia="Arial" w:hAnsi="Arial"/>
          <w:sz w:val="16"/>
          <w:szCs w:val="16"/>
          <w:color w:val="auto"/>
        </w:rPr>
        <w:t>On February 13, 2020, the United States Securities and Exchange Commission (the “SEC”) declared effective the Registration Statement on Form S-4, as amended (the “Registration Statement”), of the Company to register shares of its common stock, par value $0.01 per share, that will be issued and distributed in connection with a series of agreements entered into by Pfizer, the Company, Mylan N.V. (“Mylan”) and certain of their affiliates to combine Pfizer’s global, primarily off-patent branded and generic established medicines business (the “Upjohn Business”) with Mylan in an all-stock Reverse Morris Trust transaction (the “Transaction”), creating a new global pharmaceutical company.</w:t>
      </w:r>
    </w:p>
    <w:p>
      <w:pPr>
        <w:spacing w:after="0" w:line="149"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On July 29, 2019, Pfizer announced it had entered into a definitive agreement to combine the Company with Mylan. Under the terms of the Transaction, Pfizer will contribute the Upjohn Business, a business unit of Pfizer, to the Company. The Company will be spun-off or split-off to Pfizer’s stockholders and, immediately thereafter, combined with Mylan. The name of the new company to be formed by the planned combination of the Upjohn Business and Mylan will be “Viatris.” The voting common stock of the Company is expected to be listed for trading on the NASDAQ. Pfizer stockholders would own 57% of the combined new company, and former Mylan shareholders would own 43%. The Company will issue $12 billion of debt in connection with its separation from Pfizer and will make a cash payment to Pfizer equal to $12 billion as partial consideration for the contribution of the Upjohn Business from Pfizer to the Company. The Transaction is generally expected to be tax free to Pfizer and Pfizer stockholders and is expected to close in the second half of 2020, subject to Mylan shareholder approval and satisfaction of other customary closing conditions, including receipt of regulatory approvals.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auto"/>
        </w:rPr>
        <w:t>B. Basis of Presentation</w:t>
      </w:r>
    </w:p>
    <w:p>
      <w:pPr>
        <w:spacing w:after="0" w:line="140"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 xml:space="preserve">The consolidated financial statements have been prepared in accordance with accounting principles generally accepted in the United States of America (“U.S. GAAP”) and present the consolidated balance sheet of the Company as of December 31, 2019 and the related consolidated statements of income, comprehensive income, equity and cash flows of the Company for the period from February 14, 2019 (date of incorporation) to December 31, 2019. Preparing financial statements requires management to make estimates and assumptions that affect the amounts that are reported in the financial statements and accompanying disclosures. Although these estimates are based on management’s best knowledge of current events and actions that the Company may undertake in the future, actual results may be different from these estimates. At December 31, 2019, </w:t>
      </w:r>
      <w:r>
        <w:rPr>
          <w:rFonts w:ascii="Arial" w:cs="Arial" w:eastAsia="Arial" w:hAnsi="Arial"/>
          <w:sz w:val="16"/>
          <w:szCs w:val="16"/>
          <w:i w:val="1"/>
          <w:iCs w:val="1"/>
          <w:color w:val="auto"/>
        </w:rPr>
        <w:t>Due from shareholder</w:t>
      </w:r>
      <w:r>
        <w:rPr>
          <w:rFonts w:ascii="Arial" w:cs="Arial" w:eastAsia="Arial" w:hAnsi="Arial"/>
          <w:sz w:val="16"/>
          <w:szCs w:val="16"/>
          <w:color w:val="auto"/>
        </w:rPr>
        <w:t xml:space="preserve"> represents a receivable from Pfizer of $1 in connection with the issuance of the Company’s common stock (see Note 2).</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 2. Equity</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2019, the Company is authorized to issue 1,000 shares of common stock, par value $0.01 per share.</w:t>
      </w:r>
    </w:p>
    <w:p>
      <w:pPr>
        <w:spacing w:after="0" w:line="113" w:lineRule="exact"/>
        <w:rPr>
          <w:sz w:val="20"/>
          <w:szCs w:val="20"/>
          <w:color w:val="auto"/>
        </w:rPr>
      </w:pPr>
    </w:p>
    <w:p>
      <w:pPr>
        <w:ind w:left="120" w:right="480"/>
        <w:spacing w:after="0" w:line="260" w:lineRule="auto"/>
        <w:rPr>
          <w:sz w:val="20"/>
          <w:szCs w:val="20"/>
          <w:color w:val="auto"/>
        </w:rPr>
      </w:pPr>
      <w:r>
        <w:rPr>
          <w:rFonts w:ascii="Arial" w:cs="Arial" w:eastAsia="Arial" w:hAnsi="Arial"/>
          <w:sz w:val="16"/>
          <w:szCs w:val="16"/>
          <w:color w:val="auto"/>
        </w:rPr>
        <w:t>As of December 31, 2019, there were 100 shares of common stock, par value of $0.01 per share, of the Company issued and outstanding. All such issued and outstanding shares of common stock were held by Pfizer.</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EXHIBIT INDEX</w:t>
      </w:r>
    </w:p>
    <w:p>
      <w:pPr>
        <w:sectPr>
          <w:pgSz w:w="11900" w:h="16838" w:orient="portrait"/>
          <w:cols w:equalWidth="0" w:num="1">
            <w:col w:w="11080"/>
          </w:cols>
          <w:pgMar w:left="320" w:top="486" w:right="499" w:bottom="1440" w:gutter="0" w:footer="0" w:header="0"/>
        </w:sectPr>
      </w:pPr>
    </w:p>
    <w:p>
      <w:pPr>
        <w:spacing w:after="0" w:line="35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31.1</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31.2</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32.1</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Certification by the Principal Executive Officer Pursuant to Section 302 of the Sarbanes-Oxley Act of 2002.</w:t>
        </w:r>
      </w:hyperlink>
    </w:p>
    <w:p>
      <w:pPr>
        <w:spacing w:after="0" w:line="127" w:lineRule="exact"/>
        <w:rPr>
          <w:sz w:val="20"/>
          <w:szCs w:val="20"/>
          <w:color w:val="auto"/>
        </w:rPr>
      </w:pPr>
    </w:p>
    <w:p>
      <w:pPr>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Certification by the Chief Financial Officer Pursuant to Section 302 of the Sarbanes-Oxley Act of 2002.</w:t>
        </w:r>
      </w:hyperlink>
    </w:p>
    <w:p>
      <w:pPr>
        <w:spacing w:after="0" w:line="113" w:lineRule="exact"/>
        <w:rPr>
          <w:sz w:val="20"/>
          <w:szCs w:val="20"/>
          <w:color w:val="auto"/>
        </w:rPr>
      </w:pPr>
    </w:p>
    <w:p>
      <w:pPr>
        <w:ind w:right="540"/>
        <w:spacing w:after="0" w:line="260" w:lineRule="auto"/>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Certification by the Principal Executive Officer Pursuant to 18 U.S.C. Section 1350, as Adopted Pursuant to Section 906 of the</w:t>
        </w:r>
      </w:hyperlink>
      <w:r>
        <w:rPr>
          <w:rFonts w:ascii="Arial" w:cs="Arial" w:eastAsia="Arial" w:hAnsi="Arial"/>
          <w:sz w:val="16"/>
          <w:szCs w:val="16"/>
          <w:u w:val="single" w:color="auto"/>
          <w:color w:val="0000EE"/>
        </w:rPr>
        <w:t xml:space="preserve"> </w:t>
      </w:r>
      <w:hyperlink w:anchor="page15">
        <w:r>
          <w:rPr>
            <w:rFonts w:ascii="Arial" w:cs="Arial" w:eastAsia="Arial" w:hAnsi="Arial"/>
            <w:sz w:val="16"/>
            <w:szCs w:val="16"/>
            <w:u w:val="single" w:color="auto"/>
            <w:color w:val="0000EE"/>
          </w:rPr>
          <w:t>Sarbanes-Oxley Act of 2002.</w:t>
        </w:r>
      </w:hyperlink>
    </w:p>
    <w:p>
      <w:pPr>
        <w:spacing w:after="0" w:line="63" w:lineRule="exact"/>
        <w:rPr>
          <w:sz w:val="20"/>
          <w:szCs w:val="20"/>
          <w:color w:val="auto"/>
        </w:rPr>
      </w:pPr>
    </w:p>
    <w:p>
      <w:pPr>
        <w:sectPr>
          <w:pgSz w:w="11900" w:h="16838" w:orient="portrait"/>
          <w:cols w:equalWidth="0" w:num="2">
            <w:col w:w="800" w:space="720"/>
            <w:col w:w="9560"/>
          </w:cols>
          <w:pgMar w:left="320" w:top="486" w:right="499" w:bottom="1440" w:gutter="0" w:footer="0" w:header="0"/>
          <w:type w:val="continuous"/>
        </w:sectPr>
      </w:pPr>
    </w:p>
    <w:tbl>
      <w:tblPr>
        <w:tblLayout w:type="fixed"/>
        <w:tblInd w:w="180" w:type="dxa"/>
        <w:tblCellMar>
          <w:top w:w="0" w:type="dxa"/>
          <w:left w:w="0" w:type="dxa"/>
          <w:bottom w:w="0" w:type="dxa"/>
          <w:right w:w="0" w:type="dxa"/>
        </w:tblCellMar>
      </w:tblPr>
      <w:tr>
        <w:trPr>
          <w:trHeight w:val="184"/>
        </w:trPr>
        <w:tc>
          <w:tcPr>
            <w:tcW w:w="1340" w:type="dxa"/>
            <w:vAlign w:val="bottom"/>
          </w:tcPr>
          <w:p>
            <w:pPr>
              <w:spacing w:after="0"/>
              <w:rPr>
                <w:sz w:val="20"/>
                <w:szCs w:val="20"/>
                <w:color w:val="auto"/>
              </w:rPr>
            </w:pPr>
            <w:r>
              <w:rPr>
                <w:rFonts w:ascii="Arial" w:cs="Arial" w:eastAsia="Arial" w:hAnsi="Arial"/>
                <w:sz w:val="16"/>
                <w:szCs w:val="16"/>
                <w:color w:val="auto"/>
              </w:rPr>
              <w:t>32.2</w:t>
            </w:r>
          </w:p>
        </w:tc>
        <w:tc>
          <w:tcPr>
            <w:tcW w:w="9520" w:type="dxa"/>
            <w:vAlign w:val="bottom"/>
            <w:tcBorders>
              <w:bottom w:val="single" w:sz="8" w:color="0000EE"/>
            </w:tcBorders>
            <w:gridSpan w:val="2"/>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Certification by the Chief Financial Officer Pursuant to 18 U.S.C. Section 1350, as Adopted Pursuant to Section 906 of the Sarbanes-</w:t>
              </w:r>
            </w:hyperlink>
          </w:p>
        </w:tc>
        <w:tc>
          <w:tcPr>
            <w:tcW w:w="40" w:type="dxa"/>
            <w:vAlign w:val="bottom"/>
          </w:tcPr>
          <w:p>
            <w:pPr>
              <w:spacing w:after="0"/>
              <w:rPr>
                <w:sz w:val="16"/>
                <w:szCs w:val="16"/>
                <w:color w:val="auto"/>
              </w:rPr>
            </w:pPr>
          </w:p>
        </w:tc>
      </w:tr>
      <w:tr>
        <w:trPr>
          <w:trHeight w:val="169"/>
        </w:trPr>
        <w:tc>
          <w:tcPr>
            <w:tcW w:w="1340" w:type="dxa"/>
            <w:vAlign w:val="bottom"/>
          </w:tcPr>
          <w:p>
            <w:pPr>
              <w:spacing w:after="0"/>
              <w:rPr>
                <w:sz w:val="14"/>
                <w:szCs w:val="14"/>
                <w:color w:val="auto"/>
              </w:rPr>
            </w:pPr>
          </w:p>
        </w:tc>
        <w:tc>
          <w:tcPr>
            <w:tcW w:w="9560" w:type="dxa"/>
            <w:vAlign w:val="bottom"/>
            <w:gridSpan w:val="3"/>
          </w:tcPr>
          <w:p>
            <w:pPr>
              <w:spacing w:after="0" w:line="169" w:lineRule="exact"/>
              <w:rPr>
                <w:rFonts w:ascii="Arial" w:cs="Arial" w:eastAsia="Arial" w:hAnsi="Arial"/>
                <w:sz w:val="16"/>
                <w:szCs w:val="16"/>
                <w:color w:val="0000EE"/>
              </w:rPr>
            </w:pPr>
            <w:hyperlink w:anchor="page16">
              <w:r>
                <w:rPr>
                  <w:rFonts w:ascii="Arial" w:cs="Arial" w:eastAsia="Arial" w:hAnsi="Arial"/>
                  <w:sz w:val="16"/>
                  <w:szCs w:val="16"/>
                  <w:color w:val="0000EE"/>
                </w:rPr>
                <w:t>Oxley Act of 2002.</w:t>
              </w:r>
            </w:hyperlink>
          </w:p>
        </w:tc>
      </w:tr>
      <w:tr>
        <w:trPr>
          <w:trHeight w:val="312"/>
        </w:trPr>
        <w:tc>
          <w:tcPr>
            <w:tcW w:w="1340" w:type="dxa"/>
            <w:vAlign w:val="bottom"/>
          </w:tcPr>
          <w:p>
            <w:pPr>
              <w:spacing w:after="0"/>
              <w:rPr>
                <w:sz w:val="20"/>
                <w:szCs w:val="20"/>
                <w:color w:val="auto"/>
              </w:rPr>
            </w:pPr>
            <w:r>
              <w:rPr>
                <w:rFonts w:ascii="Arial" w:cs="Arial" w:eastAsia="Arial" w:hAnsi="Arial"/>
                <w:sz w:val="16"/>
                <w:szCs w:val="16"/>
                <w:color w:val="auto"/>
              </w:rPr>
              <w:t>Exhibit 101:</w:t>
            </w:r>
          </w:p>
        </w:tc>
        <w:tc>
          <w:tcPr>
            <w:tcW w:w="1320" w:type="dxa"/>
            <w:vAlign w:val="bottom"/>
            <w:tcBorders>
              <w:top w:val="single" w:sz="8" w:color="0000EE"/>
            </w:tcBorders>
          </w:tcPr>
          <w:p>
            <w:pPr>
              <w:spacing w:after="0"/>
              <w:rPr>
                <w:sz w:val="24"/>
                <w:szCs w:val="24"/>
                <w:color w:val="auto"/>
              </w:rPr>
            </w:pPr>
          </w:p>
        </w:tc>
        <w:tc>
          <w:tcPr>
            <w:tcW w:w="8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1"/>
        </w:trPr>
        <w:tc>
          <w:tcPr>
            <w:tcW w:w="1340" w:type="dxa"/>
            <w:vAlign w:val="bottom"/>
          </w:tcPr>
          <w:p>
            <w:pPr>
              <w:spacing w:after="0"/>
              <w:rPr>
                <w:sz w:val="20"/>
                <w:szCs w:val="20"/>
                <w:color w:val="auto"/>
              </w:rPr>
            </w:pPr>
            <w:r>
              <w:rPr>
                <w:rFonts w:ascii="Arial" w:cs="Arial" w:eastAsia="Arial" w:hAnsi="Arial"/>
                <w:sz w:val="16"/>
                <w:szCs w:val="16"/>
                <w:color w:val="auto"/>
              </w:rPr>
              <w:t>101.INS</w:t>
            </w:r>
          </w:p>
        </w:tc>
        <w:tc>
          <w:tcPr>
            <w:tcW w:w="9560" w:type="dxa"/>
            <w:vAlign w:val="bottom"/>
            <w:gridSpan w:val="3"/>
          </w:tcPr>
          <w:p>
            <w:pPr>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195"/>
        </w:trPr>
        <w:tc>
          <w:tcPr>
            <w:tcW w:w="1340" w:type="dxa"/>
            <w:vAlign w:val="bottom"/>
          </w:tcPr>
          <w:p>
            <w:pPr>
              <w:spacing w:after="0"/>
              <w:rPr>
                <w:sz w:val="16"/>
                <w:szCs w:val="16"/>
                <w:color w:val="auto"/>
              </w:rPr>
            </w:pPr>
          </w:p>
        </w:tc>
        <w:tc>
          <w:tcPr>
            <w:tcW w:w="9560" w:type="dxa"/>
            <w:vAlign w:val="bottom"/>
            <w:gridSpan w:val="3"/>
          </w:tcPr>
          <w:p>
            <w:pPr>
              <w:spacing w:after="0"/>
              <w:rPr>
                <w:sz w:val="20"/>
                <w:szCs w:val="20"/>
                <w:color w:val="auto"/>
              </w:rPr>
            </w:pPr>
            <w:r>
              <w:rPr>
                <w:rFonts w:ascii="Arial" w:cs="Arial" w:eastAsia="Arial" w:hAnsi="Arial"/>
                <w:sz w:val="16"/>
                <w:szCs w:val="16"/>
                <w:color w:val="auto"/>
              </w:rPr>
              <w:t>within the Inline XBRL document.</w:t>
            </w:r>
          </w:p>
        </w:tc>
      </w:tr>
    </w:tbl>
    <w:p>
      <w:pPr>
        <w:spacing w:after="0" w:line="102" w:lineRule="exact"/>
        <w:rPr>
          <w:sz w:val="20"/>
          <w:szCs w:val="20"/>
          <w:color w:val="auto"/>
        </w:rPr>
      </w:pPr>
    </w:p>
    <w:p>
      <w:pPr>
        <w:sectPr>
          <w:pgSz w:w="11900" w:h="16838" w:orient="portrait"/>
          <w:cols w:equalWidth="0" w:num="1">
            <w:col w:w="11080"/>
          </w:cols>
          <w:pgMar w:left="320" w:top="486" w:right="49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101.SCH</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101.CAL</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101.LAB</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101.PRE</w:t>
      </w:r>
    </w:p>
    <w:p>
      <w:pPr>
        <w:spacing w:after="0" w:line="127" w:lineRule="exact"/>
        <w:rPr>
          <w:sz w:val="20"/>
          <w:szCs w:val="20"/>
          <w:color w:val="auto"/>
        </w:rPr>
      </w:pPr>
    </w:p>
    <w:p>
      <w:pPr>
        <w:ind w:left="180"/>
        <w:spacing w:after="0" w:line="418" w:lineRule="auto"/>
        <w:rPr>
          <w:sz w:val="20"/>
          <w:szCs w:val="20"/>
          <w:color w:val="auto"/>
        </w:rPr>
      </w:pPr>
      <w:r>
        <w:rPr>
          <w:rFonts w:ascii="Arial" w:cs="Arial" w:eastAsia="Arial" w:hAnsi="Arial"/>
          <w:sz w:val="16"/>
          <w:szCs w:val="16"/>
          <w:color w:val="auto"/>
        </w:rPr>
        <w:t>101.DEF Exhibit 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Schema</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Calculation Linkbase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Label Linkbase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Definition Document</w:t>
      </w:r>
    </w:p>
    <w:p>
      <w:pPr>
        <w:spacing w:after="0" w:line="113"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Cover Page Interactive Data File - the cover page interactive data file does not appear in the Interactive Data File because its XBRL tags are embedded within the Inline XBRL document.</w:t>
      </w:r>
    </w:p>
    <w:p>
      <w:pPr>
        <w:spacing w:after="0" w:line="166" w:lineRule="exact"/>
        <w:rPr>
          <w:sz w:val="20"/>
          <w:szCs w:val="20"/>
          <w:color w:val="auto"/>
        </w:rPr>
      </w:pPr>
    </w:p>
    <w:p>
      <w:pPr>
        <w:sectPr>
          <w:pgSz w:w="11900" w:h="16838" w:orient="portrait"/>
          <w:cols w:equalWidth="0" w:num="2">
            <w:col w:w="980" w:space="540"/>
            <w:col w:w="9560"/>
          </w:cols>
          <w:pgMar w:left="320" w:top="486"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86" w:right="4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82" w:lineRule="exact"/>
        <w:rPr>
          <w:sz w:val="20"/>
          <w:szCs w:val="20"/>
          <w:color w:val="auto"/>
        </w:rPr>
      </w:pPr>
    </w:p>
    <w:p>
      <w:pPr>
        <w:ind w:left="120" w:right="780"/>
        <w:spacing w:after="0" w:line="260" w:lineRule="auto"/>
        <w:rPr>
          <w:sz w:val="20"/>
          <w:szCs w:val="20"/>
          <w:color w:val="auto"/>
        </w:rPr>
      </w:pPr>
      <w:r>
        <w:rPr>
          <w:rFonts w:ascii="Arial" w:cs="Arial" w:eastAsia="Arial" w:hAnsi="Arial"/>
          <w:sz w:val="16"/>
          <w:szCs w:val="16"/>
          <w:color w:val="auto"/>
        </w:rPr>
        <w:t>Under the requirements of Section 13 or 15(d) of the Securities Exchange Act of 1934, this report was signed on behalf of the Registrant by the authorized person named below.</w:t>
      </w:r>
    </w:p>
    <w:p>
      <w:pPr>
        <w:spacing w:after="0" w:line="175"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Upjohn Inc.</w:t>
      </w:r>
    </w:p>
    <w:p>
      <w:pPr>
        <w:spacing w:after="0" w:line="255" w:lineRule="exact"/>
        <w:rPr>
          <w:sz w:val="20"/>
          <w:szCs w:val="20"/>
          <w:color w:val="auto"/>
        </w:rPr>
      </w:pPr>
    </w:p>
    <w:p>
      <w:pPr>
        <w:ind w:left="160"/>
        <w:spacing w:after="0"/>
        <w:tabs>
          <w:tab w:leader="none" w:pos="5720" w:val="left"/>
          <w:tab w:leader="none" w:pos="6260" w:val="left"/>
        </w:tabs>
        <w:rPr>
          <w:sz w:val="20"/>
          <w:szCs w:val="20"/>
          <w:color w:val="auto"/>
        </w:rPr>
      </w:pPr>
      <w:r>
        <w:rPr>
          <w:rFonts w:ascii="Arial" w:cs="Arial" w:eastAsia="Arial" w:hAnsi="Arial"/>
          <w:sz w:val="16"/>
          <w:szCs w:val="16"/>
          <w:color w:val="auto"/>
        </w:rPr>
        <w:t>Dated: May 7,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MICHAEL GOETTLER</w:t>
      </w:r>
    </w:p>
    <w:p>
      <w:pPr>
        <w:spacing w:after="0" w:line="161"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Michael Goettler</w:t>
      </w:r>
    </w:p>
    <w:p>
      <w:pPr>
        <w:spacing w:after="0" w:line="25"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President (Principal Executive Officer)</w:t>
      </w:r>
    </w:p>
    <w:p>
      <w:pPr>
        <w:spacing w:after="0" w:line="262" w:lineRule="exact"/>
        <w:rPr>
          <w:sz w:val="20"/>
          <w:szCs w:val="20"/>
          <w:color w:val="auto"/>
        </w:rPr>
      </w:pPr>
    </w:p>
    <w:p>
      <w:pPr>
        <w:ind w:left="120" w:right="340"/>
        <w:spacing w:after="0" w:line="260" w:lineRule="auto"/>
        <w:rPr>
          <w:sz w:val="20"/>
          <w:szCs w:val="20"/>
          <w:color w:val="auto"/>
        </w:rPr>
      </w:pPr>
      <w:r>
        <w:rPr>
          <w:rFonts w:ascii="Arial" w:cs="Arial" w:eastAsia="Arial" w:hAnsi="Arial"/>
          <w:sz w:val="16"/>
          <w:szCs w:val="16"/>
          <w:color w:val="auto"/>
        </w:rPr>
        <w:t>Under the requirements of the Securities Exchange Act of 1934, this report was signed by the following persons on behalf of the Registrant and in the capacities and on the date indicated.</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8"/>
                <w:szCs w:val="18"/>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Title</w:t>
            </w:r>
          </w:p>
        </w:tc>
        <w:tc>
          <w:tcPr>
            <w:tcW w:w="220" w:type="dxa"/>
            <w:vAlign w:val="bottom"/>
          </w:tcPr>
          <w:p>
            <w:pPr>
              <w:spacing w:after="0"/>
              <w:rPr>
                <w:sz w:val="18"/>
                <w:szCs w:val="18"/>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Date</w:t>
            </w:r>
          </w:p>
        </w:tc>
      </w:tr>
      <w:tr>
        <w:trPr>
          <w:trHeight w:val="380"/>
        </w:trPr>
        <w:tc>
          <w:tcPr>
            <w:tcW w:w="4780" w:type="dxa"/>
            <w:vAlign w:val="bottom"/>
          </w:tcPr>
          <w:p>
            <w:pPr>
              <w:spacing w:after="0"/>
              <w:rPr>
                <w:sz w:val="20"/>
                <w:szCs w:val="20"/>
                <w:color w:val="auto"/>
              </w:rPr>
            </w:pPr>
            <w:r>
              <w:rPr>
                <w:rFonts w:ascii="Arial" w:cs="Arial" w:eastAsia="Arial" w:hAnsi="Arial"/>
                <w:sz w:val="16"/>
                <w:szCs w:val="16"/>
                <w:color w:val="auto"/>
              </w:rPr>
              <w:t>/S/ MICHAEL GOETTLER</w:t>
            </w:r>
          </w:p>
        </w:tc>
        <w:tc>
          <w:tcPr>
            <w:tcW w:w="10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President</w:t>
            </w:r>
          </w:p>
        </w:tc>
        <w:tc>
          <w:tcPr>
            <w:tcW w:w="2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May 7, 2020</w:t>
            </w:r>
          </w:p>
        </w:tc>
      </w:tr>
      <w:tr>
        <w:trPr>
          <w:trHeight w:val="215"/>
        </w:trPr>
        <w:tc>
          <w:tcPr>
            <w:tcW w:w="4780" w:type="dxa"/>
            <w:vAlign w:val="bottom"/>
          </w:tcPr>
          <w:p>
            <w:pPr>
              <w:spacing w:after="0"/>
              <w:rPr>
                <w:sz w:val="20"/>
                <w:szCs w:val="20"/>
                <w:color w:val="auto"/>
              </w:rPr>
            </w:pPr>
            <w:r>
              <w:rPr>
                <w:rFonts w:ascii="Arial" w:cs="Arial" w:eastAsia="Arial" w:hAnsi="Arial"/>
                <w:sz w:val="16"/>
                <w:szCs w:val="16"/>
                <w:b w:val="1"/>
                <w:bCs w:val="1"/>
                <w:color w:val="auto"/>
              </w:rPr>
              <w:t>Michael Goettler</w:t>
            </w:r>
          </w:p>
        </w:tc>
        <w:tc>
          <w:tcPr>
            <w:tcW w:w="10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(Principal Executive Officer)</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79"/>
        </w:trPr>
        <w:tc>
          <w:tcPr>
            <w:tcW w:w="4780" w:type="dxa"/>
            <w:vAlign w:val="bottom"/>
          </w:tcPr>
          <w:p>
            <w:pPr>
              <w:spacing w:after="0"/>
              <w:rPr>
                <w:sz w:val="20"/>
                <w:szCs w:val="20"/>
                <w:color w:val="auto"/>
              </w:rPr>
            </w:pPr>
            <w:r>
              <w:rPr>
                <w:rFonts w:ascii="Arial" w:cs="Arial" w:eastAsia="Arial" w:hAnsi="Arial"/>
                <w:sz w:val="16"/>
                <w:szCs w:val="16"/>
                <w:color w:val="auto"/>
              </w:rPr>
              <w:t>/S/ SANJEEV NARULA</w:t>
            </w:r>
          </w:p>
        </w:tc>
        <w:tc>
          <w:tcPr>
            <w:tcW w:w="10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Chief Financial Officer, Controller and Treasurer</w:t>
            </w:r>
          </w:p>
        </w:tc>
        <w:tc>
          <w:tcPr>
            <w:tcW w:w="2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May 7, 2020</w:t>
            </w:r>
          </w:p>
        </w:tc>
      </w:tr>
      <w:tr>
        <w:trPr>
          <w:trHeight w:val="215"/>
        </w:trPr>
        <w:tc>
          <w:tcPr>
            <w:tcW w:w="4780" w:type="dxa"/>
            <w:vAlign w:val="bottom"/>
          </w:tcPr>
          <w:p>
            <w:pPr>
              <w:spacing w:after="0"/>
              <w:rPr>
                <w:sz w:val="20"/>
                <w:szCs w:val="20"/>
                <w:color w:val="auto"/>
              </w:rPr>
            </w:pPr>
            <w:r>
              <w:rPr>
                <w:rFonts w:ascii="Arial" w:cs="Arial" w:eastAsia="Arial" w:hAnsi="Arial"/>
                <w:sz w:val="16"/>
                <w:szCs w:val="16"/>
                <w:b w:val="1"/>
                <w:bCs w:val="1"/>
                <w:color w:val="auto"/>
              </w:rPr>
              <w:t>Sanjeev Narula</w:t>
            </w:r>
          </w:p>
        </w:tc>
        <w:tc>
          <w:tcPr>
            <w:tcW w:w="10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(Principal Financial and Accounting Officer)</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79"/>
        </w:trPr>
        <w:tc>
          <w:tcPr>
            <w:tcW w:w="4780" w:type="dxa"/>
            <w:vAlign w:val="bottom"/>
          </w:tcPr>
          <w:p>
            <w:pPr>
              <w:spacing w:after="0"/>
              <w:rPr>
                <w:sz w:val="20"/>
                <w:szCs w:val="20"/>
                <w:color w:val="auto"/>
              </w:rPr>
            </w:pPr>
            <w:r>
              <w:rPr>
                <w:rFonts w:ascii="Arial" w:cs="Arial" w:eastAsia="Arial" w:hAnsi="Arial"/>
                <w:sz w:val="16"/>
                <w:szCs w:val="16"/>
                <w:color w:val="auto"/>
              </w:rPr>
              <w:t>/S/ BRYAN SUPRAN</w:t>
            </w:r>
          </w:p>
        </w:tc>
        <w:tc>
          <w:tcPr>
            <w:tcW w:w="10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Director</w:t>
            </w:r>
          </w:p>
        </w:tc>
        <w:tc>
          <w:tcPr>
            <w:tcW w:w="2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May 7, 2020</w:t>
            </w:r>
          </w:p>
        </w:tc>
      </w:tr>
      <w:tr>
        <w:trPr>
          <w:trHeight w:val="215"/>
        </w:trPr>
        <w:tc>
          <w:tcPr>
            <w:tcW w:w="4780" w:type="dxa"/>
            <w:vAlign w:val="bottom"/>
          </w:tcPr>
          <w:p>
            <w:pPr>
              <w:spacing w:after="0"/>
              <w:rPr>
                <w:sz w:val="20"/>
                <w:szCs w:val="20"/>
                <w:color w:val="auto"/>
              </w:rPr>
            </w:pPr>
            <w:r>
              <w:rPr>
                <w:rFonts w:ascii="Arial" w:cs="Arial" w:eastAsia="Arial" w:hAnsi="Arial"/>
                <w:sz w:val="16"/>
                <w:szCs w:val="16"/>
                <w:b w:val="1"/>
                <w:bCs w:val="1"/>
                <w:color w:val="auto"/>
              </w:rPr>
              <w:t>Bryan Supran</w:t>
            </w: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79"/>
        </w:trPr>
        <w:tc>
          <w:tcPr>
            <w:tcW w:w="4780" w:type="dxa"/>
            <w:vAlign w:val="bottom"/>
          </w:tcPr>
          <w:p>
            <w:pPr>
              <w:spacing w:after="0"/>
              <w:rPr>
                <w:sz w:val="20"/>
                <w:szCs w:val="20"/>
                <w:color w:val="auto"/>
              </w:rPr>
            </w:pPr>
            <w:r>
              <w:rPr>
                <w:rFonts w:ascii="Arial" w:cs="Arial" w:eastAsia="Arial" w:hAnsi="Arial"/>
                <w:sz w:val="16"/>
                <w:szCs w:val="16"/>
                <w:color w:val="auto"/>
              </w:rPr>
              <w:t>/S/ MARGARET M. MADDEN</w:t>
            </w:r>
          </w:p>
        </w:tc>
        <w:tc>
          <w:tcPr>
            <w:tcW w:w="10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Director</w:t>
            </w:r>
          </w:p>
        </w:tc>
        <w:tc>
          <w:tcPr>
            <w:tcW w:w="2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May 7, 2020</w:t>
            </w:r>
          </w:p>
        </w:tc>
      </w:tr>
      <w:tr>
        <w:trPr>
          <w:trHeight w:val="215"/>
        </w:trPr>
        <w:tc>
          <w:tcPr>
            <w:tcW w:w="4780" w:type="dxa"/>
            <w:vAlign w:val="bottom"/>
          </w:tcPr>
          <w:p>
            <w:pPr>
              <w:spacing w:after="0"/>
              <w:rPr>
                <w:sz w:val="20"/>
                <w:szCs w:val="20"/>
                <w:color w:val="auto"/>
              </w:rPr>
            </w:pPr>
            <w:r>
              <w:rPr>
                <w:rFonts w:ascii="Arial" w:cs="Arial" w:eastAsia="Arial" w:hAnsi="Arial"/>
                <w:sz w:val="16"/>
                <w:szCs w:val="16"/>
                <w:b w:val="1"/>
                <w:bCs w:val="1"/>
                <w:color w:val="auto"/>
              </w:rPr>
              <w:t>Margaret M. Madden</w:t>
            </w: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79"/>
        </w:trPr>
        <w:tc>
          <w:tcPr>
            <w:tcW w:w="4780" w:type="dxa"/>
            <w:vAlign w:val="bottom"/>
          </w:tcPr>
          <w:p>
            <w:pPr>
              <w:spacing w:after="0"/>
              <w:rPr>
                <w:sz w:val="20"/>
                <w:szCs w:val="20"/>
                <w:color w:val="auto"/>
              </w:rPr>
            </w:pPr>
            <w:r>
              <w:rPr>
                <w:rFonts w:ascii="Arial" w:cs="Arial" w:eastAsia="Arial" w:hAnsi="Arial"/>
                <w:sz w:val="16"/>
                <w:szCs w:val="16"/>
                <w:color w:val="auto"/>
              </w:rPr>
              <w:t>/S/ DOUGLAS E. GIORDANO</w:t>
            </w:r>
          </w:p>
        </w:tc>
        <w:tc>
          <w:tcPr>
            <w:tcW w:w="10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Director</w:t>
            </w:r>
          </w:p>
        </w:tc>
        <w:tc>
          <w:tcPr>
            <w:tcW w:w="2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6"/>
                <w:szCs w:val="16"/>
                <w:color w:val="auto"/>
              </w:rPr>
              <w:t>May 7, 2020</w:t>
            </w:r>
          </w:p>
        </w:tc>
      </w:tr>
      <w:tr>
        <w:trPr>
          <w:trHeight w:val="215"/>
        </w:trPr>
        <w:tc>
          <w:tcPr>
            <w:tcW w:w="4780" w:type="dxa"/>
            <w:vAlign w:val="bottom"/>
          </w:tcPr>
          <w:p>
            <w:pPr>
              <w:spacing w:after="0"/>
              <w:rPr>
                <w:sz w:val="20"/>
                <w:szCs w:val="20"/>
                <w:color w:val="auto"/>
              </w:rPr>
            </w:pPr>
            <w:r>
              <w:rPr>
                <w:rFonts w:ascii="Arial" w:cs="Arial" w:eastAsia="Arial" w:hAnsi="Arial"/>
                <w:sz w:val="16"/>
                <w:szCs w:val="16"/>
                <w:b w:val="1"/>
                <w:bCs w:val="1"/>
                <w:color w:val="auto"/>
              </w:rPr>
              <w:t>Douglas E. Giordano</w:t>
            </w: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86" w:right="4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31.1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Principal Executive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 Michael Goettler, certify that:</w:t>
      </w:r>
    </w:p>
    <w:p>
      <w:pPr>
        <w:spacing w:after="0" w:line="113" w:lineRule="exact"/>
        <w:rPr>
          <w:sz w:val="20"/>
          <w:szCs w:val="20"/>
          <w:color w:val="auto"/>
        </w:rPr>
      </w:pPr>
    </w:p>
    <w:p>
      <w:pPr>
        <w:ind w:left="640" w:hanging="314"/>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 have reviewed this Special Financial Report on Form 10-K of Upjohn Inc.;</w:t>
      </w:r>
    </w:p>
    <w:p>
      <w:pPr>
        <w:spacing w:after="0" w:line="113" w:lineRule="exact"/>
        <w:rPr>
          <w:rFonts w:ascii="Arial" w:cs="Arial" w:eastAsia="Arial" w:hAnsi="Arial"/>
          <w:sz w:val="16"/>
          <w:szCs w:val="16"/>
          <w:color w:val="auto"/>
        </w:rPr>
      </w:pPr>
    </w:p>
    <w:p>
      <w:pPr>
        <w:ind w:right="180" w:firstLine="326"/>
        <w:spacing w:after="0" w:line="253" w:lineRule="auto"/>
        <w:tabs>
          <w:tab w:leader="none" w:pos="646"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6"/>
          <w:szCs w:val="16"/>
          <w:color w:val="auto"/>
        </w:rPr>
      </w:pPr>
    </w:p>
    <w:p>
      <w:pPr>
        <w:ind w:right="40" w:firstLine="326"/>
        <w:spacing w:after="0" w:line="260" w:lineRule="auto"/>
        <w:tabs>
          <w:tab w:leader="none" w:pos="646"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ind w:left="640" w:hanging="314"/>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Intentionally omitted; and</w:t>
      </w:r>
    </w:p>
    <w:p>
      <w:pPr>
        <w:spacing w:after="0" w:line="113" w:lineRule="exact"/>
        <w:rPr>
          <w:rFonts w:ascii="Arial" w:cs="Arial" w:eastAsia="Arial" w:hAnsi="Arial"/>
          <w:sz w:val="16"/>
          <w:szCs w:val="16"/>
          <w:color w:val="auto"/>
        </w:rPr>
      </w:pPr>
    </w:p>
    <w:p>
      <w:pPr>
        <w:ind w:left="640" w:hanging="314"/>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Intentionally omitted.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MICHAEL GOETTLER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Michael Goettler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President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020"/>
          </w:cols>
          <w:pgMar w:left="440" w:top="118" w:right="4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31.2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Chief Financial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 Sanjeev Narula, certify that:</w:t>
      </w:r>
    </w:p>
    <w:p>
      <w:pPr>
        <w:spacing w:after="0" w:line="113" w:lineRule="exact"/>
        <w:rPr>
          <w:sz w:val="20"/>
          <w:szCs w:val="20"/>
          <w:color w:val="auto"/>
        </w:rPr>
      </w:pPr>
    </w:p>
    <w:p>
      <w:pPr>
        <w:ind w:left="640" w:hanging="314"/>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 have reviewed this Special Financial Report on Form 10-K of Upjohn Inc.;</w:t>
      </w:r>
    </w:p>
    <w:p>
      <w:pPr>
        <w:spacing w:after="0" w:line="113" w:lineRule="exact"/>
        <w:rPr>
          <w:rFonts w:ascii="Arial" w:cs="Arial" w:eastAsia="Arial" w:hAnsi="Arial"/>
          <w:sz w:val="16"/>
          <w:szCs w:val="16"/>
          <w:color w:val="auto"/>
        </w:rPr>
      </w:pPr>
    </w:p>
    <w:p>
      <w:pPr>
        <w:ind w:right="180" w:firstLine="326"/>
        <w:spacing w:after="0" w:line="253" w:lineRule="auto"/>
        <w:tabs>
          <w:tab w:leader="none" w:pos="646"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6"/>
          <w:szCs w:val="16"/>
          <w:color w:val="auto"/>
        </w:rPr>
      </w:pPr>
    </w:p>
    <w:p>
      <w:pPr>
        <w:ind w:right="40" w:firstLine="326"/>
        <w:spacing w:after="0" w:line="260" w:lineRule="auto"/>
        <w:tabs>
          <w:tab w:leader="none" w:pos="646"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ind w:left="640" w:hanging="314"/>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Intentionally omitted; and</w:t>
      </w:r>
    </w:p>
    <w:p>
      <w:pPr>
        <w:spacing w:after="0" w:line="113" w:lineRule="exact"/>
        <w:rPr>
          <w:rFonts w:ascii="Arial" w:cs="Arial" w:eastAsia="Arial" w:hAnsi="Arial"/>
          <w:sz w:val="16"/>
          <w:szCs w:val="16"/>
          <w:color w:val="auto"/>
        </w:rPr>
      </w:pPr>
    </w:p>
    <w:p>
      <w:pPr>
        <w:ind w:left="640" w:hanging="314"/>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Intentionally omitted.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SANJEEV NARULA</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Sanjeev Narula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Chief Financial Officer, Controller and Treasurer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Financial and Accounting Officer)</w:t>
      </w:r>
    </w:p>
    <w:p>
      <w:pPr>
        <w:sectPr>
          <w:pgSz w:w="11900" w:h="16838" w:orient="portrait"/>
          <w:cols w:equalWidth="0" w:num="1">
            <w:col w:w="11020"/>
          </w:cols>
          <w:pgMar w:left="440" w:top="118" w:right="4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Principal Executive Officer Pursuant to 18 U.S.C. Section 1350, as Adopted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right="20" w:firstLine="881"/>
        <w:spacing w:after="0" w:line="251" w:lineRule="auto"/>
        <w:rPr>
          <w:sz w:val="20"/>
          <w:szCs w:val="20"/>
          <w:color w:val="auto"/>
        </w:rPr>
      </w:pPr>
      <w:r>
        <w:rPr>
          <w:rFonts w:ascii="Arial" w:cs="Arial" w:eastAsia="Arial" w:hAnsi="Arial"/>
          <w:sz w:val="16"/>
          <w:szCs w:val="16"/>
          <w:color w:val="auto"/>
        </w:rPr>
        <w:t>Pursuant to 18 U.S.C. Section 1350, I, Michael Goettler, hereby certify that, to the best of my knowledge, the Special Financial Report on Form 10-K of Upjohn Inc. for the period from February 14 (date of incorporation) to December 31, 2019 (the “Report”) fully complies with the requirements of Section 13(a) or Section 15(d) of the Securities Exchange Act of 1934, and that the information contained in that Report fairly presents, in all material respects, the financial condition and results of operations of Upjohn Inc.</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MICHAEL GOETTLER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Michael Goettler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President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Executive Officer)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May 7, 2020</w:t>
      </w:r>
    </w:p>
    <w:p>
      <w:pPr>
        <w:spacing w:after="0" w:line="154" w:lineRule="exact"/>
        <w:rPr>
          <w:sz w:val="20"/>
          <w:szCs w:val="20"/>
          <w:color w:val="auto"/>
        </w:rPr>
      </w:pPr>
    </w:p>
    <w:p>
      <w:pPr>
        <w:ind w:right="100" w:firstLine="881"/>
        <w:spacing w:after="0" w:line="251" w:lineRule="auto"/>
        <w:rPr>
          <w:sz w:val="20"/>
          <w:szCs w:val="20"/>
          <w:color w:val="auto"/>
        </w:rPr>
      </w:pPr>
      <w:r>
        <w:rPr>
          <w:rFonts w:ascii="Arial" w:cs="Arial" w:eastAsia="Arial" w:hAnsi="Arial"/>
          <w:sz w:val="16"/>
          <w:szCs w:val="16"/>
          <w:color w:val="auto"/>
        </w:rPr>
        <w:t>This certification accompanies this Special Financial Report on Form 10-K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020"/>
          </w:cols>
          <w:pgMar w:left="440" w:top="118" w:right="4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32.2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Chief Financial Officer Pursuant to 18 U.S.C. Section 1350, as Adopted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right="20" w:firstLine="881"/>
        <w:spacing w:after="0" w:line="251" w:lineRule="auto"/>
        <w:rPr>
          <w:sz w:val="20"/>
          <w:szCs w:val="20"/>
          <w:color w:val="auto"/>
        </w:rPr>
      </w:pPr>
      <w:r>
        <w:rPr>
          <w:rFonts w:ascii="Arial" w:cs="Arial" w:eastAsia="Arial" w:hAnsi="Arial"/>
          <w:sz w:val="16"/>
          <w:szCs w:val="16"/>
          <w:color w:val="auto"/>
        </w:rPr>
        <w:t>Pursuant to 18 U.S.C. Section 1350, I, Sanjeev Narula, hereby certify that, to the best of my knowledge, the Special Financial Report on Form 10-K of Upjohn Inc. for the period from February 14 (date of incorporation) to December 31, 2019 (the “Report”) fully complies with the requirements of Section 13(a) or Section 15(d) of the Securities Exchange Act of 1934, and that the information contained in that Report fairly presents, in all material respects, the financial condition and results of operations of Upjohn Inc.</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SANJEEV NARULA</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Sanjeev Narula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Chief Financial Officer, Controller and Treasurer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Financial and Accounting Officer)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May 7, 2020</w:t>
      </w:r>
    </w:p>
    <w:p>
      <w:pPr>
        <w:spacing w:after="0" w:line="154" w:lineRule="exact"/>
        <w:rPr>
          <w:sz w:val="20"/>
          <w:szCs w:val="20"/>
          <w:color w:val="auto"/>
        </w:rPr>
      </w:pPr>
    </w:p>
    <w:p>
      <w:pPr>
        <w:ind w:right="100" w:firstLine="881"/>
        <w:spacing w:after="0" w:line="251" w:lineRule="auto"/>
        <w:rPr>
          <w:sz w:val="20"/>
          <w:szCs w:val="20"/>
          <w:color w:val="auto"/>
        </w:rPr>
      </w:pPr>
      <w:r>
        <w:rPr>
          <w:rFonts w:ascii="Arial" w:cs="Arial" w:eastAsia="Arial" w:hAnsi="Arial"/>
          <w:sz w:val="16"/>
          <w:szCs w:val="16"/>
          <w:color w:val="auto"/>
        </w:rPr>
        <w:t>This certification accompanies this Special Financial Report on Form 10-K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020"/>
      </w:cols>
      <w:pgMar w:left="440" w:top="11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2020-05-07T12:43:54Z</dcterms:created>
  <dcterms:modified xsi:type="dcterms:W3CDTF">2020-05-07T12:43:54Z</dcterms:modified>
</cp:coreProperties>
</file>