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5168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168900"/>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SEVERINO MICHAEL</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03/06/2026</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9" w:lineRule="exact"/>
        <w:rPr>
          <w:sz w:val="24"/>
          <w:szCs w:val="24"/>
          <w:color w:val="auto"/>
        </w:rPr>
      </w:pPr>
    </w:p>
    <w:p>
      <w:pPr>
        <w:sectPr>
          <w:pgSz w:w="11900" w:h="16838" w:orient="portrait"/>
          <w:cols w:equalWidth="0" w:num="3">
            <w:col w:w="3180" w:space="720"/>
            <w:col w:w="3117" w:space="720"/>
            <w:col w:w="3343"/>
          </w:cols>
          <w:pgMar w:left="460" w:top="214" w:right="359" w:bottom="1440" w:gutter="0" w:footer="0" w:header="0"/>
          <w:type w:val="continuous"/>
        </w:sectPr>
      </w:pPr>
    </w:p>
    <w:p>
      <w:pPr>
        <w:spacing w:after="0" w:line="225"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CANONSBURG</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15317</w:t>
            </w:r>
          </w:p>
        </w:tc>
      </w:tr>
      <w:tr>
        <w:trPr>
          <w:trHeight w:val="145"/>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60" w:space="140"/>
            <w:col w:w="718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jc w:val="center"/>
              <w:ind w:left="595"/>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2"/>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2"/>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8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0000FF"/>
              </w:rPr>
              <w:t>03/06/2026</w:t>
            </w: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25,112</w:t>
            </w:r>
          </w:p>
        </w:tc>
        <w:tc>
          <w:tcPr>
            <w:tcW w:w="6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ind w:left="2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25,112</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80"/>
              <w:spacing w:after="0"/>
              <w:rPr>
                <w:sz w:val="20"/>
                <w:szCs w:val="20"/>
                <w:color w:val="auto"/>
              </w:rPr>
            </w:pPr>
            <w:r>
              <w:rPr>
                <w:rFonts w:ascii="Times New Roman" w:cs="Times New Roman" w:eastAsia="Times New Roman" w:hAnsi="Times New Roman"/>
                <w:sz w:val="16"/>
                <w:szCs w:val="16"/>
                <w:color w:val="0000FF"/>
              </w:rPr>
              <w:t>03/06/2026</w:t>
            </w:r>
          </w:p>
        </w:tc>
        <w:tc>
          <w:tcPr>
            <w:tcW w:w="4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919</w:t>
            </w:r>
            <w:r>
              <w:rPr>
                <w:rFonts w:ascii="Times New Roman" w:cs="Times New Roman" w:eastAsia="Times New Roman" w:hAnsi="Times New Roman"/>
                <w:sz w:val="20"/>
                <w:szCs w:val="20"/>
                <w:color w:val="008000"/>
                <w:vertAlign w:val="superscript"/>
              </w:rPr>
              <w:t>(1)</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26,031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81"/>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81"/>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25,112</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03/06/2026</w:t>
            </w:r>
          </w:p>
        </w:tc>
        <w:tc>
          <w:tcPr>
            <w:tcW w:w="1060" w:type="dxa"/>
            <w:vAlign w:val="bottom"/>
          </w:tcPr>
          <w:p>
            <w:pPr>
              <w:spacing w:after="0"/>
              <w:rPr>
                <w:sz w:val="5"/>
                <w:szCs w:val="5"/>
                <w:color w:val="auto"/>
              </w:rPr>
            </w:pPr>
          </w:p>
        </w:tc>
        <w:tc>
          <w:tcPr>
            <w:tcW w:w="800" w:type="dxa"/>
            <w:vAlign w:val="bottom"/>
            <w:vMerge w:val="restart"/>
          </w:tcPr>
          <w:p>
            <w:pPr>
              <w:jc w:val="center"/>
              <w:ind w:right="321"/>
              <w:spacing w:after="0" w:line="138" w:lineRule="exact"/>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tcPr>
          <w:p>
            <w:pPr>
              <w:spacing w:after="0"/>
              <w:rPr>
                <w:sz w:val="5"/>
                <w:szCs w:val="5"/>
                <w:color w:val="auto"/>
              </w:rPr>
            </w:pPr>
          </w:p>
        </w:tc>
        <w:tc>
          <w:tcPr>
            <w:tcW w:w="580" w:type="dxa"/>
            <w:vAlign w:val="bottom"/>
            <w:vMerge w:val="restart"/>
          </w:tcPr>
          <w:p>
            <w:pPr>
              <w:jc w:val="right"/>
              <w:ind w:right="79"/>
              <w:spacing w:after="0" w:line="138" w:lineRule="exact"/>
              <w:rPr>
                <w:sz w:val="20"/>
                <w:szCs w:val="20"/>
                <w:color w:val="auto"/>
              </w:rPr>
            </w:pPr>
            <w:r>
              <w:rPr>
                <w:rFonts w:ascii="Times New Roman" w:cs="Times New Roman" w:eastAsia="Times New Roman" w:hAnsi="Times New Roman"/>
                <w:sz w:val="13"/>
                <w:szCs w:val="13"/>
                <w:color w:val="0000FF"/>
              </w:rPr>
              <w:t>25,112</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6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vMerge w:val="restart"/>
          </w:tcPr>
          <w:p>
            <w:pPr>
              <w:jc w:val="center"/>
              <w:ind w:left="202"/>
              <w:spacing w:after="0" w:line="13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5"/>
                <w:szCs w:val="5"/>
                <w:color w:val="auto"/>
              </w:rPr>
            </w:pP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918.455</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ind w:left="3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03/06/2026</w:t>
            </w:r>
          </w:p>
        </w:tc>
        <w:tc>
          <w:tcPr>
            <w:tcW w:w="1060" w:type="dxa"/>
            <w:vAlign w:val="bottom"/>
          </w:tcPr>
          <w:p>
            <w:pPr>
              <w:spacing w:after="0"/>
              <w:rPr>
                <w:sz w:val="10"/>
                <w:szCs w:val="10"/>
                <w:color w:val="auto"/>
              </w:rPr>
            </w:pPr>
          </w:p>
        </w:tc>
        <w:tc>
          <w:tcPr>
            <w:tcW w:w="800" w:type="dxa"/>
            <w:vAlign w:val="bottom"/>
          </w:tcPr>
          <w:p>
            <w:pPr>
              <w:jc w:val="center"/>
              <w:ind w:right="321"/>
              <w:spacing w:after="0" w:line="126" w:lineRule="exact"/>
              <w:rPr>
                <w:sz w:val="20"/>
                <w:szCs w:val="20"/>
                <w:color w:val="auto"/>
              </w:rPr>
            </w:pPr>
            <w:r>
              <w:rPr>
                <w:rFonts w:ascii="Times New Roman" w:cs="Times New Roman" w:eastAsia="Times New Roman" w:hAnsi="Times New Roman"/>
                <w:sz w:val="13"/>
                <w:szCs w:val="13"/>
                <w:color w:val="0000FF"/>
                <w:w w:val="86"/>
              </w:rPr>
              <w:t>M</w:t>
            </w:r>
          </w:p>
        </w:tc>
        <w:tc>
          <w:tcPr>
            <w:tcW w:w="460" w:type="dxa"/>
            <w:vAlign w:val="bottom"/>
          </w:tcPr>
          <w:p>
            <w:pPr>
              <w:spacing w:after="0"/>
              <w:rPr>
                <w:sz w:val="10"/>
                <w:szCs w:val="10"/>
                <w:color w:val="auto"/>
              </w:rPr>
            </w:pPr>
          </w:p>
        </w:tc>
        <w:tc>
          <w:tcPr>
            <w:tcW w:w="580" w:type="dxa"/>
            <w:vAlign w:val="bottom"/>
          </w:tcPr>
          <w:p>
            <w:pPr>
              <w:jc w:val="right"/>
              <w:ind w:right="39"/>
              <w:spacing w:after="0" w:line="126" w:lineRule="exact"/>
              <w:rPr>
                <w:sz w:val="20"/>
                <w:szCs w:val="20"/>
                <w:color w:val="auto"/>
              </w:rPr>
            </w:pPr>
            <w:r>
              <w:rPr>
                <w:rFonts w:ascii="Times New Roman" w:cs="Times New Roman" w:eastAsia="Times New Roman" w:hAnsi="Times New Roman"/>
                <w:sz w:val="13"/>
                <w:szCs w:val="13"/>
                <w:color w:val="0000FF"/>
              </w:rPr>
              <w:t>918.455</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ind w:right="61"/>
              <w:spacing w:after="0" w:line="12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tcPr>
          <w:p>
            <w:pPr>
              <w:jc w:val="center"/>
              <w:ind w:left="202"/>
              <w:spacing w:after="0" w:line="126"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0"/>
                <w:szCs w:val="10"/>
                <w:color w:val="auto"/>
              </w:rPr>
            </w:pPr>
          </w:p>
        </w:tc>
        <w:tc>
          <w:tcPr>
            <w:tcW w:w="640" w:type="dxa"/>
            <w:vAlign w:val="bottom"/>
          </w:tcPr>
          <w:p>
            <w:pPr>
              <w:ind w:left="34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12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15,890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03/06/2026</w:t>
            </w:r>
          </w:p>
        </w:tc>
        <w:tc>
          <w:tcPr>
            <w:tcW w:w="1060" w:type="dxa"/>
            <w:vAlign w:val="bottom"/>
          </w:tcPr>
          <w:p>
            <w:pPr>
              <w:spacing w:after="0"/>
              <w:rPr>
                <w:sz w:val="5"/>
                <w:szCs w:val="5"/>
                <w:color w:val="auto"/>
              </w:rPr>
            </w:pPr>
          </w:p>
        </w:tc>
        <w:tc>
          <w:tcPr>
            <w:tcW w:w="800" w:type="dxa"/>
            <w:vAlign w:val="bottom"/>
            <w:vMerge w:val="restart"/>
          </w:tcPr>
          <w:p>
            <w:pPr>
              <w:jc w:val="center"/>
              <w:ind w:right="321"/>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15,890</w:t>
            </w: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6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15,890</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-2317750</wp:posOffset>
            </wp:positionV>
            <wp:extent cx="28575" cy="2322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228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0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These RSUs vested in full on March 6, 2026.</w:t>
      </w:r>
    </w:p>
    <w:p>
      <w:pPr>
        <w:spacing w:after="0" w:line="38" w:lineRule="exact"/>
        <w:rPr>
          <w:rFonts w:ascii="Times New Roman" w:cs="Times New Roman" w:eastAsia="Times New Roman" w:hAnsi="Times New Roman"/>
          <w:sz w:val="13"/>
          <w:szCs w:val="13"/>
          <w:color w:val="008000"/>
        </w:rPr>
      </w:pPr>
    </w:p>
    <w:p>
      <w:pPr>
        <w:ind w:left="40" w:right="44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that accrued with respect to the RSUs previously granted on May 12, 2025 and vested on the same schedule as the underlying RSUs. Amount represents DEUs that accrued with respect to such RSUs in transactions exempt from Section 16 under Rule 16a-11.</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These RSUs will vest on March 6, 2027.</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03/10/2026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1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450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085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-80010</wp:posOffset>
            </wp:positionV>
            <wp:extent cx="470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9447"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2026-03-10T18:08:01Z</dcterms:created>
  <dcterms:modified xsi:type="dcterms:W3CDTF">2026-03-10T18:08:01Z</dcterms:modified>
</cp:coreProperties>
</file>