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1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5315585</wp:posOffset>
            </wp:positionH>
            <wp:positionV relativeFrom="paragraph">
              <wp:posOffset>-610235</wp:posOffset>
            </wp:positionV>
            <wp:extent cx="8255" cy="6108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0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4011295</wp:posOffset>
            </wp:positionH>
            <wp:positionV relativeFrom="paragraph">
              <wp:posOffset>-618490</wp:posOffset>
            </wp:positionV>
            <wp:extent cx="8255" cy="6191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9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4036060</wp:posOffset>
            </wp:positionH>
            <wp:positionV relativeFrom="paragraph">
              <wp:posOffset>-593725</wp:posOffset>
            </wp:positionV>
            <wp:extent cx="1263015" cy="5695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015" cy="569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37465</wp:posOffset>
            </wp:positionV>
            <wp:extent cx="6967220" cy="16262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626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GOETTLER MICHAEL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1000 MYLAN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Viatris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VTRS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02/22/2021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6" w:right="620" w:firstLine="6"/>
        <w:spacing w:after="0" w:line="264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tbl>
      <w:tblPr>
        <w:tblLayout w:type="fixed"/>
        <w:tblInd w:w="19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9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</w:tr>
      <w:tr>
        <w:trPr>
          <w:trHeight w:val="19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</w:tr>
      <w:tr>
        <w:trPr>
          <w:trHeight w:val="17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</w:tr>
    </w:tbl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77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Executive Officer</w:t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6" w:space="720"/>
            <w:col w:w="3354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  <w:gridSpan w:val="9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1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6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jc w:val="right"/>
              <w:ind w:righ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CANONSBURG PA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15317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6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02/22/2021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3,499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7,603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02/22/2021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1,522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15.5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6,081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7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2"/>
          </w:tcPr>
          <w:p>
            <w:pPr>
              <w:jc w:val="center"/>
              <w:ind w:left="4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3,499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02/22/2021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3,499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</w:tcPr>
          <w:p>
            <w:pPr>
              <w:ind w:left="3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-3375025</wp:posOffset>
            </wp:positionV>
            <wp:extent cx="7033260" cy="341757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3417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withholding of shares of common stock for the tax liability associated with the vesting and settlement of the restricted stock units (RSUs) granted on November 20, 2020.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RSU represents the right to receive one share of common stock of Viatris Inc. These RSUs vested in full on February 22, 2021.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Kevin Macikowski, by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02/24/2021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12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power of attorney</w:t>
            </w:r>
          </w:p>
        </w:tc>
        <w:tc>
          <w:tcPr>
            <w:tcW w:w="54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12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45691" TargetMode="External"/><Relationship Id="rId14" Type="http://schemas.openxmlformats.org/officeDocument/2006/relationships/hyperlink" Target="http://www.sec.gov/cgi-bin/browse-edgar?action=getcompany&amp;CIK=00017920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2021-02-24T17:02:55Z</dcterms:created>
  <dcterms:modified xsi:type="dcterms:W3CDTF">2021-02-24T17:02:55Z</dcterms:modified>
</cp:coreProperties>
</file>