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Washington, D.C. 20549</w:t>
      </w:r>
    </w:p>
    <w:p>
      <w:pPr>
        <w:spacing w:after="0" w:line="1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10-K/A</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w:t>
      </w:r>
    </w:p>
    <w:p>
      <w:pPr>
        <w:spacing w:after="0" w:line="50" w:lineRule="exact"/>
        <w:rPr>
          <w:sz w:val="24"/>
          <w:szCs w:val="24"/>
          <w:color w:val="auto"/>
        </w:rPr>
      </w:pPr>
    </w:p>
    <w:p>
      <w:pPr>
        <w:ind w:left="660" w:right="2560" w:hanging="544"/>
        <w:spacing w:after="0" w:line="263" w:lineRule="auto"/>
        <w:tabs>
          <w:tab w:leader="none" w:pos="541"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 For the Fiscal Year Ended December 31, 2021</w:t>
      </w: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32"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48" w:lineRule="exact"/>
        <w:rPr>
          <w:sz w:val="24"/>
          <w:szCs w:val="24"/>
          <w:color w:val="auto"/>
        </w:rPr>
      </w:pPr>
    </w:p>
    <w:p>
      <w:pPr>
        <w:ind w:left="660"/>
        <w:spacing w:after="0"/>
        <w:tabs>
          <w:tab w:leader="none" w:pos="3700" w:val="left"/>
        </w:tabs>
        <w:rPr>
          <w:sz w:val="20"/>
          <w:szCs w:val="20"/>
          <w:color w:val="auto"/>
        </w:rPr>
      </w:pPr>
      <w:r>
        <w:rPr>
          <w:rFonts w:ascii="Arial" w:cs="Arial" w:eastAsia="Arial" w:hAnsi="Arial"/>
          <w:sz w:val="20"/>
          <w:szCs w:val="20"/>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001-39695</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VIATRIS INC.</w:t>
      </w:r>
    </w:p>
    <w:p>
      <w:pPr>
        <w:spacing w:after="0" w:line="45" w:lineRule="exact"/>
        <w:rPr>
          <w:sz w:val="24"/>
          <w:szCs w:val="24"/>
          <w:color w:val="auto"/>
        </w:rPr>
      </w:pPr>
    </w:p>
    <w:p>
      <w:pPr>
        <w:jc w:val="center"/>
        <w:ind w:right="-99"/>
        <w:spacing w:after="0"/>
        <w:rPr>
          <w:sz w:val="20"/>
          <w:szCs w:val="20"/>
          <w:color w:val="auto"/>
        </w:rPr>
      </w:pPr>
      <w:r>
        <w:rPr>
          <w:rFonts w:ascii="Arial" w:cs="Arial" w:eastAsia="Arial" w:hAnsi="Arial"/>
          <w:sz w:val="16"/>
          <w:szCs w:val="16"/>
          <w:i w:val="1"/>
          <w:iCs w:val="1"/>
          <w:color w:val="auto"/>
        </w:rPr>
        <w:t>(Exact name of registrant as specified in its charter)</w:t>
      </w:r>
    </w:p>
    <w:p>
      <w:pPr>
        <w:sectPr>
          <w:pgSz w:w="11900" w:h="16838" w:orient="portrait"/>
          <w:cols w:equalWidth="0" w:num="1">
            <w:col w:w="11140"/>
          </w:cols>
          <w:pgMar w:left="320" w:top="230" w:right="439" w:bottom="1440" w:gutter="0" w:footer="0" w:header="0"/>
        </w:sectPr>
      </w:pPr>
    </w:p>
    <w:p>
      <w:pPr>
        <w:spacing w:after="0" w:line="244" w:lineRule="exact"/>
        <w:rPr>
          <w:sz w:val="24"/>
          <w:szCs w:val="24"/>
          <w:color w:val="auto"/>
        </w:rPr>
      </w:pPr>
    </w:p>
    <w:p>
      <w:pPr>
        <w:ind w:left="25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83-4364296</w:t>
      </w:r>
    </w:p>
    <w:p>
      <w:pPr>
        <w:spacing w:after="0" w:line="31" w:lineRule="exact"/>
        <w:rPr>
          <w:sz w:val="24"/>
          <w:szCs w:val="24"/>
          <w:color w:val="auto"/>
        </w:rPr>
      </w:pPr>
    </w:p>
    <w:p>
      <w:pPr>
        <w:sectPr>
          <w:pgSz w:w="11900" w:h="16838" w:orient="portrait"/>
          <w:cols w:equalWidth="0" w:num="2">
            <w:col w:w="7300" w:space="720"/>
            <w:col w:w="3120"/>
          </w:cols>
          <w:pgMar w:left="320" w:top="230" w:right="439" w:bottom="1440" w:gutter="0" w:footer="0" w:header="0"/>
          <w:type w:val="continuous"/>
        </w:sectPr>
      </w:pPr>
    </w:p>
    <w:p>
      <w:pPr>
        <w:ind w:left="1040"/>
        <w:spacing w:after="0"/>
        <w:rPr>
          <w:sz w:val="20"/>
          <w:szCs w:val="20"/>
          <w:color w:val="auto"/>
        </w:rPr>
      </w:pPr>
      <w:r>
        <w:rPr>
          <w:rFonts w:ascii="Arial" w:cs="Arial" w:eastAsia="Arial" w:hAnsi="Arial"/>
          <w:sz w:val="14"/>
          <w:szCs w:val="14"/>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(I.R.S. Employer Identification No.)</w:t>
      </w:r>
    </w:p>
    <w:p>
      <w:pPr>
        <w:spacing w:after="0" w:line="16" w:lineRule="exact"/>
        <w:rPr>
          <w:sz w:val="24"/>
          <w:szCs w:val="24"/>
          <w:color w:val="auto"/>
        </w:rPr>
      </w:pPr>
    </w:p>
    <w:p>
      <w:pPr>
        <w:sectPr>
          <w:pgSz w:w="11900" w:h="16838" w:orient="portrait"/>
          <w:cols w:equalWidth="0" w:num="2">
            <w:col w:w="6640" w:space="720"/>
            <w:col w:w="3780"/>
          </w:cols>
          <w:pgMar w:left="320" w:top="230" w:right="439" w:bottom="1440"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color w:val="auto"/>
        </w:rPr>
        <w:t>1000 Mylan Boulevard, Canonsburg, Pennsylvania, 15317</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(Address of principal executive offices) (Zip Code)</w:t>
      </w:r>
    </w:p>
    <w:p>
      <w:pPr>
        <w:jc w:val="center"/>
        <w:ind w:right="-119"/>
        <w:spacing w:after="0" w:line="237" w:lineRule="auto"/>
        <w:rPr>
          <w:sz w:val="20"/>
          <w:szCs w:val="20"/>
          <w:color w:val="auto"/>
        </w:rPr>
      </w:pPr>
      <w:r>
        <w:rPr>
          <w:rFonts w:ascii="Arial" w:cs="Arial" w:eastAsia="Arial" w:hAnsi="Arial"/>
          <w:sz w:val="18"/>
          <w:szCs w:val="18"/>
          <w:b w:val="1"/>
          <w:bCs w:val="1"/>
          <w:color w:val="auto"/>
        </w:rPr>
        <w:t>(724) 514-1800</w:t>
      </w:r>
    </w:p>
    <w:p>
      <w:pPr>
        <w:spacing w:after="0" w:line="1" w:lineRule="exact"/>
        <w:rPr>
          <w:sz w:val="24"/>
          <w:szCs w:val="24"/>
          <w:color w:val="auto"/>
        </w:rPr>
      </w:pPr>
    </w:p>
    <w:p>
      <w:pPr>
        <w:ind w:left="3720"/>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11"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8" w:lineRule="exact"/>
        <w:rPr>
          <w:sz w:val="24"/>
          <w:szCs w:val="24"/>
          <w:color w:val="auto"/>
        </w:rPr>
      </w:pPr>
    </w:p>
    <w:tbl>
      <w:tblPr>
        <w:tblLayout w:type="fixed"/>
        <w:tblInd w:w="120"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2780" w:type="dxa"/>
            <w:vAlign w:val="bottom"/>
          </w:tcPr>
          <w:p>
            <w:pPr>
              <w:jc w:val="center"/>
              <w:ind w:right="250"/>
              <w:spacing w:after="0"/>
              <w:rPr>
                <w:sz w:val="20"/>
                <w:szCs w:val="20"/>
                <w:color w:val="auto"/>
              </w:rPr>
            </w:pPr>
            <w:r>
              <w:rPr>
                <w:rFonts w:ascii="Arial" w:cs="Arial" w:eastAsia="Arial" w:hAnsi="Arial"/>
                <w:sz w:val="18"/>
                <w:szCs w:val="18"/>
                <w:b w:val="1"/>
                <w:bCs w:val="1"/>
                <w:color w:val="auto"/>
                <w:w w:val="96"/>
              </w:rPr>
              <w:t>Trading</w:t>
            </w:r>
          </w:p>
        </w:tc>
        <w:tc>
          <w:tcPr>
            <w:tcW w:w="3280" w:type="dxa"/>
            <w:vAlign w:val="bottom"/>
            <w:gridSpan w:val="2"/>
          </w:tcPr>
          <w:p>
            <w:pPr>
              <w:jc w:val="center"/>
              <w:ind w:left="1110"/>
              <w:spacing w:after="0"/>
              <w:rPr>
                <w:sz w:val="20"/>
                <w:szCs w:val="20"/>
                <w:color w:val="auto"/>
              </w:rPr>
            </w:pPr>
            <w:r>
              <w:rPr>
                <w:rFonts w:ascii="Arial" w:cs="Arial" w:eastAsia="Arial" w:hAnsi="Arial"/>
                <w:sz w:val="18"/>
                <w:szCs w:val="18"/>
                <w:b w:val="1"/>
                <w:bCs w:val="1"/>
                <w:color w:val="auto"/>
                <w:w w:val="99"/>
              </w:rPr>
              <w:t>Name of Each Exchange</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180" w:type="dxa"/>
            <w:vAlign w:val="bottom"/>
          </w:tcPr>
          <w:p>
            <w:pPr>
              <w:ind w:left="880"/>
              <w:spacing w:after="0"/>
              <w:rPr>
                <w:sz w:val="20"/>
                <w:szCs w:val="20"/>
                <w:color w:val="auto"/>
              </w:rPr>
            </w:pPr>
            <w:r>
              <w:rPr>
                <w:rFonts w:ascii="Arial" w:cs="Arial" w:eastAsia="Arial" w:hAnsi="Arial"/>
                <w:sz w:val="18"/>
                <w:szCs w:val="18"/>
                <w:b w:val="1"/>
                <w:bCs w:val="1"/>
                <w:color w:val="auto"/>
              </w:rPr>
              <w:t>Title of Each Class:</w:t>
            </w:r>
          </w:p>
        </w:tc>
        <w:tc>
          <w:tcPr>
            <w:tcW w:w="2780" w:type="dxa"/>
            <w:vAlign w:val="bottom"/>
          </w:tcPr>
          <w:p>
            <w:pPr>
              <w:jc w:val="center"/>
              <w:ind w:right="250"/>
              <w:spacing w:after="0"/>
              <w:rPr>
                <w:sz w:val="20"/>
                <w:szCs w:val="20"/>
                <w:color w:val="auto"/>
              </w:rPr>
            </w:pPr>
            <w:r>
              <w:rPr>
                <w:rFonts w:ascii="Arial" w:cs="Arial" w:eastAsia="Arial" w:hAnsi="Arial"/>
                <w:sz w:val="18"/>
                <w:szCs w:val="18"/>
                <w:b w:val="1"/>
                <w:bCs w:val="1"/>
                <w:color w:val="auto"/>
              </w:rPr>
              <w:t>Symbol(s)</w:t>
            </w:r>
          </w:p>
        </w:tc>
        <w:tc>
          <w:tcPr>
            <w:tcW w:w="3280" w:type="dxa"/>
            <w:vAlign w:val="bottom"/>
            <w:gridSpan w:val="2"/>
          </w:tcPr>
          <w:p>
            <w:pPr>
              <w:jc w:val="center"/>
              <w:ind w:left="1110"/>
              <w:spacing w:after="0"/>
              <w:rPr>
                <w:sz w:val="20"/>
                <w:szCs w:val="20"/>
                <w:color w:val="auto"/>
              </w:rPr>
            </w:pPr>
            <w:r>
              <w:rPr>
                <w:rFonts w:ascii="Arial" w:cs="Arial" w:eastAsia="Arial" w:hAnsi="Arial"/>
                <w:sz w:val="18"/>
                <w:szCs w:val="18"/>
                <w:b w:val="1"/>
                <w:bCs w:val="1"/>
                <w:color w:val="auto"/>
                <w:w w:val="99"/>
              </w:rPr>
              <w:t>on Which Registered:</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180" w:type="dxa"/>
            <w:vAlign w:val="bottom"/>
          </w:tcPr>
          <w:p>
            <w:pPr>
              <w:ind w:left="20"/>
              <w:spacing w:after="0"/>
              <w:rPr>
                <w:sz w:val="20"/>
                <w:szCs w:val="20"/>
                <w:color w:val="auto"/>
              </w:rPr>
            </w:pPr>
            <w:r>
              <w:rPr>
                <w:rFonts w:ascii="Arial" w:cs="Arial" w:eastAsia="Arial" w:hAnsi="Arial"/>
                <w:sz w:val="18"/>
                <w:szCs w:val="18"/>
                <w:color w:val="auto"/>
              </w:rPr>
              <w:t>Common Stock, par value $0.01 per share</w:t>
            </w:r>
          </w:p>
        </w:tc>
        <w:tc>
          <w:tcPr>
            <w:tcW w:w="2780" w:type="dxa"/>
            <w:vAlign w:val="bottom"/>
          </w:tcPr>
          <w:p>
            <w:pPr>
              <w:jc w:val="center"/>
              <w:ind w:right="250"/>
              <w:spacing w:after="0"/>
              <w:rPr>
                <w:sz w:val="20"/>
                <w:szCs w:val="20"/>
                <w:color w:val="auto"/>
              </w:rPr>
            </w:pPr>
            <w:r>
              <w:rPr>
                <w:rFonts w:ascii="Arial" w:cs="Arial" w:eastAsia="Arial" w:hAnsi="Arial"/>
                <w:sz w:val="18"/>
                <w:szCs w:val="18"/>
                <w:color w:val="auto"/>
                <w:w w:val="99"/>
              </w:rPr>
              <w:t>VTRS</w:t>
            </w:r>
          </w:p>
        </w:tc>
        <w:tc>
          <w:tcPr>
            <w:tcW w:w="3880" w:type="dxa"/>
            <w:vAlign w:val="bottom"/>
            <w:gridSpan w:val="3"/>
          </w:tcPr>
          <w:p>
            <w:pPr>
              <w:jc w:val="center"/>
              <w:ind w:left="490"/>
              <w:spacing w:after="0"/>
              <w:rPr>
                <w:sz w:val="20"/>
                <w:szCs w:val="20"/>
                <w:color w:val="auto"/>
              </w:rPr>
            </w:pPr>
            <w:r>
              <w:rPr>
                <w:rFonts w:ascii="Arial" w:cs="Arial" w:eastAsia="Arial" w:hAnsi="Arial"/>
                <w:sz w:val="18"/>
                <w:szCs w:val="18"/>
                <w:color w:val="auto"/>
                <w:w w:val="99"/>
              </w:rPr>
              <w:t>The NASDAQ Stock Market</w:t>
            </w:r>
          </w:p>
        </w:tc>
        <w:tc>
          <w:tcPr>
            <w:tcW w:w="0" w:type="dxa"/>
            <w:vAlign w:val="bottom"/>
          </w:tcPr>
          <w:p>
            <w:pPr>
              <w:spacing w:after="0"/>
              <w:rPr>
                <w:sz w:val="1"/>
                <w:szCs w:val="1"/>
                <w:color w:val="auto"/>
              </w:rPr>
            </w:pPr>
          </w:p>
        </w:tc>
      </w:tr>
      <w:tr>
        <w:trPr>
          <w:trHeight w:val="243"/>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2480" w:type="dxa"/>
            <w:vAlign w:val="bottom"/>
          </w:tcPr>
          <w:p>
            <w:pPr>
              <w:spacing w:after="0"/>
              <w:rPr>
                <w:sz w:val="21"/>
                <w:szCs w:val="21"/>
                <w:color w:val="auto"/>
              </w:rPr>
            </w:pPr>
          </w:p>
        </w:tc>
        <w:tc>
          <w:tcPr>
            <w:tcW w:w="800" w:type="dxa"/>
            <w:vAlign w:val="bottom"/>
            <w:vMerge w:val="restart"/>
          </w:tcPr>
          <w:p>
            <w:pPr>
              <w:ind w:left="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0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9440" w:type="dxa"/>
            <w:vAlign w:val="bottom"/>
            <w:gridSpan w:val="3"/>
          </w:tcPr>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tc>
        <w:tc>
          <w:tcPr>
            <w:tcW w:w="800" w:type="dxa"/>
            <w:vAlign w:val="bottom"/>
            <w:vMerge w:val="continue"/>
          </w:tcPr>
          <w:p>
            <w:pPr>
              <w:spacing w:after="0"/>
              <w:rPr>
                <w:sz w:val="22"/>
                <w:szCs w:val="22"/>
                <w:color w:val="auto"/>
              </w:rPr>
            </w:pPr>
          </w:p>
        </w:tc>
        <w:tc>
          <w:tcPr>
            <w:tcW w:w="6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9440" w:type="dxa"/>
            <w:vAlign w:val="bottom"/>
            <w:gridSpan w:val="3"/>
          </w:tcPr>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tc>
        <w:tc>
          <w:tcPr>
            <w:tcW w:w="80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0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87" w:lineRule="exact"/>
        <w:rPr>
          <w:sz w:val="24"/>
          <w:szCs w:val="24"/>
          <w:color w:val="auto"/>
        </w:rPr>
      </w:pPr>
    </w:p>
    <w:p>
      <w:pPr>
        <w:jc w:val="both"/>
        <w:ind w:left="120"/>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7" w:lineRule="exact"/>
        <w:rPr>
          <w:sz w:val="24"/>
          <w:szCs w:val="24"/>
          <w:color w:val="auto"/>
        </w:rPr>
      </w:pPr>
    </w:p>
    <w:p>
      <w:pPr>
        <w:jc w:val="both"/>
        <w:ind w:left="120" w:right="2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7" w:lineRule="exact"/>
        <w:rPr>
          <w:sz w:val="24"/>
          <w:szCs w:val="24"/>
          <w:color w:val="auto"/>
        </w:rPr>
      </w:pPr>
    </w:p>
    <w:p>
      <w:pPr>
        <w:jc w:val="both"/>
        <w:ind w:left="120" w:right="20"/>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3" w:lineRule="exact"/>
        <w:rPr>
          <w:sz w:val="24"/>
          <w:szCs w:val="24"/>
          <w:color w:val="auto"/>
        </w:rPr>
      </w:pPr>
    </w:p>
    <w:tbl>
      <w:tblPr>
        <w:tblLayout w:type="fixed"/>
        <w:tblInd w:w="120" w:type="dxa"/>
        <w:tblCellMar>
          <w:top w:w="0" w:type="dxa"/>
          <w:left w:w="0" w:type="dxa"/>
          <w:bottom w:w="0" w:type="dxa"/>
          <w:right w:w="0" w:type="dxa"/>
        </w:tblCellMar>
      </w:tblPr>
      <w:tr>
        <w:trPr>
          <w:trHeight w:val="229"/>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84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84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280" w:type="dxa"/>
            <w:vAlign w:val="bottom"/>
          </w:tcPr>
          <w:p>
            <w:pPr>
              <w:ind w:left="284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jc w:val="both"/>
        <w:ind w:left="120" w:right="2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8" w:lineRule="exact"/>
        <w:rPr>
          <w:sz w:val="24"/>
          <w:szCs w:val="24"/>
          <w:color w:val="auto"/>
        </w:rPr>
      </w:pPr>
    </w:p>
    <w:p>
      <w:pPr>
        <w:jc w:val="both"/>
        <w:ind w:left="120"/>
        <w:spacing w:after="0" w:line="214"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41" w:lineRule="exact"/>
        <w:rPr>
          <w:sz w:val="24"/>
          <w:szCs w:val="24"/>
          <w:color w:val="auto"/>
        </w:rPr>
      </w:pPr>
    </w:p>
    <w:p>
      <w:pPr>
        <w:ind w:left="120"/>
        <w:spacing w:after="0" w:line="207" w:lineRule="exact"/>
        <w:tabs>
          <w:tab w:leader="none" w:pos="8440" w:val="left"/>
          <w:tab w:leader="none" w:pos="91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63" w:lineRule="exact"/>
        <w:rPr>
          <w:sz w:val="24"/>
          <w:szCs w:val="24"/>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as of June 30, 2021, the last business day of the registrant’s most recently completed second fiscal quarter, was approximately $17,237,737,213.</w:t>
      </w:r>
    </w:p>
    <w:p>
      <w:pPr>
        <w:spacing w:after="0" w:line="89" w:lineRule="exact"/>
        <w:rPr>
          <w:sz w:val="24"/>
          <w:szCs w:val="24"/>
          <w:color w:val="auto"/>
        </w:rPr>
      </w:pPr>
    </w:p>
    <w:p>
      <w:pPr>
        <w:jc w:val="center"/>
        <w:ind w:left="120" w:right="160"/>
        <w:spacing w:after="0" w:line="273" w:lineRule="auto"/>
        <w:rPr>
          <w:sz w:val="20"/>
          <w:szCs w:val="20"/>
          <w:color w:val="auto"/>
        </w:rPr>
      </w:pPr>
      <w:r>
        <w:rPr>
          <w:rFonts w:ascii="Arial" w:cs="Arial" w:eastAsia="Arial" w:hAnsi="Arial"/>
          <w:sz w:val="18"/>
          <w:szCs w:val="18"/>
          <w:color w:val="auto"/>
        </w:rPr>
        <w:t xml:space="preserve">The number of shares of common stock outstanding, par value $0.01 per share, of the registrant as of April 25, 2022 was 1,212,301,241. </w:t>
      </w:r>
      <w:r>
        <w:rPr>
          <w:rFonts w:ascii="Arial" w:cs="Arial" w:eastAsia="Arial" w:hAnsi="Arial"/>
          <w:sz w:val="18"/>
          <w:szCs w:val="18"/>
          <w:b w:val="1"/>
          <w:bCs w:val="1"/>
          <w:color w:val="auto"/>
        </w:rPr>
        <w:t>DOCUMENTS INCORPORATED BY REFERENCE</w:t>
      </w:r>
    </w:p>
    <w:p>
      <w:pPr>
        <w:spacing w:after="0" w:line="2" w:lineRule="exact"/>
        <w:rPr>
          <w:sz w:val="24"/>
          <w:szCs w:val="24"/>
          <w:color w:val="auto"/>
        </w:rPr>
      </w:pPr>
    </w:p>
    <w:p>
      <w:pPr>
        <w:ind w:left="120"/>
        <w:spacing w:after="0"/>
        <w:rPr>
          <w:sz w:val="20"/>
          <w:szCs w:val="20"/>
          <w:color w:val="auto"/>
        </w:rPr>
      </w:pPr>
      <w:r>
        <w:rPr>
          <w:rFonts w:ascii="Arial" w:cs="Arial" w:eastAsia="Arial" w:hAnsi="Arial"/>
          <w:sz w:val="18"/>
          <w:szCs w:val="18"/>
          <w:color w:val="auto"/>
        </w:rPr>
        <w:t>None.</w:t>
      </w:r>
    </w:p>
    <w:p>
      <w:pPr>
        <w:spacing w:after="0" w:line="66" w:lineRule="exact"/>
        <w:rPr>
          <w:sz w:val="24"/>
          <w:szCs w:val="24"/>
          <w:color w:val="auto"/>
        </w:rPr>
      </w:pPr>
    </w:p>
    <w:p>
      <w:pPr>
        <w:ind w:left="180"/>
        <w:spacing w:after="0"/>
        <w:tabs>
          <w:tab w:leader="none" w:pos="3940" w:val="left"/>
          <w:tab w:leader="none" w:pos="9760" w:val="left"/>
        </w:tabs>
        <w:rPr>
          <w:sz w:val="20"/>
          <w:szCs w:val="20"/>
          <w:color w:val="auto"/>
        </w:rPr>
      </w:pPr>
      <w:r>
        <w:rPr>
          <w:rFonts w:ascii="Arial" w:cs="Arial" w:eastAsia="Arial" w:hAnsi="Arial"/>
          <w:sz w:val="16"/>
          <w:szCs w:val="16"/>
          <w:color w:val="auto"/>
        </w:rPr>
        <w:t>Auditor Name: Deloitte &amp; Touche LLP</w:t>
      </w:r>
      <w:r>
        <w:rPr>
          <w:sz w:val="20"/>
          <w:szCs w:val="20"/>
          <w:color w:val="auto"/>
        </w:rPr>
        <w:tab/>
      </w:r>
      <w:r>
        <w:rPr>
          <w:rFonts w:ascii="Arial" w:cs="Arial" w:eastAsia="Arial" w:hAnsi="Arial"/>
          <w:sz w:val="16"/>
          <w:szCs w:val="16"/>
          <w:color w:val="auto"/>
        </w:rPr>
        <w:t>Auditor Location: Pittsburgh, Pennsylvania</w:t>
      </w:r>
      <w:r>
        <w:rPr>
          <w:sz w:val="20"/>
          <w:szCs w:val="20"/>
          <w:color w:val="auto"/>
        </w:rPr>
        <w:tab/>
      </w:r>
      <w:r>
        <w:rPr>
          <w:rFonts w:ascii="Arial" w:cs="Arial" w:eastAsia="Arial" w:hAnsi="Arial"/>
          <w:sz w:val="16"/>
          <w:szCs w:val="16"/>
          <w:color w:val="auto"/>
        </w:rPr>
        <w:t>Auditor Firm ID: 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36195</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87630</wp:posOffset>
            </wp:positionV>
            <wp:extent cx="699516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EXPLANATORY NOTE</w:t>
      </w:r>
    </w:p>
    <w:p>
      <w:pPr>
        <w:spacing w:after="0" w:line="344"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This Amendment No. 1 on Form 10-K/A (this “Amendment”) amends our Annual Report on Form 10-K for the fiscal year ended December 31, 2021, originally filed on February 28, 2022 (the “Original Filing”). We are filing this Amendment to include the information required by Part III and not included in the Original Filing, as we do not intend to file a definitive proxy statement for an annual meeting of shareholders within 120 days of the end of our fiscal year ended December 31, 2021. In addition, in connection with the filing of this Amendment and pursuant to the rules of the Securities and Exchange Commission (the “SEC”), we are including with this Amendment new certifications of our principal executive officer and principal financial officer pursuant to Section 302 of the Sarbanes-Oxley Act of 2002. Item 15 of Part IV has also been amended to reflect the filing of these new certifications. Except as described above, no other changes have been made to the Original Filing. The Original Filing continues to speak as of the date of the Original Filing, and we have not updated the disclosures contained therein to reflect any events which occurred at a date subsequent to the filing of the Original Filing.</w:t>
      </w:r>
    </w:p>
    <w:p>
      <w:pPr>
        <w:spacing w:after="0" w:line="207"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As used in this Amendment, unless the context requires otherwise, the “Company,” “Viatris,” “our,” and “we” mean Viatris Inc. and its consolidated subsidiaries, “NASDAQ” means The NASDAQ Global Select Stock Market, and “U.S. GAAP” means accounting principles generally accepted in the United States (“U.S.”).</w:t>
      </w:r>
    </w:p>
    <w:p>
      <w:pPr>
        <w:spacing w:after="0" w:line="201" w:lineRule="exact"/>
        <w:rPr>
          <w:sz w:val="20"/>
          <w:szCs w:val="20"/>
          <w:color w:val="auto"/>
        </w:rPr>
      </w:pPr>
    </w:p>
    <w:p>
      <w:pPr>
        <w:jc w:val="both"/>
        <w:ind w:left="120"/>
        <w:spacing w:after="0" w:line="247" w:lineRule="auto"/>
        <w:rPr>
          <w:sz w:val="20"/>
          <w:szCs w:val="20"/>
          <w:color w:val="auto"/>
        </w:rPr>
      </w:pPr>
      <w:r>
        <w:rPr>
          <w:rFonts w:ascii="Arial" w:cs="Arial" w:eastAsia="Arial" w:hAnsi="Arial"/>
          <w:sz w:val="16"/>
          <w:szCs w:val="16"/>
          <w:color w:val="auto"/>
        </w:rPr>
        <w:t xml:space="preserve">On November 16, 2020, Viatris, formerly known as Upjohn Inc., Mylan N.V. (“Mylan”) and Pfizer Inc. (“Pfizer”) consummated the combination of Mylan with Pfizer’s Upjohn business (the “Upjohn Business”) through a Reverse Morris Trust transaction. In accordance with the terms and conditions of the Business Combination Agreement, dated as of July 29, 2019, as amended from time to time, among Viatris, Mylan, Pfizer and certain of their affiliates (the “Business Combination Agreement”) and the Separation and Distribution Agreement between Viatris and Pfizer, dated as of July 29, 2019, as amended from time to time, (1) Pfizer contributed the Upjohn Business to Viatris, so that the Upjohn Business was separated from the remainder of Pfizer’s businesses (the “Separation”), (2) following the Separation, Pfizer distributed, on a pro rata basis (based on the number of shares of Pfizer common stock held by holders of Pfizer common stock as of the record date of November 13, 2020 (the “Record Date”)), all of the shares of Viatris common stock held by Pfizer to Pfizer stockholders as of the Record Date (the “Distribution”), and (3) immediately following the Distribution, Viatris and Mylan engaged in a strategic business combination transaction (the “Combination”). As a result of the Combination, Viatris holds the combined Upjohn Business and Mylan business. In accordance with </w:t>
      </w:r>
      <w:r>
        <w:rPr>
          <w:rFonts w:ascii="Arial" w:cs="Arial" w:eastAsia="Arial" w:hAnsi="Arial"/>
          <w:sz w:val="16"/>
          <w:szCs w:val="16"/>
          <w:i w:val="1"/>
          <w:iCs w:val="1"/>
          <w:color w:val="auto"/>
        </w:rPr>
        <w:t>ASC 805, Business Combinations</w:t>
      </w:r>
      <w:r>
        <w:rPr>
          <w:rFonts w:ascii="Arial" w:cs="Arial" w:eastAsia="Arial" w:hAnsi="Arial"/>
          <w:sz w:val="16"/>
          <w:szCs w:val="16"/>
          <w:color w:val="auto"/>
        </w:rPr>
        <w:t>, Mylan is considered the accounting acquirer of the Upjohn Business and all historical financial information of the Company prior to November 16, 2020 represents Mylan’s historical results and the Company’s thereafter.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Forward-Looking Statements</w:t>
      </w:r>
    </w:p>
    <w:p>
      <w:pPr>
        <w:spacing w:after="0" w:line="128"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This Amendment contains “forward-looking statements”. These statements are made pursuant to the safe harbor provisions of the Private Securities Litigation Reform Act of 1995. Such forward-looking statements may include, without limitation, statements about the pending transaction between Viatris and Biocon Biologics Limited (“Biocon Biologics”), a majority owned subsidiary of Biocon Limited, pursuant to which Viatris will contribute its biosimilar products and programs to Biocon Biologics in exchange for cash consideration and a convertible preferred equity interest in Biocon Biologics (“Biocon Biologics Transaction”), statements about the Combination, the benefits and synergies of the Combination or our global restructuring program, future opportunities for the Company and its products and any other statements regarding the Company’s future operations, financial or operating results, capital allocation, dividend policy and payments,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w:t>
      </w:r>
    </w:p>
    <w:p>
      <w:pPr>
        <w:sectPr>
          <w:pgSz w:w="11900" w:h="16838" w:orient="portrait"/>
          <w:cols w:equalWidth="0" w:num="1">
            <w:col w:w="11140"/>
          </w:cols>
          <w:pgMar w:left="320" w:top="486"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20"/>
        <w:spacing w:after="0" w:line="251" w:lineRule="auto"/>
        <w:rPr>
          <w:sz w:val="20"/>
          <w:szCs w:val="20"/>
          <w:color w:val="auto"/>
        </w:rPr>
      </w:pPr>
      <w:r>
        <w:rPr>
          <w:rFonts w:ascii="Arial" w:cs="Arial" w:eastAsia="Arial" w:hAnsi="Arial"/>
          <w:sz w:val="16"/>
          <w:szCs w:val="16"/>
          <w:color w:val="auto"/>
        </w:rPr>
        <w:t>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108" w:lineRule="exact"/>
        <w:rPr>
          <w:sz w:val="20"/>
          <w:szCs w:val="20"/>
          <w:color w:val="auto"/>
        </w:rPr>
      </w:pPr>
    </w:p>
    <w:p>
      <w:pPr>
        <w:ind w:left="540" w:hanging="316"/>
        <w:spacing w:after="0" w:line="260"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integration of Mylan and the Upjohn Business or the implementation of the Company’s global restructuring program being more difficult, time consuming or costly than expected;</w:t>
      </w:r>
    </w:p>
    <w:p>
      <w:pPr>
        <w:spacing w:after="0" w:line="100" w:lineRule="exact"/>
        <w:rPr>
          <w:rFonts w:ascii="Arial" w:cs="Arial" w:eastAsia="Arial" w:hAnsi="Arial"/>
          <w:sz w:val="16"/>
          <w:szCs w:val="16"/>
          <w:color w:val="auto"/>
        </w:rPr>
      </w:pPr>
    </w:p>
    <w:p>
      <w:pPr>
        <w:ind w:left="540" w:hanging="316"/>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pending Biocon Biologics Transaction may not achieve its intended benefits;</w:t>
      </w:r>
    </w:p>
    <w:p>
      <w:pPr>
        <w:spacing w:after="0" w:line="126" w:lineRule="exact"/>
        <w:rPr>
          <w:rFonts w:ascii="Arial" w:cs="Arial" w:eastAsia="Arial" w:hAnsi="Arial"/>
          <w:sz w:val="16"/>
          <w:szCs w:val="16"/>
          <w:color w:val="auto"/>
        </w:rPr>
      </w:pPr>
    </w:p>
    <w:p>
      <w:pPr>
        <w:ind w:left="540" w:hanging="316"/>
        <w:spacing w:after="0" w:line="260"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possibility that the Company may be unable to achieve expected benefits, synergies and operating efficiencies in connection with the Combination or its global restructuring program within the expected timeframe or at all;</w:t>
      </w:r>
    </w:p>
    <w:p>
      <w:pPr>
        <w:spacing w:after="0" w:line="100" w:lineRule="exact"/>
        <w:rPr>
          <w:rFonts w:ascii="Arial" w:cs="Arial" w:eastAsia="Arial" w:hAnsi="Arial"/>
          <w:sz w:val="16"/>
          <w:szCs w:val="16"/>
          <w:color w:val="auto"/>
        </w:rPr>
      </w:pPr>
    </w:p>
    <w:p>
      <w:pPr>
        <w:ind w:left="540" w:hanging="316"/>
        <w:spacing w:after="0" w:line="260"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possibility that the Company may be unable to successfully integrate Mylan and the Upjohn Business or implement its global restructuring program;</w:t>
      </w:r>
    </w:p>
    <w:p>
      <w:pPr>
        <w:spacing w:after="0" w:line="100" w:lineRule="exact"/>
        <w:rPr>
          <w:rFonts w:ascii="Arial" w:cs="Arial" w:eastAsia="Arial" w:hAnsi="Arial"/>
          <w:sz w:val="16"/>
          <w:szCs w:val="16"/>
          <w:color w:val="auto"/>
        </w:rPr>
      </w:pPr>
    </w:p>
    <w:p>
      <w:pPr>
        <w:ind w:left="540" w:hanging="316"/>
        <w:spacing w:after="0" w:line="260"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operational or financial difficulties or losses associated with the Company’s reliance on agreements with Pfizer in connection with the Combination, including with respect to transition services;</w:t>
      </w:r>
    </w:p>
    <w:p>
      <w:pPr>
        <w:spacing w:after="0" w:line="100" w:lineRule="exact"/>
        <w:rPr>
          <w:rFonts w:ascii="Arial" w:cs="Arial" w:eastAsia="Arial" w:hAnsi="Arial"/>
          <w:sz w:val="16"/>
          <w:szCs w:val="16"/>
          <w:color w:val="auto"/>
        </w:rPr>
      </w:pPr>
    </w:p>
    <w:p>
      <w:pPr>
        <w:ind w:left="540" w:hanging="316"/>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possibility that the Company may be unable to achieve all intended benefits of its strategic initiatives;</w:t>
      </w:r>
    </w:p>
    <w:p>
      <w:pPr>
        <w:spacing w:after="0" w:line="126" w:lineRule="exact"/>
        <w:rPr>
          <w:rFonts w:ascii="Arial" w:cs="Arial" w:eastAsia="Arial" w:hAnsi="Arial"/>
          <w:sz w:val="16"/>
          <w:szCs w:val="16"/>
          <w:color w:val="auto"/>
        </w:rPr>
      </w:pPr>
    </w:p>
    <w:p>
      <w:pPr>
        <w:ind w:left="540" w:hanging="316"/>
        <w:spacing w:after="0" w:line="260"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potential impact of public health outbreaks, epidemics and pandemics, including the ongoing challenges and uncertainties posed by the COVID-19 pandemic;</w:t>
      </w:r>
    </w:p>
    <w:p>
      <w:pPr>
        <w:spacing w:after="0" w:line="100" w:lineRule="exact"/>
        <w:rPr>
          <w:rFonts w:ascii="Arial" w:cs="Arial" w:eastAsia="Arial" w:hAnsi="Arial"/>
          <w:sz w:val="16"/>
          <w:szCs w:val="16"/>
          <w:color w:val="auto"/>
        </w:rPr>
      </w:pPr>
    </w:p>
    <w:p>
      <w:pPr>
        <w:ind w:left="540" w:hanging="316"/>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failure to achieve expected or targeted future financial and operating performance and results;</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actions and decisions of healthcare and pharmaceutical regulators;</w:t>
      </w:r>
    </w:p>
    <w:p>
      <w:pPr>
        <w:spacing w:after="0" w:line="126" w:lineRule="exact"/>
        <w:rPr>
          <w:rFonts w:ascii="Arial" w:cs="Arial" w:eastAsia="Arial" w:hAnsi="Arial"/>
          <w:sz w:val="16"/>
          <w:szCs w:val="16"/>
          <w:color w:val="auto"/>
        </w:rPr>
      </w:pPr>
    </w:p>
    <w:p>
      <w:pPr>
        <w:ind w:left="540" w:hanging="316"/>
        <w:spacing w:after="0" w:line="260"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relevant laws and regulations, including but not limited to changes in tax, healthcare and pharmaceutical laws and regulations globally (including the impact of potential tax reform in the U.S.);</w:t>
      </w:r>
    </w:p>
    <w:p>
      <w:pPr>
        <w:spacing w:after="0" w:line="100" w:lineRule="exact"/>
        <w:rPr>
          <w:rFonts w:ascii="Arial" w:cs="Arial" w:eastAsia="Arial" w:hAnsi="Arial"/>
          <w:sz w:val="16"/>
          <w:szCs w:val="16"/>
          <w:color w:val="auto"/>
        </w:rPr>
      </w:pPr>
    </w:p>
    <w:p>
      <w:pPr>
        <w:ind w:left="540" w:hanging="316"/>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to attract and retain key personnel;</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liquidity, capital resources and ability to obtain financing;</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regulatory, legal or other impediments to the Company’s ability to bring new products to market, including but not limited to “at-risk launches”;</w:t>
      </w:r>
    </w:p>
    <w:p>
      <w:pPr>
        <w:spacing w:after="0" w:line="126" w:lineRule="exact"/>
        <w:rPr>
          <w:rFonts w:ascii="Arial" w:cs="Arial" w:eastAsia="Arial" w:hAnsi="Arial"/>
          <w:sz w:val="16"/>
          <w:szCs w:val="16"/>
          <w:color w:val="auto"/>
        </w:rPr>
      </w:pPr>
    </w:p>
    <w:p>
      <w:pPr>
        <w:ind w:left="540" w:hanging="316"/>
        <w:spacing w:after="0" w:line="260"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success of clinical trials and the Company’s or its partners’ ability to execute on new product opportunities and develop, manufacture and commercialize products;</w:t>
      </w:r>
    </w:p>
    <w:p>
      <w:pPr>
        <w:spacing w:after="0" w:line="100" w:lineRule="exact"/>
        <w:rPr>
          <w:rFonts w:ascii="Arial" w:cs="Arial" w:eastAsia="Arial" w:hAnsi="Arial"/>
          <w:sz w:val="16"/>
          <w:szCs w:val="16"/>
          <w:color w:val="auto"/>
        </w:rPr>
      </w:pPr>
    </w:p>
    <w:p>
      <w:pPr>
        <w:ind w:left="540" w:hanging="316"/>
        <w:spacing w:after="0" w:line="260"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changes in or difficulties with the Company’s manufacturing facilities, including with respect to inspections, remediation and restructuring activities, supply chain or inventory or the ability to meet anticipated demand;</w:t>
      </w:r>
    </w:p>
    <w:p>
      <w:pPr>
        <w:spacing w:after="0" w:line="100" w:lineRule="exact"/>
        <w:rPr>
          <w:rFonts w:ascii="Arial" w:cs="Arial" w:eastAsia="Arial" w:hAnsi="Arial"/>
          <w:sz w:val="16"/>
          <w:szCs w:val="16"/>
          <w:color w:val="auto"/>
        </w:rPr>
      </w:pPr>
    </w:p>
    <w:p>
      <w:pPr>
        <w:ind w:left="540" w:hanging="316"/>
        <w:spacing w:after="0" w:line="260"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scope, timing and outcome of any ongoing legal proceedings, including government inquiries or investigations, and the impact of any such proceedings on the Company;</w:t>
      </w:r>
    </w:p>
    <w:p>
      <w:pPr>
        <w:spacing w:after="0" w:line="100" w:lineRule="exact"/>
        <w:rPr>
          <w:rFonts w:ascii="Arial" w:cs="Arial" w:eastAsia="Arial" w:hAnsi="Arial"/>
          <w:sz w:val="16"/>
          <w:szCs w:val="16"/>
          <w:color w:val="auto"/>
        </w:rPr>
      </w:pPr>
    </w:p>
    <w:p>
      <w:pPr>
        <w:ind w:left="540" w:hanging="316"/>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significant breach of data security or data privacy or disruptions to our information technology systems;</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associated with having significant operations globally;</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to protect intellectual property and preserve intellectual property rights;</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third-party relationships;</w:t>
      </w:r>
    </w:p>
    <w:p>
      <w:pPr>
        <w:sectPr>
          <w:pgSz w:w="11900" w:h="16838" w:orient="portrait"/>
          <w:cols w:equalWidth="0" w:num="1">
            <w:col w:w="11120"/>
          </w:cols>
          <w:pgMar w:left="320" w:top="486"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540" w:hanging="316"/>
        <w:spacing w:after="0" w:line="260"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effect of any changes in the Company’s or its partners’ customer and supplier relationships and customer purchasing patterns, including customer loss and business disruption being greater than expected following the Combination;</w:t>
      </w:r>
    </w:p>
    <w:p>
      <w:pPr>
        <w:spacing w:after="0" w:line="100" w:lineRule="exact"/>
        <w:rPr>
          <w:rFonts w:ascii="Arial" w:cs="Arial" w:eastAsia="Arial" w:hAnsi="Arial"/>
          <w:sz w:val="16"/>
          <w:szCs w:val="16"/>
          <w:color w:val="auto"/>
        </w:rPr>
      </w:pPr>
    </w:p>
    <w:p>
      <w:pPr>
        <w:ind w:left="540" w:hanging="316"/>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impacts of competition, including decreases in sales or revenues as a result of the loss of market exclusivity for certain products;</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the economic and financial conditions of the Company or its partners;</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uncertainties regarding future demand, pricing and reimbursement for the Company’s products;</w:t>
      </w:r>
    </w:p>
    <w:p>
      <w:pPr>
        <w:spacing w:after="0" w:line="126" w:lineRule="exact"/>
        <w:rPr>
          <w:rFonts w:ascii="Arial" w:cs="Arial" w:eastAsia="Arial" w:hAnsi="Arial"/>
          <w:sz w:val="16"/>
          <w:szCs w:val="16"/>
          <w:color w:val="auto"/>
        </w:rPr>
      </w:pPr>
    </w:p>
    <w:p>
      <w:pPr>
        <w:ind w:left="540" w:right="20" w:hanging="316"/>
        <w:spacing w:after="0" w:line="260"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uncertainties and matters beyond the control of management, including but not limited to general political and economic conditions, inflation rates and global exchange rates; and</w:t>
      </w:r>
    </w:p>
    <w:p>
      <w:pPr>
        <w:spacing w:after="0" w:line="100" w:lineRule="exact"/>
        <w:rPr>
          <w:rFonts w:ascii="Arial" w:cs="Arial" w:eastAsia="Arial" w:hAnsi="Arial"/>
          <w:sz w:val="16"/>
          <w:szCs w:val="16"/>
          <w:color w:val="auto"/>
        </w:rPr>
      </w:pPr>
    </w:p>
    <w:p>
      <w:pPr>
        <w:ind w:left="540" w:right="20" w:hanging="316"/>
        <w:spacing w:after="0" w:line="260"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inherent uncertainties involved in the estimates and judgments used in the preparation of financial statements, and the providing of estimates of financial measures, in accordance with U.S. GAAP and related standards or on an adjusted basis.</w:t>
      </w:r>
    </w:p>
    <w:p>
      <w:pPr>
        <w:spacing w:after="0" w:line="195"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For more detailed information on the risks and uncertainties associated with Viatris, see the risks described in Part I, Item 1A of the Original Filing and our other filings with the SEC.</w:t>
      </w:r>
    </w:p>
    <w:p>
      <w:pPr>
        <w:spacing w:after="0" w:line="195" w:lineRule="exact"/>
        <w:rPr>
          <w:sz w:val="20"/>
          <w:szCs w:val="20"/>
          <w:color w:val="auto"/>
        </w:rPr>
      </w:pPr>
    </w:p>
    <w:p>
      <w:pPr>
        <w:jc w:val="both"/>
        <w:ind w:left="120"/>
        <w:spacing w:after="0" w:line="249" w:lineRule="auto"/>
        <w:rPr>
          <w:sz w:val="20"/>
          <w:szCs w:val="20"/>
          <w:color w:val="auto"/>
        </w:rPr>
      </w:pPr>
      <w:r>
        <w:rPr>
          <w:rFonts w:ascii="Arial" w:cs="Arial" w:eastAsia="Arial" w:hAnsi="Arial"/>
          <w:sz w:val="16"/>
          <w:szCs w:val="16"/>
          <w:color w:val="auto"/>
        </w:rPr>
        <w:t>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Amendment and shall not be deemed “filed” under the Securities Exchange Act of 1934, as amended (the “Exchange Act”). Viatris undertakes no obligation to update any statements herein for revisions or changes after the filing date of this Amendment other than as required by law.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Measures</w:t>
      </w:r>
    </w:p>
    <w:p>
      <w:pPr>
        <w:spacing w:after="0" w:line="128" w:lineRule="exact"/>
        <w:rPr>
          <w:sz w:val="20"/>
          <w:szCs w:val="20"/>
          <w:color w:val="auto"/>
        </w:rPr>
      </w:pPr>
    </w:p>
    <w:p>
      <w:pPr>
        <w:jc w:val="both"/>
        <w:ind w:left="120"/>
        <w:spacing w:after="0" w:line="247" w:lineRule="auto"/>
        <w:rPr>
          <w:sz w:val="20"/>
          <w:szCs w:val="20"/>
          <w:color w:val="auto"/>
        </w:rPr>
      </w:pPr>
      <w:r>
        <w:rPr>
          <w:rFonts w:ascii="Arial" w:cs="Arial" w:eastAsia="Arial" w:hAnsi="Arial"/>
          <w:sz w:val="16"/>
          <w:szCs w:val="16"/>
          <w:color w:val="auto"/>
        </w:rPr>
        <w:t>This Amendment includes the presentation and discussion of certain financial information that differs from what is reported under U.S. GAAP. These non-GAAP financial measures, including adjusted EBITDA, free cash flow and gross leverage ratio, leverage or leverage ratio, are presented in order to supplement investors’ and other readers’ understanding and assessment of Viatris’ financial performance. Management uses these measures internally for forecasting, budgeting, measuring its operating performance, and incentive-based awards. Primarily due to acquisitions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these adjusted metrics, along with other performance metrics. In addition, the Company believes that including EBITDA and supplemental adjustments applied in presenting adjusted EBITDA is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Appendix A to this Amendment contains reconciliations of such non-GAAP financial measures to the most directly comparable U.S. GAAP financial measures. Investors and other readers are encouraged to review the related</w:t>
      </w:r>
    </w:p>
    <w:p>
      <w:pPr>
        <w:sectPr>
          <w:pgSz w:w="11900" w:h="16838" w:orient="portrait"/>
          <w:cols w:equalWidth="0" w:num="1">
            <w:col w:w="11140"/>
          </w:cols>
          <w:pgMar w:left="320" w:top="486"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auto"/>
        </w:rPr>
        <w:t>U.S. GAAP financial measures and the reconciliations of the non-GAAP measures to their most directly comparable U.S. GAAP measures set forth in Appendix A, and investors and other readers should consider non-GAAP measures only as supplements to, not as substitutes for or as superior measures to, the measures of financial performance prepared in accordance with U.S. GAAP.</w:t>
      </w:r>
    </w:p>
    <w:p>
      <w:pPr>
        <w:sectPr>
          <w:pgSz w:w="11900" w:h="16838" w:orient="portrait"/>
          <w:cols w:equalWidth="0" w:num="1">
            <w:col w:w="11120"/>
          </w:cols>
          <w:pgMar w:left="320" w:top="486"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VIATRIS INC.</w:t>
      </w:r>
    </w:p>
    <w:p>
      <w:pPr>
        <w:spacing w:after="0" w:line="10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INDEX TO FORM 10-K/A</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Year Ended December 31, 2021</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20" w:type="dxa"/>
            <w:vAlign w:val="bottom"/>
            <w:gridSpan w:val="5"/>
            <w:vMerge w:val="restart"/>
          </w:tcPr>
          <w:p>
            <w:pPr>
              <w:ind w:left="680"/>
              <w:spacing w:after="0"/>
              <w:rPr>
                <w:sz w:val="20"/>
                <w:szCs w:val="20"/>
                <w:color w:val="auto"/>
              </w:rPr>
            </w:pPr>
            <w:r>
              <w:rPr>
                <w:rFonts w:ascii="Arial" w:cs="Arial" w:eastAsia="Arial" w:hAnsi="Arial"/>
                <w:sz w:val="18"/>
                <w:szCs w:val="18"/>
                <w:color w:val="auto"/>
              </w:rPr>
              <w:t>PART III</w:t>
            </w:r>
          </w:p>
        </w:tc>
        <w:tc>
          <w:tcPr>
            <w:tcW w:w="1100" w:type="dxa"/>
            <w:vAlign w:val="bottom"/>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87"/>
        </w:trPr>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20" w:type="dxa"/>
            <w:vAlign w:val="bottom"/>
            <w:gridSpan w:val="5"/>
            <w:vMerge w:val="continue"/>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80" w:type="dxa"/>
            <w:vAlign w:val="bottom"/>
            <w:gridSpan w:val="3"/>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ITEM 10.</w:t>
              </w:r>
            </w:hyperlink>
          </w:p>
        </w:tc>
        <w:tc>
          <w:tcPr>
            <w:tcW w:w="8780" w:type="dxa"/>
            <w:vAlign w:val="bottom"/>
            <w:gridSpan w:val="8"/>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Directors, Executive Officers and Corporate Governance</w:t>
              </w:r>
            </w:hyperlink>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gridSpan w:val="3"/>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ITEM 11.</w:t>
              </w:r>
            </w:hyperlink>
          </w:p>
        </w:tc>
        <w:tc>
          <w:tcPr>
            <w:tcW w:w="8780" w:type="dxa"/>
            <w:vAlign w:val="bottom"/>
            <w:gridSpan w:val="8"/>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Executive Compensation</w:t>
              </w:r>
            </w:hyperlink>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gridSpan w:val="3"/>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ITEM 12.</w:t>
              </w:r>
            </w:hyperlink>
          </w:p>
        </w:tc>
        <w:tc>
          <w:tcPr>
            <w:tcW w:w="8780" w:type="dxa"/>
            <w:vAlign w:val="bottom"/>
            <w:gridSpan w:val="8"/>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Security Ownership of Certain Beneficial Owners and Management and Related Stockholder Matters</w:t>
              </w:r>
            </w:hyperlink>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gridSpan w:val="3"/>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ITEM 13.</w:t>
              </w:r>
            </w:hyperlink>
          </w:p>
        </w:tc>
        <w:tc>
          <w:tcPr>
            <w:tcW w:w="8780" w:type="dxa"/>
            <w:vAlign w:val="bottom"/>
            <w:gridSpan w:val="8"/>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Certain Relationships and Related Transactions, and Director Independence</w:t>
              </w:r>
            </w:hyperlink>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gridSpan w:val="3"/>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ITEM 14.</w:t>
              </w:r>
            </w:hyperlink>
          </w:p>
        </w:tc>
        <w:tc>
          <w:tcPr>
            <w:tcW w:w="8780" w:type="dxa"/>
            <w:vAlign w:val="bottom"/>
            <w:gridSpan w:val="8"/>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Principal Accounting Fees and Services</w:t>
              </w:r>
            </w:hyperlink>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17"/>
        </w:trPr>
        <w:tc>
          <w:tcPr>
            <w:tcW w:w="7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5620" w:type="dxa"/>
            <w:vAlign w:val="bottom"/>
            <w:gridSpan w:val="5"/>
          </w:tcPr>
          <w:p>
            <w:pPr>
              <w:ind w:left="680"/>
              <w:spacing w:after="0"/>
              <w:rPr>
                <w:sz w:val="20"/>
                <w:szCs w:val="20"/>
                <w:color w:val="auto"/>
              </w:rPr>
            </w:pPr>
            <w:r>
              <w:rPr>
                <w:rFonts w:ascii="Arial" w:cs="Arial" w:eastAsia="Arial" w:hAnsi="Arial"/>
                <w:sz w:val="18"/>
                <w:szCs w:val="18"/>
                <w:color w:val="auto"/>
              </w:rPr>
              <w:t>PART IV</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80" w:type="dxa"/>
            <w:vAlign w:val="bottom"/>
            <w:gridSpan w:val="3"/>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ITEM 15.</w:t>
              </w:r>
            </w:hyperlink>
          </w:p>
        </w:tc>
        <w:tc>
          <w:tcPr>
            <w:tcW w:w="8780" w:type="dxa"/>
            <w:vAlign w:val="bottom"/>
            <w:gridSpan w:val="8"/>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Exhibits</w:t>
              </w:r>
            </w:hyperlink>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gridSpan w:val="3"/>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Signature</w:t>
              </w:r>
            </w:hyperlink>
          </w:p>
        </w:tc>
        <w:tc>
          <w:tcPr>
            <w:tcW w:w="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60" w:type="dxa"/>
            <w:vAlign w:val="bottom"/>
            <w:gridSpan w:val="11"/>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Appendix A — Reconciliations of Non-GAAP Financial Measures (Unaudited)</w:t>
              </w:r>
            </w:hyperlink>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86"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36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666666"/>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the names, ages, and positions of Viatris’ executive officers as of April 25, 2022:</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780" w:type="dxa"/>
            <w:vAlign w:val="bottom"/>
          </w:tcPr>
          <w:p>
            <w:pPr>
              <w:spacing w:after="0"/>
              <w:rPr>
                <w:sz w:val="20"/>
                <w:szCs w:val="20"/>
                <w:color w:val="auto"/>
              </w:rPr>
            </w:pPr>
            <w:r>
              <w:rPr>
                <w:rFonts w:ascii="Arial" w:cs="Arial" w:eastAsia="Arial" w:hAnsi="Arial"/>
                <w:sz w:val="16"/>
                <w:szCs w:val="16"/>
                <w:color w:val="auto"/>
              </w:rPr>
              <w:t>Michael Goettler</w:t>
            </w:r>
          </w:p>
        </w:tc>
        <w:tc>
          <w:tcPr>
            <w:tcW w:w="1760" w:type="dxa"/>
            <w:vAlign w:val="bottom"/>
          </w:tcPr>
          <w:p>
            <w:pPr>
              <w:jc w:val="right"/>
              <w:ind w:right="219"/>
              <w:spacing w:after="0"/>
              <w:rPr>
                <w:sz w:val="20"/>
                <w:szCs w:val="20"/>
                <w:color w:val="auto"/>
              </w:rPr>
            </w:pPr>
            <w:r>
              <w:rPr>
                <w:rFonts w:ascii="Arial" w:cs="Arial" w:eastAsia="Arial" w:hAnsi="Arial"/>
                <w:sz w:val="16"/>
                <w:szCs w:val="16"/>
                <w:color w:val="auto"/>
              </w:rPr>
              <w:t>54</w:t>
            </w:r>
          </w:p>
        </w:tc>
        <w:tc>
          <w:tcPr>
            <w:tcW w:w="5960" w:type="dxa"/>
            <w:vAlign w:val="bottom"/>
          </w:tcPr>
          <w:p>
            <w:pPr>
              <w:ind w:left="320"/>
              <w:spacing w:after="0"/>
              <w:rPr>
                <w:sz w:val="20"/>
                <w:szCs w:val="20"/>
                <w:color w:val="auto"/>
              </w:rPr>
            </w:pPr>
            <w:r>
              <w:rPr>
                <w:rFonts w:ascii="Arial" w:cs="Arial" w:eastAsia="Arial" w:hAnsi="Arial"/>
                <w:sz w:val="16"/>
                <w:szCs w:val="16"/>
                <w:color w:val="auto"/>
              </w:rPr>
              <w:t>Chief Executive Officer (principal executive officer)</w:t>
            </w:r>
          </w:p>
        </w:tc>
      </w:tr>
      <w:tr>
        <w:trPr>
          <w:trHeight w:val="189"/>
        </w:trPr>
        <w:tc>
          <w:tcPr>
            <w:tcW w:w="2780" w:type="dxa"/>
            <w:vAlign w:val="bottom"/>
          </w:tcPr>
          <w:p>
            <w:pPr>
              <w:spacing w:after="0"/>
              <w:rPr>
                <w:sz w:val="20"/>
                <w:szCs w:val="20"/>
                <w:color w:val="auto"/>
              </w:rPr>
            </w:pPr>
            <w:r>
              <w:rPr>
                <w:rFonts w:ascii="Arial" w:cs="Arial" w:eastAsia="Arial" w:hAnsi="Arial"/>
                <w:sz w:val="16"/>
                <w:szCs w:val="16"/>
                <w:color w:val="auto"/>
              </w:rPr>
              <w:t>Rajiv Malik</w:t>
            </w:r>
          </w:p>
        </w:tc>
        <w:tc>
          <w:tcPr>
            <w:tcW w:w="1760" w:type="dxa"/>
            <w:vAlign w:val="bottom"/>
          </w:tcPr>
          <w:p>
            <w:pPr>
              <w:jc w:val="right"/>
              <w:ind w:right="219"/>
              <w:spacing w:after="0"/>
              <w:rPr>
                <w:sz w:val="20"/>
                <w:szCs w:val="20"/>
                <w:color w:val="auto"/>
              </w:rPr>
            </w:pPr>
            <w:r>
              <w:rPr>
                <w:rFonts w:ascii="Arial" w:cs="Arial" w:eastAsia="Arial" w:hAnsi="Arial"/>
                <w:sz w:val="16"/>
                <w:szCs w:val="16"/>
                <w:color w:val="auto"/>
              </w:rPr>
              <w:t>61</w:t>
            </w:r>
          </w:p>
        </w:tc>
        <w:tc>
          <w:tcPr>
            <w:tcW w:w="5960" w:type="dxa"/>
            <w:vAlign w:val="bottom"/>
          </w:tcPr>
          <w:p>
            <w:pPr>
              <w:ind w:left="320"/>
              <w:spacing w:after="0"/>
              <w:rPr>
                <w:sz w:val="20"/>
                <w:szCs w:val="20"/>
                <w:color w:val="auto"/>
              </w:rPr>
            </w:pPr>
            <w:r>
              <w:rPr>
                <w:rFonts w:ascii="Arial" w:cs="Arial" w:eastAsia="Arial" w:hAnsi="Arial"/>
                <w:sz w:val="16"/>
                <w:szCs w:val="16"/>
                <w:color w:val="auto"/>
              </w:rPr>
              <w:t>President</w:t>
            </w:r>
          </w:p>
        </w:tc>
      </w:tr>
      <w:tr>
        <w:trPr>
          <w:trHeight w:val="189"/>
        </w:trPr>
        <w:tc>
          <w:tcPr>
            <w:tcW w:w="2780" w:type="dxa"/>
            <w:vAlign w:val="bottom"/>
          </w:tcPr>
          <w:p>
            <w:pPr>
              <w:spacing w:after="0"/>
              <w:rPr>
                <w:sz w:val="20"/>
                <w:szCs w:val="20"/>
                <w:color w:val="auto"/>
              </w:rPr>
            </w:pPr>
            <w:r>
              <w:rPr>
                <w:rFonts w:ascii="Arial" w:cs="Arial" w:eastAsia="Arial" w:hAnsi="Arial"/>
                <w:sz w:val="16"/>
                <w:szCs w:val="16"/>
                <w:color w:val="auto"/>
              </w:rPr>
              <w:t>Sanjeev Narula</w:t>
            </w:r>
          </w:p>
        </w:tc>
        <w:tc>
          <w:tcPr>
            <w:tcW w:w="1760" w:type="dxa"/>
            <w:vAlign w:val="bottom"/>
          </w:tcPr>
          <w:p>
            <w:pPr>
              <w:jc w:val="right"/>
              <w:ind w:right="219"/>
              <w:spacing w:after="0"/>
              <w:rPr>
                <w:sz w:val="20"/>
                <w:szCs w:val="20"/>
                <w:color w:val="auto"/>
              </w:rPr>
            </w:pPr>
            <w:r>
              <w:rPr>
                <w:rFonts w:ascii="Arial" w:cs="Arial" w:eastAsia="Arial" w:hAnsi="Arial"/>
                <w:sz w:val="16"/>
                <w:szCs w:val="16"/>
                <w:color w:val="auto"/>
              </w:rPr>
              <w:t>61</w:t>
            </w:r>
          </w:p>
        </w:tc>
        <w:tc>
          <w:tcPr>
            <w:tcW w:w="5960" w:type="dxa"/>
            <w:vAlign w:val="bottom"/>
          </w:tcPr>
          <w:p>
            <w:pPr>
              <w:ind w:left="320"/>
              <w:spacing w:after="0"/>
              <w:rPr>
                <w:sz w:val="20"/>
                <w:szCs w:val="20"/>
                <w:color w:val="auto"/>
              </w:rPr>
            </w:pPr>
            <w:r>
              <w:rPr>
                <w:rFonts w:ascii="Arial" w:cs="Arial" w:eastAsia="Arial" w:hAnsi="Arial"/>
                <w:sz w:val="16"/>
                <w:szCs w:val="16"/>
                <w:color w:val="auto"/>
              </w:rPr>
              <w:t>Chief Financial Officer (principal financial officer)</w:t>
            </w:r>
          </w:p>
        </w:tc>
      </w:tr>
      <w:tr>
        <w:trPr>
          <w:trHeight w:val="189"/>
        </w:trPr>
        <w:tc>
          <w:tcPr>
            <w:tcW w:w="2780" w:type="dxa"/>
            <w:vAlign w:val="bottom"/>
          </w:tcPr>
          <w:p>
            <w:pPr>
              <w:spacing w:after="0"/>
              <w:rPr>
                <w:sz w:val="20"/>
                <w:szCs w:val="20"/>
                <w:color w:val="auto"/>
              </w:rPr>
            </w:pPr>
            <w:r>
              <w:rPr>
                <w:rFonts w:ascii="Arial" w:cs="Arial" w:eastAsia="Arial" w:hAnsi="Arial"/>
                <w:sz w:val="16"/>
                <w:szCs w:val="16"/>
                <w:color w:val="auto"/>
              </w:rPr>
              <w:t>Paul Campbell</w:t>
            </w:r>
          </w:p>
        </w:tc>
        <w:tc>
          <w:tcPr>
            <w:tcW w:w="1760" w:type="dxa"/>
            <w:vAlign w:val="bottom"/>
          </w:tcPr>
          <w:p>
            <w:pPr>
              <w:jc w:val="right"/>
              <w:ind w:right="219"/>
              <w:spacing w:after="0"/>
              <w:rPr>
                <w:sz w:val="20"/>
                <w:szCs w:val="20"/>
                <w:color w:val="auto"/>
              </w:rPr>
            </w:pPr>
            <w:r>
              <w:rPr>
                <w:rFonts w:ascii="Arial" w:cs="Arial" w:eastAsia="Arial" w:hAnsi="Arial"/>
                <w:sz w:val="16"/>
                <w:szCs w:val="16"/>
                <w:color w:val="auto"/>
              </w:rPr>
              <w:t>55</w:t>
            </w:r>
          </w:p>
        </w:tc>
        <w:tc>
          <w:tcPr>
            <w:tcW w:w="5960" w:type="dxa"/>
            <w:vAlign w:val="bottom"/>
          </w:tcPr>
          <w:p>
            <w:pPr>
              <w:ind w:left="320"/>
              <w:spacing w:after="0"/>
              <w:rPr>
                <w:sz w:val="20"/>
                <w:szCs w:val="20"/>
                <w:color w:val="auto"/>
              </w:rPr>
            </w:pPr>
            <w:r>
              <w:rPr>
                <w:rFonts w:ascii="Arial" w:cs="Arial" w:eastAsia="Arial" w:hAnsi="Arial"/>
                <w:sz w:val="16"/>
                <w:szCs w:val="16"/>
                <w:color w:val="auto"/>
              </w:rPr>
              <w:t>Chief Accounting Officer and Corporate Controller (principal accounting officer)</w:t>
            </w:r>
          </w:p>
        </w:tc>
      </w:tr>
      <w:tr>
        <w:trPr>
          <w:trHeight w:val="189"/>
        </w:trPr>
        <w:tc>
          <w:tcPr>
            <w:tcW w:w="2780" w:type="dxa"/>
            <w:vAlign w:val="bottom"/>
          </w:tcPr>
          <w:p>
            <w:pPr>
              <w:spacing w:after="0"/>
              <w:rPr>
                <w:sz w:val="20"/>
                <w:szCs w:val="20"/>
                <w:color w:val="auto"/>
              </w:rPr>
            </w:pPr>
            <w:r>
              <w:rPr>
                <w:rFonts w:ascii="Arial" w:cs="Arial" w:eastAsia="Arial" w:hAnsi="Arial"/>
                <w:sz w:val="16"/>
                <w:szCs w:val="16"/>
                <w:color w:val="auto"/>
              </w:rPr>
              <w:t>Brian Roman</w:t>
            </w:r>
          </w:p>
        </w:tc>
        <w:tc>
          <w:tcPr>
            <w:tcW w:w="1760" w:type="dxa"/>
            <w:vAlign w:val="bottom"/>
          </w:tcPr>
          <w:p>
            <w:pPr>
              <w:jc w:val="right"/>
              <w:ind w:right="219"/>
              <w:spacing w:after="0"/>
              <w:rPr>
                <w:sz w:val="20"/>
                <w:szCs w:val="20"/>
                <w:color w:val="auto"/>
              </w:rPr>
            </w:pPr>
            <w:r>
              <w:rPr>
                <w:rFonts w:ascii="Arial" w:cs="Arial" w:eastAsia="Arial" w:hAnsi="Arial"/>
                <w:sz w:val="16"/>
                <w:szCs w:val="16"/>
                <w:color w:val="auto"/>
              </w:rPr>
              <w:t>52</w:t>
            </w:r>
          </w:p>
        </w:tc>
        <w:tc>
          <w:tcPr>
            <w:tcW w:w="5960" w:type="dxa"/>
            <w:vAlign w:val="bottom"/>
          </w:tcPr>
          <w:p>
            <w:pPr>
              <w:ind w:left="320"/>
              <w:spacing w:after="0"/>
              <w:rPr>
                <w:sz w:val="20"/>
                <w:szCs w:val="20"/>
                <w:color w:val="auto"/>
              </w:rPr>
            </w:pPr>
            <w:r>
              <w:rPr>
                <w:rFonts w:ascii="Arial" w:cs="Arial" w:eastAsia="Arial" w:hAnsi="Arial"/>
                <w:sz w:val="16"/>
                <w:szCs w:val="16"/>
                <w:color w:val="auto"/>
              </w:rPr>
              <w:t>Global General Counsel</w:t>
            </w:r>
          </w:p>
        </w:tc>
      </w:tr>
      <w:tr>
        <w:trPr>
          <w:trHeight w:val="189"/>
        </w:trPr>
        <w:tc>
          <w:tcPr>
            <w:tcW w:w="2780" w:type="dxa"/>
            <w:vAlign w:val="bottom"/>
          </w:tcPr>
          <w:p>
            <w:pPr>
              <w:spacing w:after="0"/>
              <w:rPr>
                <w:sz w:val="20"/>
                <w:szCs w:val="20"/>
                <w:color w:val="auto"/>
              </w:rPr>
            </w:pPr>
            <w:r>
              <w:rPr>
                <w:rFonts w:ascii="Arial" w:cs="Arial" w:eastAsia="Arial" w:hAnsi="Arial"/>
                <w:sz w:val="16"/>
                <w:szCs w:val="16"/>
                <w:color w:val="auto"/>
              </w:rPr>
              <w:t>Andrew Cuneo</w:t>
            </w:r>
          </w:p>
        </w:tc>
        <w:tc>
          <w:tcPr>
            <w:tcW w:w="1760" w:type="dxa"/>
            <w:vAlign w:val="bottom"/>
          </w:tcPr>
          <w:p>
            <w:pPr>
              <w:jc w:val="right"/>
              <w:ind w:right="219"/>
              <w:spacing w:after="0"/>
              <w:rPr>
                <w:sz w:val="20"/>
                <w:szCs w:val="20"/>
                <w:color w:val="auto"/>
              </w:rPr>
            </w:pPr>
            <w:r>
              <w:rPr>
                <w:rFonts w:ascii="Arial" w:cs="Arial" w:eastAsia="Arial" w:hAnsi="Arial"/>
                <w:sz w:val="16"/>
                <w:szCs w:val="16"/>
                <w:color w:val="auto"/>
              </w:rPr>
              <w:t>46</w:t>
            </w:r>
          </w:p>
        </w:tc>
        <w:tc>
          <w:tcPr>
            <w:tcW w:w="5960" w:type="dxa"/>
            <w:vAlign w:val="bottom"/>
          </w:tcPr>
          <w:p>
            <w:pPr>
              <w:ind w:left="320"/>
              <w:spacing w:after="0"/>
              <w:rPr>
                <w:sz w:val="20"/>
                <w:szCs w:val="20"/>
                <w:color w:val="auto"/>
              </w:rPr>
            </w:pPr>
            <w:r>
              <w:rPr>
                <w:rFonts w:ascii="Arial" w:cs="Arial" w:eastAsia="Arial" w:hAnsi="Arial"/>
                <w:sz w:val="16"/>
                <w:szCs w:val="16"/>
                <w:color w:val="auto"/>
              </w:rPr>
              <w:t>President, Japan, Australia and New Zealand (“JANZ”)</w:t>
            </w:r>
          </w:p>
        </w:tc>
      </w:tr>
      <w:tr>
        <w:trPr>
          <w:trHeight w:val="189"/>
        </w:trPr>
        <w:tc>
          <w:tcPr>
            <w:tcW w:w="2780" w:type="dxa"/>
            <w:vAlign w:val="bottom"/>
          </w:tcPr>
          <w:p>
            <w:pPr>
              <w:spacing w:after="0"/>
              <w:rPr>
                <w:sz w:val="20"/>
                <w:szCs w:val="20"/>
                <w:color w:val="auto"/>
              </w:rPr>
            </w:pPr>
            <w:r>
              <w:rPr>
                <w:rFonts w:ascii="Arial" w:cs="Arial" w:eastAsia="Arial" w:hAnsi="Arial"/>
                <w:sz w:val="16"/>
                <w:szCs w:val="16"/>
                <w:color w:val="auto"/>
              </w:rPr>
              <w:t>Anthony Mauro</w:t>
            </w:r>
          </w:p>
        </w:tc>
        <w:tc>
          <w:tcPr>
            <w:tcW w:w="1760" w:type="dxa"/>
            <w:vAlign w:val="bottom"/>
          </w:tcPr>
          <w:p>
            <w:pPr>
              <w:jc w:val="right"/>
              <w:ind w:right="219"/>
              <w:spacing w:after="0"/>
              <w:rPr>
                <w:sz w:val="20"/>
                <w:szCs w:val="20"/>
                <w:color w:val="auto"/>
              </w:rPr>
            </w:pPr>
            <w:r>
              <w:rPr>
                <w:rFonts w:ascii="Arial" w:cs="Arial" w:eastAsia="Arial" w:hAnsi="Arial"/>
                <w:sz w:val="16"/>
                <w:szCs w:val="16"/>
                <w:color w:val="auto"/>
              </w:rPr>
              <w:t>49</w:t>
            </w:r>
          </w:p>
        </w:tc>
        <w:tc>
          <w:tcPr>
            <w:tcW w:w="5960" w:type="dxa"/>
            <w:vAlign w:val="bottom"/>
          </w:tcPr>
          <w:p>
            <w:pPr>
              <w:ind w:left="320"/>
              <w:spacing w:after="0"/>
              <w:rPr>
                <w:sz w:val="20"/>
                <w:szCs w:val="20"/>
                <w:color w:val="auto"/>
              </w:rPr>
            </w:pPr>
            <w:r>
              <w:rPr>
                <w:rFonts w:ascii="Arial" w:cs="Arial" w:eastAsia="Arial" w:hAnsi="Arial"/>
                <w:sz w:val="16"/>
                <w:szCs w:val="16"/>
                <w:color w:val="auto"/>
              </w:rPr>
              <w:t>President, Developed Markets</w:t>
            </w:r>
          </w:p>
        </w:tc>
      </w:tr>
      <w:tr>
        <w:trPr>
          <w:trHeight w:val="189"/>
        </w:trPr>
        <w:tc>
          <w:tcPr>
            <w:tcW w:w="2780" w:type="dxa"/>
            <w:vAlign w:val="bottom"/>
          </w:tcPr>
          <w:p>
            <w:pPr>
              <w:spacing w:after="0"/>
              <w:rPr>
                <w:sz w:val="20"/>
                <w:szCs w:val="20"/>
                <w:color w:val="auto"/>
              </w:rPr>
            </w:pPr>
            <w:r>
              <w:rPr>
                <w:rFonts w:ascii="Arial" w:cs="Arial" w:eastAsia="Arial" w:hAnsi="Arial"/>
                <w:sz w:val="16"/>
                <w:szCs w:val="16"/>
                <w:color w:val="auto"/>
              </w:rPr>
              <w:t>Xiangyang (Sean) Ni</w:t>
            </w:r>
          </w:p>
        </w:tc>
        <w:tc>
          <w:tcPr>
            <w:tcW w:w="1760" w:type="dxa"/>
            <w:vAlign w:val="bottom"/>
          </w:tcPr>
          <w:p>
            <w:pPr>
              <w:jc w:val="right"/>
              <w:ind w:right="219"/>
              <w:spacing w:after="0"/>
              <w:rPr>
                <w:sz w:val="20"/>
                <w:szCs w:val="20"/>
                <w:color w:val="auto"/>
              </w:rPr>
            </w:pPr>
            <w:r>
              <w:rPr>
                <w:rFonts w:ascii="Arial" w:cs="Arial" w:eastAsia="Arial" w:hAnsi="Arial"/>
                <w:sz w:val="16"/>
                <w:szCs w:val="16"/>
                <w:color w:val="auto"/>
              </w:rPr>
              <w:t>53</w:t>
            </w:r>
          </w:p>
        </w:tc>
        <w:tc>
          <w:tcPr>
            <w:tcW w:w="5960" w:type="dxa"/>
            <w:vAlign w:val="bottom"/>
          </w:tcPr>
          <w:p>
            <w:pPr>
              <w:ind w:left="320"/>
              <w:spacing w:after="0"/>
              <w:rPr>
                <w:sz w:val="20"/>
                <w:szCs w:val="20"/>
                <w:color w:val="auto"/>
              </w:rPr>
            </w:pPr>
            <w:r>
              <w:rPr>
                <w:rFonts w:ascii="Arial" w:cs="Arial" w:eastAsia="Arial" w:hAnsi="Arial"/>
                <w:sz w:val="16"/>
                <w:szCs w:val="16"/>
                <w:color w:val="auto"/>
              </w:rPr>
              <w:t>President, Greater China</w:t>
            </w:r>
          </w:p>
        </w:tc>
      </w:tr>
      <w:tr>
        <w:trPr>
          <w:trHeight w:val="189"/>
        </w:trPr>
        <w:tc>
          <w:tcPr>
            <w:tcW w:w="2780" w:type="dxa"/>
            <w:vAlign w:val="bottom"/>
          </w:tcPr>
          <w:p>
            <w:pPr>
              <w:spacing w:after="0"/>
              <w:rPr>
                <w:sz w:val="20"/>
                <w:szCs w:val="20"/>
                <w:color w:val="auto"/>
              </w:rPr>
            </w:pPr>
            <w:r>
              <w:rPr>
                <w:rFonts w:ascii="Arial" w:cs="Arial" w:eastAsia="Arial" w:hAnsi="Arial"/>
                <w:sz w:val="16"/>
                <w:szCs w:val="16"/>
                <w:color w:val="auto"/>
              </w:rPr>
              <w:t>Menassie Taddese</w:t>
            </w:r>
          </w:p>
        </w:tc>
        <w:tc>
          <w:tcPr>
            <w:tcW w:w="1760" w:type="dxa"/>
            <w:vAlign w:val="bottom"/>
          </w:tcPr>
          <w:p>
            <w:pPr>
              <w:jc w:val="right"/>
              <w:ind w:right="219"/>
              <w:spacing w:after="0"/>
              <w:rPr>
                <w:sz w:val="20"/>
                <w:szCs w:val="20"/>
                <w:color w:val="auto"/>
              </w:rPr>
            </w:pPr>
            <w:r>
              <w:rPr>
                <w:rFonts w:ascii="Arial" w:cs="Arial" w:eastAsia="Arial" w:hAnsi="Arial"/>
                <w:sz w:val="16"/>
                <w:szCs w:val="16"/>
                <w:color w:val="auto"/>
              </w:rPr>
              <w:t>52</w:t>
            </w:r>
          </w:p>
        </w:tc>
        <w:tc>
          <w:tcPr>
            <w:tcW w:w="5960" w:type="dxa"/>
            <w:vAlign w:val="bottom"/>
          </w:tcPr>
          <w:p>
            <w:pPr>
              <w:ind w:left="320"/>
              <w:spacing w:after="0"/>
              <w:rPr>
                <w:sz w:val="20"/>
                <w:szCs w:val="20"/>
                <w:color w:val="auto"/>
              </w:rPr>
            </w:pPr>
            <w:r>
              <w:rPr>
                <w:rFonts w:ascii="Arial" w:cs="Arial" w:eastAsia="Arial" w:hAnsi="Arial"/>
                <w:sz w:val="16"/>
                <w:szCs w:val="16"/>
                <w:color w:val="auto"/>
              </w:rPr>
              <w:t>President, Emerging Markets</w:t>
            </w:r>
          </w:p>
        </w:tc>
      </w:tr>
      <w:tr>
        <w:trPr>
          <w:trHeight w:val="195"/>
        </w:trPr>
        <w:tc>
          <w:tcPr>
            <w:tcW w:w="2780" w:type="dxa"/>
            <w:vAlign w:val="bottom"/>
          </w:tcPr>
          <w:p>
            <w:pPr>
              <w:spacing w:after="0"/>
              <w:rPr>
                <w:sz w:val="20"/>
                <w:szCs w:val="20"/>
                <w:color w:val="auto"/>
              </w:rPr>
            </w:pPr>
            <w:r>
              <w:rPr>
                <w:rFonts w:ascii="Arial" w:cs="Arial" w:eastAsia="Arial" w:hAnsi="Arial"/>
                <w:sz w:val="16"/>
                <w:szCs w:val="16"/>
                <w:color w:val="auto"/>
              </w:rPr>
              <w:t>Robert J. Coury</w:t>
            </w:r>
          </w:p>
        </w:tc>
        <w:tc>
          <w:tcPr>
            <w:tcW w:w="1760" w:type="dxa"/>
            <w:vAlign w:val="bottom"/>
          </w:tcPr>
          <w:p>
            <w:pPr>
              <w:jc w:val="right"/>
              <w:ind w:right="219"/>
              <w:spacing w:after="0"/>
              <w:rPr>
                <w:sz w:val="20"/>
                <w:szCs w:val="20"/>
                <w:color w:val="auto"/>
              </w:rPr>
            </w:pPr>
            <w:r>
              <w:rPr>
                <w:rFonts w:ascii="Arial" w:cs="Arial" w:eastAsia="Arial" w:hAnsi="Arial"/>
                <w:sz w:val="16"/>
                <w:szCs w:val="16"/>
                <w:color w:val="auto"/>
              </w:rPr>
              <w:t>61</w:t>
            </w:r>
          </w:p>
        </w:tc>
        <w:tc>
          <w:tcPr>
            <w:tcW w:w="5960" w:type="dxa"/>
            <w:vAlign w:val="bottom"/>
          </w:tcPr>
          <w:p>
            <w:pPr>
              <w:ind w:left="320"/>
              <w:spacing w:after="0"/>
              <w:rPr>
                <w:sz w:val="20"/>
                <w:szCs w:val="20"/>
                <w:color w:val="auto"/>
              </w:rPr>
            </w:pPr>
            <w:r>
              <w:rPr>
                <w:rFonts w:ascii="Arial" w:cs="Arial" w:eastAsia="Arial" w:hAnsi="Arial"/>
                <w:sz w:val="16"/>
                <w:szCs w:val="16"/>
                <w:color w:val="auto"/>
              </w:rPr>
              <w:t>Executive Chairman</w:t>
            </w:r>
          </w:p>
        </w:tc>
      </w:tr>
    </w:tbl>
    <w:p>
      <w:pPr>
        <w:spacing w:after="0" w:line="190" w:lineRule="exact"/>
        <w:rPr>
          <w:sz w:val="20"/>
          <w:szCs w:val="20"/>
          <w:color w:val="auto"/>
        </w:rPr>
      </w:pPr>
    </w:p>
    <w:p>
      <w:pPr>
        <w:jc w:val="both"/>
        <w:ind w:left="120"/>
        <w:spacing w:after="0" w:line="259" w:lineRule="auto"/>
        <w:rPr>
          <w:sz w:val="20"/>
          <w:szCs w:val="20"/>
          <w:color w:val="auto"/>
        </w:rPr>
      </w:pPr>
      <w:r>
        <w:rPr>
          <w:rFonts w:ascii="Arial" w:cs="Arial" w:eastAsia="Arial" w:hAnsi="Arial"/>
          <w:sz w:val="16"/>
          <w:szCs w:val="16"/>
          <w:b w:val="1"/>
          <w:bCs w:val="1"/>
          <w:color w:val="auto"/>
        </w:rPr>
        <w:t>Michael Goettler</w:t>
      </w:r>
      <w:r>
        <w:rPr>
          <w:rFonts w:ascii="Arial" w:cs="Arial" w:eastAsia="Arial" w:hAnsi="Arial"/>
          <w:sz w:val="16"/>
          <w:szCs w:val="16"/>
          <w:color w:val="auto"/>
        </w:rPr>
        <w:t>. Mr. Goettler has served as Viatris’ Chief Executive Officer (“CEO”) since the closing of the Combination on November 16, 2020. His</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responsibilities include leading the overall performance of the Company and executing on the strategies developed in collaboration with the Executive Chairman and the Company’s Board of Directors (the “Board” or “Viatris Board”), among other responsibilities. Additional details regarding Mr. Goettler’s background and experience can be found under the heading “Viatris Board of Directors” on page 6.</w:t>
      </w:r>
    </w:p>
    <w:p>
      <w:pPr>
        <w:spacing w:after="0" w:line="178"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6"/>
          <w:szCs w:val="16"/>
          <w:b w:val="1"/>
          <w:bCs w:val="1"/>
          <w:color w:val="auto"/>
        </w:rPr>
        <w:t>Rajiv Malik</w:t>
      </w:r>
      <w:r>
        <w:rPr>
          <w:rFonts w:ascii="Arial" w:cs="Arial" w:eastAsia="Arial" w:hAnsi="Arial"/>
          <w:sz w:val="16"/>
          <w:szCs w:val="16"/>
          <w:color w:val="auto"/>
        </w:rPr>
        <w:t>. Mr. Malik has served as Viatris’ President since the closing of the Combination on November 16, 2020. His responsibilities include the</w:t>
      </w:r>
      <w:r>
        <w:rPr>
          <w:rFonts w:ascii="Arial" w:cs="Arial" w:eastAsia="Arial" w:hAnsi="Arial"/>
          <w:sz w:val="16"/>
          <w:szCs w:val="16"/>
          <w:b w:val="1"/>
          <w:bCs w:val="1"/>
          <w:color w:val="auto"/>
        </w:rPr>
        <w:t xml:space="preserve"> </w:t>
      </w:r>
      <w:r>
        <w:rPr>
          <w:rFonts w:ascii="Arial" w:cs="Arial" w:eastAsia="Arial" w:hAnsi="Arial"/>
          <w:sz w:val="16"/>
          <w:szCs w:val="16"/>
          <w:color w:val="auto"/>
        </w:rPr>
        <w:t>day-to-day operations of the Company, overseeing the Company’s commercial business units, the Medical, Information Technology and Quality functions, and Research and Development (“R&amp;D”) and Operations. Additional details regarding Mr. Malik’s background and experience can be found under the heading “Viatris Board of Directors” on page 8.</w:t>
      </w:r>
    </w:p>
    <w:p>
      <w:pPr>
        <w:spacing w:after="0" w:line="178" w:lineRule="exact"/>
        <w:rPr>
          <w:sz w:val="20"/>
          <w:szCs w:val="20"/>
          <w:color w:val="auto"/>
        </w:rPr>
      </w:pPr>
    </w:p>
    <w:p>
      <w:pPr>
        <w:jc w:val="both"/>
        <w:ind w:left="120"/>
        <w:spacing w:after="0" w:line="252" w:lineRule="auto"/>
        <w:rPr>
          <w:sz w:val="20"/>
          <w:szCs w:val="20"/>
          <w:color w:val="auto"/>
        </w:rPr>
      </w:pPr>
      <w:r>
        <w:rPr>
          <w:rFonts w:ascii="Arial" w:cs="Arial" w:eastAsia="Arial" w:hAnsi="Arial"/>
          <w:sz w:val="16"/>
          <w:szCs w:val="16"/>
          <w:b w:val="1"/>
          <w:bCs w:val="1"/>
          <w:color w:val="auto"/>
        </w:rPr>
        <w:t>Sanjeev Narula</w:t>
      </w:r>
      <w:r>
        <w:rPr>
          <w:rFonts w:ascii="Arial" w:cs="Arial" w:eastAsia="Arial" w:hAnsi="Arial"/>
          <w:sz w:val="16"/>
          <w:szCs w:val="16"/>
          <w:color w:val="auto"/>
        </w:rPr>
        <w:t>. Mr. Narula has served as Viatris’ Chief Financial Officer since the closing of the Combination on November 16, 2020. His responsibilities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include oversight of the global Finance Department, which includes corporate controllership, financial planning and analysis, internal audit, and tax functions, among others. Prior to the Combination, Mr. Narula served as Chief Financial Officer of Pfizer’s Upjohn division (“Upjohn”) beginning in January 2019, with responsibility for oversight of finance, procurement and business technology for all functions of the business. From January 2014 to January 2019, Mr. Narula served as Vice President, Finance for Pfizer’s Essential Health Business, with responsibility for finance, business development, financial planning and analysis, and the operating plan process and forecasting. Mr. Narula also held several other financial leadership positions during his 16 years at Pfizer and Upjohn, including as the finance lead for the Primary Care Business Unit. Prior to joining Pfizer, Mr. Narula held financial and operational leadership roles at American Express and Xerox.</w:t>
      </w:r>
    </w:p>
    <w:p>
      <w:pPr>
        <w:spacing w:after="0" w:line="183" w:lineRule="exact"/>
        <w:rPr>
          <w:sz w:val="20"/>
          <w:szCs w:val="20"/>
          <w:color w:val="auto"/>
        </w:rPr>
      </w:pPr>
    </w:p>
    <w:p>
      <w:pPr>
        <w:jc w:val="both"/>
        <w:ind w:left="120"/>
        <w:spacing w:after="0" w:line="259" w:lineRule="auto"/>
        <w:rPr>
          <w:sz w:val="20"/>
          <w:szCs w:val="20"/>
          <w:color w:val="auto"/>
        </w:rPr>
      </w:pPr>
      <w:r>
        <w:rPr>
          <w:rFonts w:ascii="Arial" w:cs="Arial" w:eastAsia="Arial" w:hAnsi="Arial"/>
          <w:sz w:val="16"/>
          <w:szCs w:val="16"/>
          <w:b w:val="1"/>
          <w:bCs w:val="1"/>
          <w:color w:val="auto"/>
        </w:rPr>
        <w:t>Paul Campbell</w:t>
      </w:r>
      <w:r>
        <w:rPr>
          <w:rFonts w:ascii="Arial" w:cs="Arial" w:eastAsia="Arial" w:hAnsi="Arial"/>
          <w:sz w:val="16"/>
          <w:szCs w:val="16"/>
          <w:color w:val="auto"/>
        </w:rPr>
        <w:t>. Mr. Campbell has served as Viatris’ Chief Accounting Officer and Corporate Controller since the closing of the Combination on</w:t>
      </w:r>
      <w:r>
        <w:rPr>
          <w:rFonts w:ascii="Arial" w:cs="Arial" w:eastAsia="Arial" w:hAnsi="Arial"/>
          <w:sz w:val="16"/>
          <w:szCs w:val="16"/>
          <w:b w:val="1"/>
          <w:bCs w:val="1"/>
          <w:color w:val="auto"/>
        </w:rPr>
        <w:t xml:space="preserve"> </w:t>
      </w:r>
      <w:r>
        <w:rPr>
          <w:rFonts w:ascii="Arial" w:cs="Arial" w:eastAsia="Arial" w:hAnsi="Arial"/>
          <w:sz w:val="16"/>
          <w:szCs w:val="16"/>
          <w:color w:val="auto"/>
        </w:rPr>
        <w:t>November 16, 2020. He is responsible for oversight of the day-to-day operations of the accounting and finance functions of the Company, including planning, implementing, and managing the Company’s finance and accounting activities. Prior to the closing of the Combination, Mr. Campbell was Mylan’s Chief Accounting Officer, Senior Vice President and Controller. Before his</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appointment as Chief Accounting Officer in November 2015, Mr. Campbell served as Mylan’s Senior Vice President and Controller beginning in May 2015, with responsibility for overseeing the company’s accounting and financial operations and reporting, and he previously held roles of increasing responsibility at Mylan since 2002.</w:t>
      </w:r>
    </w:p>
    <w:p>
      <w:pPr>
        <w:spacing w:after="0" w:line="181"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b w:val="1"/>
          <w:bCs w:val="1"/>
          <w:color w:val="auto"/>
        </w:rPr>
        <w:t>Brian Roman</w:t>
      </w:r>
      <w:r>
        <w:rPr>
          <w:rFonts w:ascii="Arial" w:cs="Arial" w:eastAsia="Arial" w:hAnsi="Arial"/>
          <w:sz w:val="16"/>
          <w:szCs w:val="16"/>
          <w:color w:val="auto"/>
        </w:rPr>
        <w:t>. Mr. Roman has served as Viatris’ Global General Counsel since the closing of the Combination on November 16, 2020. His</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responsibilities include oversight of the Company’s global legal organization, including securities, global contracts, labor and employment, global regulatory, business development, litigation, and intellectual property, among other areas. From July 2017 until the closing of the Combination, Mr. Roman was Mylan’s Global General Counsel, with similar responsibilities. Prior to 2017, Mr. Roman served as Mylan’s Chief Administrative Officer from January 2016 until June 2017, with responsibility for oversight of the Human Relations, Compliance, Facilities, Security, Information Security, and Privacy functions. He served as Mylan’s Senior Vice President and Chief Compliance Officer from April 2010 until December 2015 and Vice President and General Counsel, North America from October 2005 until April 2010.</w:t>
      </w:r>
    </w:p>
    <w:p>
      <w:pPr>
        <w:spacing w:after="0" w:line="181" w:lineRule="exact"/>
        <w:rPr>
          <w:sz w:val="20"/>
          <w:szCs w:val="20"/>
          <w:color w:val="auto"/>
        </w:rPr>
      </w:pPr>
    </w:p>
    <w:p>
      <w:pPr>
        <w:jc w:val="both"/>
        <w:ind w:left="120" w:right="20"/>
        <w:spacing w:after="0" w:line="256" w:lineRule="auto"/>
        <w:rPr>
          <w:sz w:val="20"/>
          <w:szCs w:val="20"/>
          <w:color w:val="auto"/>
        </w:rPr>
      </w:pPr>
      <w:r>
        <w:rPr>
          <w:rFonts w:ascii="Arial" w:cs="Arial" w:eastAsia="Arial" w:hAnsi="Arial"/>
          <w:sz w:val="16"/>
          <w:szCs w:val="16"/>
          <w:b w:val="1"/>
          <w:bCs w:val="1"/>
          <w:color w:val="auto"/>
        </w:rPr>
        <w:t>Andrew Cuneo</w:t>
      </w:r>
      <w:r>
        <w:rPr>
          <w:rFonts w:ascii="Arial" w:cs="Arial" w:eastAsia="Arial" w:hAnsi="Arial"/>
          <w:sz w:val="16"/>
          <w:szCs w:val="16"/>
          <w:color w:val="auto"/>
        </w:rPr>
        <w:t>. Mr. Cuneo has served as President, JANZ since the closing of the Combination on November 16, 2020. His responsibilities include</w:t>
      </w:r>
      <w:r>
        <w:rPr>
          <w:rFonts w:ascii="Arial" w:cs="Arial" w:eastAsia="Arial" w:hAnsi="Arial"/>
          <w:sz w:val="16"/>
          <w:szCs w:val="16"/>
          <w:b w:val="1"/>
          <w:bCs w:val="1"/>
          <w:color w:val="auto"/>
        </w:rPr>
        <w:t xml:space="preserve"> </w:t>
      </w:r>
      <w:r>
        <w:rPr>
          <w:rFonts w:ascii="Arial" w:cs="Arial" w:eastAsia="Arial" w:hAnsi="Arial"/>
          <w:sz w:val="16"/>
          <w:szCs w:val="16"/>
          <w:color w:val="auto"/>
        </w:rPr>
        <w:t>oversight of the day-to-day operations in the region. From April 2017 until the closing of the Combination, Mr. Cuneo was Mylan’s President—Rest of World, with responsibility for executing on commercial objectives in more than 120 countries, including developed and emerging markets. Mr. Cuneo joined Mylan in February 2009 and served as Head of Global Business Development until April 2017. Previously, Mr. Cuneo served as Director of Merrill Lynch’s Global Healthcare Investment Banking Group.</w:t>
      </w:r>
    </w:p>
    <w:p>
      <w:pPr>
        <w:spacing w:after="0" w:line="180"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b w:val="1"/>
          <w:bCs w:val="1"/>
          <w:color w:val="auto"/>
        </w:rPr>
        <w:t>Anthony Mauro</w:t>
      </w:r>
      <w:r>
        <w:rPr>
          <w:rFonts w:ascii="Arial" w:cs="Arial" w:eastAsia="Arial" w:hAnsi="Arial"/>
          <w:sz w:val="16"/>
          <w:szCs w:val="16"/>
          <w:color w:val="auto"/>
        </w:rPr>
        <w:t>. Mr. Mauro has served as President, Developed Markets since the closing of the Combination on November 16, 2020. His</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responsibilities include oversight of the commercial functions in more than 35 countries in North America and Europe, including sales and marketing strategies in those regions. From January 2016 until the closing of the Combination, Mr. Mauro served as Chief Commercial Officer of Mylan, with responsibility for overseeing Mylan’s commercial businesses around the world. Prior to 2016, Mr. Mauro served as Mylan’s President, North America beginning January 1, 2012. He served as President of Mylan Pharmaceuticals Inc. from 2009 through February 2013. Mr. Mauro previously served as Chief Operating Officer of Mylan Pharmaceuticals ULC in Canada, Vice President of North America Strategic Development, and Vice President of North America Sales.</w:t>
      </w:r>
    </w:p>
    <w:p>
      <w:pPr>
        <w:spacing w:after="0" w:line="375" w:lineRule="exact"/>
        <w:rPr>
          <w:sz w:val="20"/>
          <w:szCs w:val="20"/>
          <w:color w:val="auto"/>
        </w:rPr>
      </w:pPr>
    </w:p>
    <w:p>
      <w:pPr>
        <w:jc w:val="both"/>
        <w:ind w:left="120"/>
        <w:spacing w:after="0" w:line="252" w:lineRule="auto"/>
        <w:rPr>
          <w:sz w:val="20"/>
          <w:szCs w:val="20"/>
          <w:color w:val="auto"/>
        </w:rPr>
      </w:pPr>
      <w:r>
        <w:rPr>
          <w:rFonts w:ascii="Arial" w:cs="Arial" w:eastAsia="Arial" w:hAnsi="Arial"/>
          <w:sz w:val="16"/>
          <w:szCs w:val="16"/>
          <w:b w:val="1"/>
          <w:bCs w:val="1"/>
          <w:color w:val="auto"/>
        </w:rPr>
        <w:t>Xiangyang (Sean) Ni</w:t>
      </w:r>
      <w:r>
        <w:rPr>
          <w:rFonts w:ascii="Arial" w:cs="Arial" w:eastAsia="Arial" w:hAnsi="Arial"/>
          <w:sz w:val="16"/>
          <w:szCs w:val="16"/>
          <w:color w:val="auto"/>
        </w:rPr>
        <w:t>. Mr. Ni has served as President, Greater China since the closing of the Combination on November 16, 2020. His responsibilities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include oversight of day-to-day operations in the region and overseeing the development and execution of the Company’s strategy in Greater China. From March 2019 until the closing of the Combination, Mr. Ni served as Senior Vice President of Global Strategy, Business Development, and Commercial Development at Pfizer’s Upjohn division, with responsibility for corporate strategy, business development, global marketing, pricing and channel management, commercial operations, and commercial excellence. He was Head of Established Brands, Global Product and Portfolio Strategy with AstraZeneca from July 2017 until February 2019, with responsibility for the global established brands portfolio based in the U.S. Prior to that, he was Vice President of Alliances and Business Development for AstraZeneca China from April 2014 until July 2017 and Executive Director, Strategic Planning and Business Development from February 2013 to April 2014.</w:t>
      </w:r>
    </w:p>
    <w:p>
      <w:pPr>
        <w:spacing w:after="0" w:line="183" w:lineRule="exact"/>
        <w:rPr>
          <w:sz w:val="20"/>
          <w:szCs w:val="20"/>
          <w:color w:val="auto"/>
        </w:rPr>
      </w:pPr>
    </w:p>
    <w:p>
      <w:pPr>
        <w:jc w:val="both"/>
        <w:ind w:left="120"/>
        <w:spacing w:after="0" w:line="266" w:lineRule="auto"/>
        <w:rPr>
          <w:sz w:val="20"/>
          <w:szCs w:val="20"/>
          <w:color w:val="auto"/>
        </w:rPr>
      </w:pPr>
      <w:r>
        <w:rPr>
          <w:rFonts w:ascii="Arial" w:cs="Arial" w:eastAsia="Arial" w:hAnsi="Arial"/>
          <w:sz w:val="16"/>
          <w:szCs w:val="16"/>
          <w:b w:val="1"/>
          <w:bCs w:val="1"/>
          <w:color w:val="auto"/>
        </w:rPr>
        <w:t>Menassie Taddese</w:t>
      </w:r>
      <w:r>
        <w:rPr>
          <w:rFonts w:ascii="Arial" w:cs="Arial" w:eastAsia="Arial" w:hAnsi="Arial"/>
          <w:sz w:val="16"/>
          <w:szCs w:val="16"/>
          <w:color w:val="auto"/>
        </w:rPr>
        <w:t>. Mr. Taddese has served as President, Emerging Markets since the closing of the Combination on November 16, 2020. His</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responsibilities include oversight of day-to-day operations in the segment, including leading the segment’s commercial team and establishing and executing on the</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86"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Company’s strategy. From October 2018 until the closing of the Combination, Mr. Taddese served as Regional President, Emerging Markets at Pfizer’s Upjohn division, with commercial responsibility for the Upjohn Business across the segment. From December 2017 until October 2018, Mr. Taddese served as Regional President for Pfizer’s Essential Health business in Africa and the Middle East, with responsibility for Pfizer’s established portfolio business throughout the region. Prior to that role, he served as Regional Lead and General Manager from January 2016 until November 2017, with responsibility for Pfizer’s Innovative Health Business in Africa and the Middle East. Previously, Mr. Taddese held a number of senior roles at Pfizer, including Vice President, Chief Financial Officer, Global Innovative Pharma North America from January 2014 until December 2015, and Vice President and Chief Financial Officer, US Primary Care from April 2011 to December 2013.</w:t>
      </w:r>
    </w:p>
    <w:p>
      <w:pPr>
        <w:spacing w:after="0" w:line="188" w:lineRule="exact"/>
        <w:rPr>
          <w:sz w:val="20"/>
          <w:szCs w:val="20"/>
          <w:color w:val="auto"/>
        </w:rPr>
      </w:pPr>
    </w:p>
    <w:p>
      <w:pPr>
        <w:jc w:val="both"/>
        <w:ind w:left="120" w:right="20"/>
        <w:spacing w:after="0" w:line="256" w:lineRule="auto"/>
        <w:rPr>
          <w:sz w:val="20"/>
          <w:szCs w:val="20"/>
          <w:color w:val="auto"/>
        </w:rPr>
      </w:pPr>
      <w:r>
        <w:rPr>
          <w:rFonts w:ascii="Arial" w:cs="Arial" w:eastAsia="Arial" w:hAnsi="Arial"/>
          <w:sz w:val="16"/>
          <w:szCs w:val="16"/>
          <w:b w:val="1"/>
          <w:bCs w:val="1"/>
          <w:color w:val="auto"/>
        </w:rPr>
        <w:t>Robert J. Coury</w:t>
      </w:r>
      <w:r>
        <w:rPr>
          <w:rFonts w:ascii="Arial" w:cs="Arial" w:eastAsia="Arial" w:hAnsi="Arial"/>
          <w:sz w:val="16"/>
          <w:szCs w:val="16"/>
          <w:color w:val="auto"/>
        </w:rPr>
        <w:t>. Mr. Coury has served as Viatris’ Executive Chairman since the closing of the Combination on November 16, 2020. Mr. Coury leads the</w:t>
      </w:r>
      <w:r>
        <w:rPr>
          <w:rFonts w:ascii="Arial" w:cs="Arial" w:eastAsia="Arial" w:hAnsi="Arial"/>
          <w:sz w:val="16"/>
          <w:szCs w:val="16"/>
          <w:b w:val="1"/>
          <w:bCs w:val="1"/>
          <w:color w:val="auto"/>
        </w:rPr>
        <w:t xml:space="preserve"> </w:t>
      </w:r>
      <w:r>
        <w:rPr>
          <w:rFonts w:ascii="Arial" w:cs="Arial" w:eastAsia="Arial" w:hAnsi="Arial"/>
          <w:sz w:val="16"/>
          <w:szCs w:val="16"/>
          <w:color w:val="auto"/>
        </w:rPr>
        <w:t>Viatris Board, leads the strategic direction of the Company with the Board and in collaboration with executive management, advises the management team as they execute on the Company’s strategy to drive value creation, and leads Company strategy on highly complex and strategic initiatives, while also ensuring robust board engagement with shareholders and other key stakeholders, among other responsibilities. Additional details regarding Mr. Coury’s background and experience can be found under the heading “Viatris Board of Directors” on page 4.</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Messrs. Coury, Goettler, and Malik are also members of the Viatris Board.</w:t>
      </w:r>
    </w:p>
    <w:p>
      <w:pPr>
        <w:spacing w:after="0" w:line="221"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Pursuant to Viatris Inc.’s Amended and Restated Bylaws (“Bylaws”), officers hold office until their successors are chosen and qualify in their stead or until their earlier death, resignation or removal.</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666666"/>
        </w:rPr>
        <w:t>Viatris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Viatris’ Board currently consists of 13 directors.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3740" w:type="dxa"/>
            <w:vAlign w:val="bottom"/>
            <w:tcBorders>
              <w:bottom w:val="single" w:sz="8" w:color="auto"/>
            </w:tcBorders>
          </w:tcPr>
          <w:p>
            <w:pPr>
              <w:ind w:left="1660"/>
              <w:spacing w:after="0"/>
              <w:rPr>
                <w:sz w:val="20"/>
                <w:szCs w:val="20"/>
                <w:color w:val="auto"/>
              </w:rPr>
            </w:pPr>
            <w:r>
              <w:rPr>
                <w:rFonts w:ascii="Arial" w:cs="Arial" w:eastAsia="Arial" w:hAnsi="Arial"/>
                <w:sz w:val="16"/>
                <w:szCs w:val="16"/>
                <w:b w:val="1"/>
                <w:bCs w:val="1"/>
                <w:color w:val="732282"/>
              </w:rPr>
              <w:t>Name</w:t>
            </w:r>
          </w:p>
        </w:tc>
        <w:tc>
          <w:tcPr>
            <w:tcW w:w="340" w:type="dxa"/>
            <w:vAlign w:val="bottom"/>
          </w:tcPr>
          <w:p>
            <w:pPr>
              <w:spacing w:after="0"/>
              <w:rPr>
                <w:sz w:val="21"/>
                <w:szCs w:val="21"/>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732282"/>
                <w:w w:val="91"/>
              </w:rPr>
              <w:t>Age</w:t>
            </w:r>
            <w:r>
              <w:rPr>
                <w:rFonts w:ascii="Arial" w:cs="Arial" w:eastAsia="Arial" w:hAnsi="Arial"/>
                <w:sz w:val="22"/>
                <w:szCs w:val="22"/>
                <w:b w:val="1"/>
                <w:bCs w:val="1"/>
                <w:color w:val="732282"/>
                <w:w w:val="91"/>
                <w:vertAlign w:val="superscript"/>
              </w:rPr>
              <w:t>(1)</w:t>
            </w:r>
          </w:p>
        </w:tc>
        <w:tc>
          <w:tcPr>
            <w:tcW w:w="320" w:type="dxa"/>
            <w:vAlign w:val="bottom"/>
          </w:tcPr>
          <w:p>
            <w:pPr>
              <w:spacing w:after="0"/>
              <w:rPr>
                <w:sz w:val="21"/>
                <w:szCs w:val="21"/>
                <w:color w:val="auto"/>
              </w:rPr>
            </w:pPr>
          </w:p>
        </w:tc>
        <w:tc>
          <w:tcPr>
            <w:tcW w:w="6160" w:type="dxa"/>
            <w:vAlign w:val="bottom"/>
            <w:tcBorders>
              <w:bottom w:val="single" w:sz="8" w:color="auto"/>
            </w:tcBorders>
          </w:tcPr>
          <w:p>
            <w:pPr>
              <w:ind w:left="1020"/>
              <w:spacing w:after="0"/>
              <w:rPr>
                <w:sz w:val="20"/>
                <w:szCs w:val="20"/>
                <w:color w:val="auto"/>
              </w:rPr>
            </w:pPr>
            <w:r>
              <w:rPr>
                <w:rFonts w:ascii="Arial" w:cs="Arial" w:eastAsia="Arial" w:hAnsi="Arial"/>
                <w:sz w:val="16"/>
                <w:szCs w:val="16"/>
                <w:b w:val="1"/>
                <w:bCs w:val="1"/>
                <w:color w:val="732282"/>
              </w:rPr>
              <w:t>Other Positions with Viatris and Principal Occupation</w:t>
            </w:r>
          </w:p>
        </w:tc>
      </w:tr>
      <w:tr>
        <w:trPr>
          <w:trHeight w:val="190"/>
        </w:trPr>
        <w:tc>
          <w:tcPr>
            <w:tcW w:w="4080" w:type="dxa"/>
            <w:vAlign w:val="bottom"/>
            <w:gridSpan w:val="2"/>
          </w:tcPr>
          <w:p>
            <w:pPr>
              <w:spacing w:after="0"/>
              <w:rPr>
                <w:sz w:val="20"/>
                <w:szCs w:val="20"/>
                <w:color w:val="auto"/>
              </w:rPr>
            </w:pPr>
            <w:r>
              <w:rPr>
                <w:rFonts w:ascii="Arial" w:cs="Arial" w:eastAsia="Arial" w:hAnsi="Arial"/>
                <w:sz w:val="16"/>
                <w:szCs w:val="16"/>
                <w:color w:val="auto"/>
              </w:rPr>
              <w:t>W. Don Cornwell</w:t>
            </w:r>
          </w:p>
        </w:tc>
        <w:tc>
          <w:tcPr>
            <w:tcW w:w="460" w:type="dxa"/>
            <w:vAlign w:val="bottom"/>
          </w:tcPr>
          <w:p>
            <w:pPr>
              <w:spacing w:after="0"/>
              <w:rPr>
                <w:sz w:val="20"/>
                <w:szCs w:val="20"/>
                <w:color w:val="auto"/>
              </w:rPr>
            </w:pPr>
            <w:r>
              <w:rPr>
                <w:rFonts w:ascii="Arial" w:cs="Arial" w:eastAsia="Arial" w:hAnsi="Arial"/>
                <w:sz w:val="16"/>
                <w:szCs w:val="16"/>
                <w:color w:val="auto"/>
              </w:rPr>
              <w:t>74</w:t>
            </w:r>
          </w:p>
        </w:tc>
        <w:tc>
          <w:tcPr>
            <w:tcW w:w="320" w:type="dxa"/>
            <w:vAlign w:val="bottom"/>
          </w:tcPr>
          <w:p>
            <w:pPr>
              <w:spacing w:after="0"/>
              <w:rPr>
                <w:sz w:val="16"/>
                <w:szCs w:val="16"/>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Retired Chairman &amp; Chief Executive Officer, Granite Broadcasting Corporation</w:t>
            </w:r>
          </w:p>
        </w:tc>
      </w:tr>
      <w:tr>
        <w:trPr>
          <w:trHeight w:val="243"/>
        </w:trPr>
        <w:tc>
          <w:tcPr>
            <w:tcW w:w="4080" w:type="dxa"/>
            <w:vAlign w:val="bottom"/>
            <w:gridSpan w:val="2"/>
          </w:tcPr>
          <w:p>
            <w:pPr>
              <w:spacing w:after="0"/>
              <w:rPr>
                <w:sz w:val="20"/>
                <w:szCs w:val="20"/>
                <w:color w:val="auto"/>
              </w:rPr>
            </w:pPr>
            <w:r>
              <w:rPr>
                <w:rFonts w:ascii="Arial" w:cs="Arial" w:eastAsia="Arial" w:hAnsi="Arial"/>
                <w:sz w:val="16"/>
                <w:szCs w:val="16"/>
                <w:color w:val="auto"/>
              </w:rPr>
              <w:t>Robert J. Coury</w:t>
            </w:r>
          </w:p>
        </w:tc>
        <w:tc>
          <w:tcPr>
            <w:tcW w:w="460" w:type="dxa"/>
            <w:vAlign w:val="bottom"/>
          </w:tcPr>
          <w:p>
            <w:pPr>
              <w:spacing w:after="0"/>
              <w:rPr>
                <w:sz w:val="20"/>
                <w:szCs w:val="20"/>
                <w:color w:val="auto"/>
              </w:rPr>
            </w:pPr>
            <w:r>
              <w:rPr>
                <w:rFonts w:ascii="Arial" w:cs="Arial" w:eastAsia="Arial" w:hAnsi="Arial"/>
                <w:sz w:val="16"/>
                <w:szCs w:val="16"/>
                <w:color w:val="auto"/>
              </w:rPr>
              <w:t>61</w:t>
            </w:r>
          </w:p>
        </w:tc>
        <w:tc>
          <w:tcPr>
            <w:tcW w:w="320" w:type="dxa"/>
            <w:vAlign w:val="bottom"/>
          </w:tcPr>
          <w:p>
            <w:pPr>
              <w:spacing w:after="0"/>
              <w:rPr>
                <w:sz w:val="21"/>
                <w:szCs w:val="21"/>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Executive Chairman, Viatris</w:t>
            </w:r>
          </w:p>
        </w:tc>
      </w:tr>
      <w:tr>
        <w:trPr>
          <w:trHeight w:val="237"/>
        </w:trPr>
        <w:tc>
          <w:tcPr>
            <w:tcW w:w="4080" w:type="dxa"/>
            <w:vAlign w:val="bottom"/>
            <w:gridSpan w:val="2"/>
          </w:tcPr>
          <w:p>
            <w:pPr>
              <w:spacing w:after="0"/>
              <w:rPr>
                <w:sz w:val="20"/>
                <w:szCs w:val="20"/>
                <w:color w:val="auto"/>
              </w:rPr>
            </w:pPr>
            <w:r>
              <w:rPr>
                <w:rFonts w:ascii="Arial" w:cs="Arial" w:eastAsia="Arial" w:hAnsi="Arial"/>
                <w:sz w:val="16"/>
                <w:szCs w:val="16"/>
                <w:color w:val="auto"/>
              </w:rPr>
              <w:t>JoEllen Lyons Dillon</w:t>
            </w:r>
          </w:p>
        </w:tc>
        <w:tc>
          <w:tcPr>
            <w:tcW w:w="460" w:type="dxa"/>
            <w:vAlign w:val="bottom"/>
          </w:tcPr>
          <w:p>
            <w:pPr>
              <w:spacing w:after="0"/>
              <w:rPr>
                <w:sz w:val="20"/>
                <w:szCs w:val="20"/>
                <w:color w:val="auto"/>
              </w:rPr>
            </w:pPr>
            <w:r>
              <w:rPr>
                <w:rFonts w:ascii="Arial" w:cs="Arial" w:eastAsia="Arial" w:hAnsi="Arial"/>
                <w:sz w:val="16"/>
                <w:szCs w:val="16"/>
                <w:color w:val="auto"/>
              </w:rPr>
              <w:t>58</w:t>
            </w:r>
          </w:p>
        </w:tc>
        <w:tc>
          <w:tcPr>
            <w:tcW w:w="3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Retired Executive Vice President, Chief Legal Officer and Corporate Secretary, The</w:t>
            </w:r>
          </w:p>
        </w:tc>
      </w:tr>
      <w:tr>
        <w:trPr>
          <w:trHeight w:val="195"/>
        </w:trPr>
        <w:tc>
          <w:tcPr>
            <w:tcW w:w="3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ExOne Company</w:t>
            </w:r>
          </w:p>
        </w:tc>
      </w:tr>
      <w:tr>
        <w:trPr>
          <w:trHeight w:val="237"/>
        </w:trPr>
        <w:tc>
          <w:tcPr>
            <w:tcW w:w="4080" w:type="dxa"/>
            <w:vAlign w:val="bottom"/>
            <w:gridSpan w:val="2"/>
          </w:tcPr>
          <w:p>
            <w:pPr>
              <w:spacing w:after="0" w:line="238" w:lineRule="exact"/>
              <w:rPr>
                <w:sz w:val="20"/>
                <w:szCs w:val="20"/>
                <w:color w:val="auto"/>
              </w:rPr>
            </w:pPr>
            <w:r>
              <w:rPr>
                <w:rFonts w:ascii="Arial" w:cs="Arial" w:eastAsia="Arial" w:hAnsi="Arial"/>
                <w:sz w:val="16"/>
                <w:szCs w:val="16"/>
                <w:color w:val="auto"/>
              </w:rPr>
              <w:t>Neil Dimick, C.P.A.</w:t>
            </w:r>
            <w:r>
              <w:rPr>
                <w:rFonts w:ascii="Arial" w:cs="Arial" w:eastAsia="Arial" w:hAnsi="Arial"/>
                <w:sz w:val="22"/>
                <w:szCs w:val="22"/>
                <w:color w:val="auto"/>
                <w:vertAlign w:val="superscript"/>
              </w:rPr>
              <w:t>(2)</w:t>
            </w:r>
          </w:p>
        </w:tc>
        <w:tc>
          <w:tcPr>
            <w:tcW w:w="460" w:type="dxa"/>
            <w:vAlign w:val="bottom"/>
          </w:tcPr>
          <w:p>
            <w:pPr>
              <w:spacing w:after="0"/>
              <w:rPr>
                <w:sz w:val="20"/>
                <w:szCs w:val="20"/>
                <w:color w:val="auto"/>
              </w:rPr>
            </w:pPr>
            <w:r>
              <w:rPr>
                <w:rFonts w:ascii="Arial" w:cs="Arial" w:eastAsia="Arial" w:hAnsi="Arial"/>
                <w:sz w:val="16"/>
                <w:szCs w:val="16"/>
                <w:color w:val="auto"/>
              </w:rPr>
              <w:t>72</w:t>
            </w:r>
          </w:p>
        </w:tc>
        <w:tc>
          <w:tcPr>
            <w:tcW w:w="3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Retired Executive Vice President and Chief Financial Officer, AmerisourceBergen</w:t>
            </w:r>
          </w:p>
        </w:tc>
      </w:tr>
      <w:tr>
        <w:trPr>
          <w:trHeight w:val="195"/>
        </w:trPr>
        <w:tc>
          <w:tcPr>
            <w:tcW w:w="3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Corporation</w:t>
            </w:r>
          </w:p>
        </w:tc>
      </w:tr>
      <w:tr>
        <w:trPr>
          <w:trHeight w:val="243"/>
        </w:trPr>
        <w:tc>
          <w:tcPr>
            <w:tcW w:w="4080" w:type="dxa"/>
            <w:vAlign w:val="bottom"/>
            <w:gridSpan w:val="2"/>
          </w:tcPr>
          <w:p>
            <w:pPr>
              <w:spacing w:after="0"/>
              <w:rPr>
                <w:sz w:val="20"/>
                <w:szCs w:val="20"/>
                <w:color w:val="auto"/>
              </w:rPr>
            </w:pPr>
            <w:r>
              <w:rPr>
                <w:rFonts w:ascii="Arial" w:cs="Arial" w:eastAsia="Arial" w:hAnsi="Arial"/>
                <w:sz w:val="16"/>
                <w:szCs w:val="16"/>
                <w:color w:val="auto"/>
              </w:rPr>
              <w:t>Michael Goettler</w:t>
            </w:r>
          </w:p>
        </w:tc>
        <w:tc>
          <w:tcPr>
            <w:tcW w:w="460" w:type="dxa"/>
            <w:vAlign w:val="bottom"/>
          </w:tcPr>
          <w:p>
            <w:pPr>
              <w:spacing w:after="0"/>
              <w:rPr>
                <w:sz w:val="20"/>
                <w:szCs w:val="20"/>
                <w:color w:val="auto"/>
              </w:rPr>
            </w:pPr>
            <w:r>
              <w:rPr>
                <w:rFonts w:ascii="Arial" w:cs="Arial" w:eastAsia="Arial" w:hAnsi="Arial"/>
                <w:sz w:val="16"/>
                <w:szCs w:val="16"/>
                <w:color w:val="auto"/>
              </w:rPr>
              <w:t>54</w:t>
            </w:r>
          </w:p>
        </w:tc>
        <w:tc>
          <w:tcPr>
            <w:tcW w:w="320" w:type="dxa"/>
            <w:vAlign w:val="bottom"/>
          </w:tcPr>
          <w:p>
            <w:pPr>
              <w:spacing w:after="0"/>
              <w:rPr>
                <w:sz w:val="21"/>
                <w:szCs w:val="21"/>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Chief Executive Officer, Viatris</w:t>
            </w:r>
          </w:p>
        </w:tc>
      </w:tr>
      <w:tr>
        <w:trPr>
          <w:trHeight w:val="243"/>
        </w:trPr>
        <w:tc>
          <w:tcPr>
            <w:tcW w:w="4080" w:type="dxa"/>
            <w:vAlign w:val="bottom"/>
            <w:gridSpan w:val="2"/>
          </w:tcPr>
          <w:p>
            <w:pPr>
              <w:spacing w:after="0"/>
              <w:rPr>
                <w:sz w:val="20"/>
                <w:szCs w:val="20"/>
                <w:color w:val="auto"/>
              </w:rPr>
            </w:pPr>
            <w:r>
              <w:rPr>
                <w:rFonts w:ascii="Arial" w:cs="Arial" w:eastAsia="Arial" w:hAnsi="Arial"/>
                <w:sz w:val="16"/>
                <w:szCs w:val="16"/>
                <w:color w:val="auto"/>
              </w:rPr>
              <w:t>Melina Higgins</w:t>
            </w:r>
          </w:p>
        </w:tc>
        <w:tc>
          <w:tcPr>
            <w:tcW w:w="460" w:type="dxa"/>
            <w:vAlign w:val="bottom"/>
          </w:tcPr>
          <w:p>
            <w:pPr>
              <w:spacing w:after="0"/>
              <w:rPr>
                <w:sz w:val="20"/>
                <w:szCs w:val="20"/>
                <w:color w:val="auto"/>
              </w:rPr>
            </w:pPr>
            <w:r>
              <w:rPr>
                <w:rFonts w:ascii="Arial" w:cs="Arial" w:eastAsia="Arial" w:hAnsi="Arial"/>
                <w:sz w:val="16"/>
                <w:szCs w:val="16"/>
                <w:color w:val="auto"/>
              </w:rPr>
              <w:t>54</w:t>
            </w:r>
          </w:p>
        </w:tc>
        <w:tc>
          <w:tcPr>
            <w:tcW w:w="320" w:type="dxa"/>
            <w:vAlign w:val="bottom"/>
          </w:tcPr>
          <w:p>
            <w:pPr>
              <w:spacing w:after="0"/>
              <w:rPr>
                <w:sz w:val="21"/>
                <w:szCs w:val="21"/>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Retired Partner and Managing Director, Goldman Sachs</w:t>
            </w:r>
          </w:p>
        </w:tc>
      </w:tr>
      <w:tr>
        <w:trPr>
          <w:trHeight w:val="243"/>
        </w:trPr>
        <w:tc>
          <w:tcPr>
            <w:tcW w:w="4080" w:type="dxa"/>
            <w:vAlign w:val="bottom"/>
            <w:gridSpan w:val="2"/>
          </w:tcPr>
          <w:p>
            <w:pPr>
              <w:spacing w:after="0"/>
              <w:rPr>
                <w:sz w:val="20"/>
                <w:szCs w:val="20"/>
                <w:color w:val="auto"/>
              </w:rPr>
            </w:pPr>
            <w:r>
              <w:rPr>
                <w:rFonts w:ascii="Arial" w:cs="Arial" w:eastAsia="Arial" w:hAnsi="Arial"/>
                <w:sz w:val="16"/>
                <w:szCs w:val="16"/>
                <w:color w:val="auto"/>
              </w:rPr>
              <w:t>James M. Kilts</w:t>
            </w:r>
          </w:p>
        </w:tc>
        <w:tc>
          <w:tcPr>
            <w:tcW w:w="460" w:type="dxa"/>
            <w:vAlign w:val="bottom"/>
          </w:tcPr>
          <w:p>
            <w:pPr>
              <w:spacing w:after="0"/>
              <w:rPr>
                <w:sz w:val="20"/>
                <w:szCs w:val="20"/>
                <w:color w:val="auto"/>
              </w:rPr>
            </w:pPr>
            <w:r>
              <w:rPr>
                <w:rFonts w:ascii="Arial" w:cs="Arial" w:eastAsia="Arial" w:hAnsi="Arial"/>
                <w:sz w:val="16"/>
                <w:szCs w:val="16"/>
                <w:color w:val="auto"/>
              </w:rPr>
              <w:t>74</w:t>
            </w:r>
          </w:p>
        </w:tc>
        <w:tc>
          <w:tcPr>
            <w:tcW w:w="320" w:type="dxa"/>
            <w:vAlign w:val="bottom"/>
          </w:tcPr>
          <w:p>
            <w:pPr>
              <w:spacing w:after="0"/>
              <w:rPr>
                <w:sz w:val="21"/>
                <w:szCs w:val="21"/>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Founding Partner, Centerview Capital</w:t>
            </w:r>
          </w:p>
        </w:tc>
      </w:tr>
      <w:tr>
        <w:trPr>
          <w:trHeight w:val="243"/>
        </w:trPr>
        <w:tc>
          <w:tcPr>
            <w:tcW w:w="4080" w:type="dxa"/>
            <w:vAlign w:val="bottom"/>
            <w:gridSpan w:val="2"/>
          </w:tcPr>
          <w:p>
            <w:pPr>
              <w:spacing w:after="0"/>
              <w:rPr>
                <w:sz w:val="20"/>
                <w:szCs w:val="20"/>
                <w:color w:val="auto"/>
              </w:rPr>
            </w:pPr>
            <w:r>
              <w:rPr>
                <w:rFonts w:ascii="Arial" w:cs="Arial" w:eastAsia="Arial" w:hAnsi="Arial"/>
                <w:sz w:val="16"/>
                <w:szCs w:val="16"/>
                <w:color w:val="auto"/>
              </w:rPr>
              <w:t>Harry A. Korman</w:t>
            </w:r>
          </w:p>
        </w:tc>
        <w:tc>
          <w:tcPr>
            <w:tcW w:w="460" w:type="dxa"/>
            <w:vAlign w:val="bottom"/>
          </w:tcPr>
          <w:p>
            <w:pPr>
              <w:spacing w:after="0"/>
              <w:rPr>
                <w:sz w:val="20"/>
                <w:szCs w:val="20"/>
                <w:color w:val="auto"/>
              </w:rPr>
            </w:pPr>
            <w:r>
              <w:rPr>
                <w:rFonts w:ascii="Arial" w:cs="Arial" w:eastAsia="Arial" w:hAnsi="Arial"/>
                <w:sz w:val="16"/>
                <w:szCs w:val="16"/>
                <w:color w:val="auto"/>
              </w:rPr>
              <w:t>64</w:t>
            </w:r>
          </w:p>
        </w:tc>
        <w:tc>
          <w:tcPr>
            <w:tcW w:w="320" w:type="dxa"/>
            <w:vAlign w:val="bottom"/>
          </w:tcPr>
          <w:p>
            <w:pPr>
              <w:spacing w:after="0"/>
              <w:rPr>
                <w:sz w:val="21"/>
                <w:szCs w:val="21"/>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Retired Chief Operating Officer, Mylan Inc.</w:t>
            </w:r>
          </w:p>
        </w:tc>
      </w:tr>
      <w:tr>
        <w:trPr>
          <w:trHeight w:val="243"/>
        </w:trPr>
        <w:tc>
          <w:tcPr>
            <w:tcW w:w="4080" w:type="dxa"/>
            <w:vAlign w:val="bottom"/>
            <w:gridSpan w:val="2"/>
          </w:tcPr>
          <w:p>
            <w:pPr>
              <w:spacing w:after="0"/>
              <w:rPr>
                <w:sz w:val="20"/>
                <w:szCs w:val="20"/>
                <w:color w:val="auto"/>
              </w:rPr>
            </w:pPr>
            <w:r>
              <w:rPr>
                <w:rFonts w:ascii="Arial" w:cs="Arial" w:eastAsia="Arial" w:hAnsi="Arial"/>
                <w:sz w:val="16"/>
                <w:szCs w:val="16"/>
                <w:color w:val="auto"/>
              </w:rPr>
              <w:t>Rajiv Malik</w:t>
            </w:r>
          </w:p>
        </w:tc>
        <w:tc>
          <w:tcPr>
            <w:tcW w:w="460" w:type="dxa"/>
            <w:vAlign w:val="bottom"/>
          </w:tcPr>
          <w:p>
            <w:pPr>
              <w:spacing w:after="0"/>
              <w:rPr>
                <w:sz w:val="20"/>
                <w:szCs w:val="20"/>
                <w:color w:val="auto"/>
              </w:rPr>
            </w:pPr>
            <w:r>
              <w:rPr>
                <w:rFonts w:ascii="Arial" w:cs="Arial" w:eastAsia="Arial" w:hAnsi="Arial"/>
                <w:sz w:val="16"/>
                <w:szCs w:val="16"/>
                <w:color w:val="auto"/>
              </w:rPr>
              <w:t>61</w:t>
            </w:r>
          </w:p>
        </w:tc>
        <w:tc>
          <w:tcPr>
            <w:tcW w:w="320" w:type="dxa"/>
            <w:vAlign w:val="bottom"/>
          </w:tcPr>
          <w:p>
            <w:pPr>
              <w:spacing w:after="0"/>
              <w:rPr>
                <w:sz w:val="21"/>
                <w:szCs w:val="21"/>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President, Viatris</w:t>
            </w:r>
          </w:p>
        </w:tc>
      </w:tr>
      <w:tr>
        <w:trPr>
          <w:trHeight w:val="243"/>
        </w:trPr>
        <w:tc>
          <w:tcPr>
            <w:tcW w:w="4080" w:type="dxa"/>
            <w:vAlign w:val="bottom"/>
            <w:gridSpan w:val="2"/>
          </w:tcPr>
          <w:p>
            <w:pPr>
              <w:spacing w:after="0"/>
              <w:rPr>
                <w:sz w:val="20"/>
                <w:szCs w:val="20"/>
                <w:color w:val="auto"/>
              </w:rPr>
            </w:pPr>
            <w:r>
              <w:rPr>
                <w:rFonts w:ascii="Arial" w:cs="Arial" w:eastAsia="Arial" w:hAnsi="Arial"/>
                <w:sz w:val="16"/>
                <w:szCs w:val="16"/>
                <w:color w:val="auto"/>
              </w:rPr>
              <w:t>Richard A. Mark, C.P.A.</w:t>
            </w:r>
          </w:p>
        </w:tc>
        <w:tc>
          <w:tcPr>
            <w:tcW w:w="460" w:type="dxa"/>
            <w:vAlign w:val="bottom"/>
          </w:tcPr>
          <w:p>
            <w:pPr>
              <w:spacing w:after="0"/>
              <w:rPr>
                <w:sz w:val="20"/>
                <w:szCs w:val="20"/>
                <w:color w:val="auto"/>
              </w:rPr>
            </w:pPr>
            <w:r>
              <w:rPr>
                <w:rFonts w:ascii="Arial" w:cs="Arial" w:eastAsia="Arial" w:hAnsi="Arial"/>
                <w:sz w:val="16"/>
                <w:szCs w:val="16"/>
                <w:color w:val="auto"/>
              </w:rPr>
              <w:t>68</w:t>
            </w:r>
          </w:p>
        </w:tc>
        <w:tc>
          <w:tcPr>
            <w:tcW w:w="320" w:type="dxa"/>
            <w:vAlign w:val="bottom"/>
          </w:tcPr>
          <w:p>
            <w:pPr>
              <w:spacing w:after="0"/>
              <w:rPr>
                <w:sz w:val="21"/>
                <w:szCs w:val="21"/>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Retired Partner, Deloitte &amp; Touche LLP</w:t>
            </w:r>
          </w:p>
        </w:tc>
      </w:tr>
      <w:tr>
        <w:trPr>
          <w:trHeight w:val="237"/>
        </w:trPr>
        <w:tc>
          <w:tcPr>
            <w:tcW w:w="4080" w:type="dxa"/>
            <w:vAlign w:val="bottom"/>
            <w:gridSpan w:val="2"/>
          </w:tcPr>
          <w:p>
            <w:pPr>
              <w:spacing w:after="0"/>
              <w:rPr>
                <w:sz w:val="20"/>
                <w:szCs w:val="20"/>
                <w:color w:val="auto"/>
              </w:rPr>
            </w:pPr>
            <w:r>
              <w:rPr>
                <w:rFonts w:ascii="Arial" w:cs="Arial" w:eastAsia="Arial" w:hAnsi="Arial"/>
                <w:sz w:val="16"/>
                <w:szCs w:val="16"/>
                <w:color w:val="auto"/>
              </w:rPr>
              <w:t>Mark W. Parrish</w:t>
            </w:r>
          </w:p>
        </w:tc>
        <w:tc>
          <w:tcPr>
            <w:tcW w:w="460" w:type="dxa"/>
            <w:vAlign w:val="bottom"/>
          </w:tcPr>
          <w:p>
            <w:pPr>
              <w:spacing w:after="0"/>
              <w:rPr>
                <w:sz w:val="20"/>
                <w:szCs w:val="20"/>
                <w:color w:val="auto"/>
              </w:rPr>
            </w:pPr>
            <w:r>
              <w:rPr>
                <w:rFonts w:ascii="Arial" w:cs="Arial" w:eastAsia="Arial" w:hAnsi="Arial"/>
                <w:sz w:val="16"/>
                <w:szCs w:val="16"/>
                <w:color w:val="auto"/>
              </w:rPr>
              <w:t>66</w:t>
            </w:r>
          </w:p>
        </w:tc>
        <w:tc>
          <w:tcPr>
            <w:tcW w:w="3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Lead Independent Director and Vice Chairman, Viatris; Former Executive Chairman,</w:t>
            </w:r>
          </w:p>
        </w:tc>
      </w:tr>
      <w:tr>
        <w:trPr>
          <w:trHeight w:val="195"/>
        </w:trPr>
        <w:tc>
          <w:tcPr>
            <w:tcW w:w="3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TridentUSA Health Services</w:t>
            </w:r>
          </w:p>
        </w:tc>
      </w:tr>
      <w:tr>
        <w:trPr>
          <w:trHeight w:val="243"/>
        </w:trPr>
        <w:tc>
          <w:tcPr>
            <w:tcW w:w="4080" w:type="dxa"/>
            <w:vAlign w:val="bottom"/>
            <w:gridSpan w:val="2"/>
          </w:tcPr>
          <w:p>
            <w:pPr>
              <w:spacing w:after="0"/>
              <w:rPr>
                <w:sz w:val="20"/>
                <w:szCs w:val="20"/>
                <w:color w:val="auto"/>
              </w:rPr>
            </w:pPr>
            <w:r>
              <w:rPr>
                <w:rFonts w:ascii="Arial" w:cs="Arial" w:eastAsia="Arial" w:hAnsi="Arial"/>
                <w:sz w:val="16"/>
                <w:szCs w:val="16"/>
                <w:color w:val="auto"/>
              </w:rPr>
              <w:t>Ian Read</w:t>
            </w:r>
          </w:p>
        </w:tc>
        <w:tc>
          <w:tcPr>
            <w:tcW w:w="460" w:type="dxa"/>
            <w:vAlign w:val="bottom"/>
          </w:tcPr>
          <w:p>
            <w:pPr>
              <w:spacing w:after="0"/>
              <w:rPr>
                <w:sz w:val="20"/>
                <w:szCs w:val="20"/>
                <w:color w:val="auto"/>
              </w:rPr>
            </w:pPr>
            <w:r>
              <w:rPr>
                <w:rFonts w:ascii="Arial" w:cs="Arial" w:eastAsia="Arial" w:hAnsi="Arial"/>
                <w:sz w:val="16"/>
                <w:szCs w:val="16"/>
                <w:color w:val="auto"/>
              </w:rPr>
              <w:t>68</w:t>
            </w:r>
          </w:p>
        </w:tc>
        <w:tc>
          <w:tcPr>
            <w:tcW w:w="320" w:type="dxa"/>
            <w:vAlign w:val="bottom"/>
          </w:tcPr>
          <w:p>
            <w:pPr>
              <w:spacing w:after="0"/>
              <w:rPr>
                <w:sz w:val="21"/>
                <w:szCs w:val="21"/>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Operating Executive at The Carlyle Group; Retired Executive Chairman, Pfizer</w:t>
            </w:r>
          </w:p>
        </w:tc>
      </w:tr>
      <w:tr>
        <w:trPr>
          <w:trHeight w:val="243"/>
        </w:trPr>
        <w:tc>
          <w:tcPr>
            <w:tcW w:w="4080" w:type="dxa"/>
            <w:vAlign w:val="bottom"/>
            <w:gridSpan w:val="2"/>
          </w:tcPr>
          <w:p>
            <w:pPr>
              <w:spacing w:after="0"/>
              <w:rPr>
                <w:sz w:val="20"/>
                <w:szCs w:val="20"/>
                <w:color w:val="auto"/>
              </w:rPr>
            </w:pPr>
            <w:r>
              <w:rPr>
                <w:rFonts w:ascii="Arial" w:cs="Arial" w:eastAsia="Arial" w:hAnsi="Arial"/>
                <w:sz w:val="16"/>
                <w:szCs w:val="16"/>
                <w:color w:val="auto"/>
              </w:rPr>
              <w:t>Pauline van der Meer Mohr</w:t>
            </w:r>
          </w:p>
        </w:tc>
        <w:tc>
          <w:tcPr>
            <w:tcW w:w="460" w:type="dxa"/>
            <w:vAlign w:val="bottom"/>
          </w:tcPr>
          <w:p>
            <w:pPr>
              <w:spacing w:after="0"/>
              <w:rPr>
                <w:sz w:val="20"/>
                <w:szCs w:val="20"/>
                <w:color w:val="auto"/>
              </w:rPr>
            </w:pPr>
            <w:r>
              <w:rPr>
                <w:rFonts w:ascii="Arial" w:cs="Arial" w:eastAsia="Arial" w:hAnsi="Arial"/>
                <w:sz w:val="16"/>
                <w:szCs w:val="16"/>
                <w:color w:val="auto"/>
              </w:rPr>
              <w:t>62</w:t>
            </w:r>
          </w:p>
        </w:tc>
        <w:tc>
          <w:tcPr>
            <w:tcW w:w="320" w:type="dxa"/>
            <w:vAlign w:val="bottom"/>
          </w:tcPr>
          <w:p>
            <w:pPr>
              <w:spacing w:after="0"/>
              <w:rPr>
                <w:sz w:val="21"/>
                <w:szCs w:val="21"/>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Former President of the Executive Board at Erasmus University, Rotterdam</w:t>
            </w:r>
          </w:p>
        </w:tc>
      </w:tr>
      <w:tr>
        <w:trPr>
          <w:trHeight w:val="357"/>
        </w:trPr>
        <w:tc>
          <w:tcPr>
            <w:tcW w:w="3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160" w:type="dxa"/>
            <w:vAlign w:val="bottom"/>
          </w:tcPr>
          <w:p>
            <w:pPr>
              <w:ind w:left="60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140"/>
          </w:cols>
          <w:pgMar w:left="320" w:top="486"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540" w:hanging="424"/>
        <w:spacing w:after="0"/>
        <w:tabs>
          <w:tab w:leader="none" w:pos="540" w:val="left"/>
        </w:tabs>
        <w:numPr>
          <w:ilvl w:val="0"/>
          <w:numId w:val="5"/>
        </w:numPr>
        <w:rPr>
          <w:rFonts w:ascii="Arial" w:cs="Arial" w:eastAsia="Arial" w:hAnsi="Arial"/>
          <w:sz w:val="20"/>
          <w:szCs w:val="20"/>
          <w:color w:val="auto"/>
          <w:vertAlign w:val="superscript"/>
        </w:rPr>
      </w:pPr>
      <w:r>
        <w:rPr>
          <w:rFonts w:ascii="Arial" w:cs="Arial" w:eastAsia="Arial" w:hAnsi="Arial"/>
          <w:sz w:val="14"/>
          <w:szCs w:val="14"/>
          <w:color w:val="auto"/>
        </w:rPr>
        <w:t>Ages as of April 25, 2022.</w:t>
      </w:r>
    </w:p>
    <w:p>
      <w:pPr>
        <w:spacing w:after="0" w:line="84" w:lineRule="exact"/>
        <w:rPr>
          <w:rFonts w:ascii="Arial" w:cs="Arial" w:eastAsia="Arial" w:hAnsi="Arial"/>
          <w:sz w:val="20"/>
          <w:szCs w:val="20"/>
          <w:color w:val="auto"/>
          <w:vertAlign w:val="superscript"/>
        </w:rPr>
      </w:pPr>
    </w:p>
    <w:p>
      <w:pPr>
        <w:ind w:left="540" w:hanging="424"/>
        <w:spacing w:after="0" w:line="207" w:lineRule="auto"/>
        <w:tabs>
          <w:tab w:leader="none" w:pos="540" w:val="left"/>
        </w:tabs>
        <w:numPr>
          <w:ilvl w:val="0"/>
          <w:numId w:val="5"/>
        </w:numPr>
        <w:rPr>
          <w:rFonts w:ascii="Arial" w:cs="Arial" w:eastAsia="Arial" w:hAnsi="Arial"/>
          <w:sz w:val="20"/>
          <w:szCs w:val="20"/>
          <w:color w:val="auto"/>
          <w:vertAlign w:val="superscript"/>
        </w:rPr>
      </w:pPr>
      <w:r>
        <w:rPr>
          <w:rFonts w:ascii="Arial" w:cs="Arial" w:eastAsia="Arial" w:hAnsi="Arial"/>
          <w:sz w:val="14"/>
          <w:szCs w:val="14"/>
          <w:color w:val="auto"/>
        </w:rPr>
        <w:t>C.P.A. distinction is “inactive” status.</w:t>
      </w:r>
    </w:p>
    <w:p>
      <w:pPr>
        <w:spacing w:after="0" w:line="203"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Each of the Directors has served on the Board since November 16, 2020, the closing date of the Combination. Additional background information for each Director is set forth immediately below.</w:t>
      </w:r>
    </w:p>
    <w:p>
      <w:pPr>
        <w:spacing w:after="0" w:line="175" w:lineRule="exact"/>
        <w:rPr>
          <w:sz w:val="20"/>
          <w:szCs w:val="20"/>
          <w:color w:val="auto"/>
        </w:rPr>
      </w:pPr>
    </w:p>
    <w:p>
      <w:pPr>
        <w:jc w:val="both"/>
        <w:ind w:left="120" w:right="20"/>
        <w:spacing w:after="0" w:line="256" w:lineRule="auto"/>
        <w:rPr>
          <w:sz w:val="20"/>
          <w:szCs w:val="20"/>
          <w:color w:val="auto"/>
        </w:rPr>
      </w:pPr>
      <w:r>
        <w:rPr>
          <w:rFonts w:ascii="Arial" w:cs="Arial" w:eastAsia="Arial" w:hAnsi="Arial"/>
          <w:sz w:val="16"/>
          <w:szCs w:val="16"/>
          <w:b w:val="1"/>
          <w:bCs w:val="1"/>
          <w:u w:val="single" w:color="auto"/>
          <w:color w:val="auto"/>
        </w:rPr>
        <w:t>Robert J. Coury</w:t>
      </w:r>
      <w:r>
        <w:rPr>
          <w:rFonts w:ascii="Arial" w:cs="Arial" w:eastAsia="Arial" w:hAnsi="Arial"/>
          <w:sz w:val="16"/>
          <w:szCs w:val="16"/>
          <w:b w:val="1"/>
          <w:bCs w:val="1"/>
          <w:color w:val="auto"/>
        </w:rPr>
        <w:t xml:space="preserve">. </w:t>
      </w:r>
      <w:r>
        <w:rPr>
          <w:rFonts w:ascii="Arial" w:cs="Arial" w:eastAsia="Arial" w:hAnsi="Arial"/>
          <w:sz w:val="16"/>
          <w:szCs w:val="16"/>
          <w:color w:val="auto"/>
        </w:rPr>
        <w:t>Mr. Coury has served as Viatris’ Executive Chairman since the closing of the Combination on November 16, 2020. Mr. Coury leads the</w:t>
      </w:r>
      <w:r>
        <w:rPr>
          <w:rFonts w:ascii="Arial" w:cs="Arial" w:eastAsia="Arial" w:hAnsi="Arial"/>
          <w:sz w:val="16"/>
          <w:szCs w:val="16"/>
          <w:b w:val="1"/>
          <w:bCs w:val="1"/>
          <w:color w:val="auto"/>
        </w:rPr>
        <w:t xml:space="preserve"> </w:t>
      </w:r>
      <w:r>
        <w:rPr>
          <w:rFonts w:ascii="Arial" w:cs="Arial" w:eastAsia="Arial" w:hAnsi="Arial"/>
          <w:sz w:val="16"/>
          <w:szCs w:val="16"/>
          <w:color w:val="auto"/>
        </w:rPr>
        <w:t>Viatris Board; oversees the strategic direction of the Company with the Board and in collaboration with executive management; advises the management team as they execute on the Company’s strategy to drive value creation and to otherwise unlock value; oversees management’s execution of the business strategies approved by the Board; oversees executive talent management; and ensures robust engagement with shareholders and other key stakeholders, among other responsibilities.</w:t>
      </w:r>
    </w:p>
    <w:p>
      <w:pPr>
        <w:spacing w:after="0" w:line="200" w:lineRule="exact"/>
        <w:rPr>
          <w:sz w:val="20"/>
          <w:szCs w:val="20"/>
          <w:color w:val="auto"/>
        </w:rPr>
      </w:pPr>
    </w:p>
    <w:p>
      <w:pPr>
        <w:jc w:val="both"/>
        <w:ind w:left="120" w:right="20"/>
        <w:spacing w:after="0" w:line="251" w:lineRule="auto"/>
        <w:rPr>
          <w:sz w:val="20"/>
          <w:szCs w:val="20"/>
          <w:color w:val="auto"/>
        </w:rPr>
      </w:pPr>
      <w:r>
        <w:rPr>
          <w:rFonts w:ascii="Arial" w:cs="Arial" w:eastAsia="Arial" w:hAnsi="Arial"/>
          <w:sz w:val="16"/>
          <w:szCs w:val="16"/>
          <w:color w:val="auto"/>
        </w:rPr>
        <w:t>Mr. Coury most recently served as Executive Chairman of Mylan. During his tenure with Mylan, Mr. Coury’s strategic vision led to the creation of a strong foundation for Viatris. Under Mr. Coury’s leadership, Mylan grew from the third-largest generics pharmaceutical company in the United States to one of the largest pharmaceutical companies in the world, earning spots in both the S&amp;P 500 and, prior to Mylan’s reincorporation outside of the United States in 2015, the Fortune 500.</w:t>
      </w:r>
    </w:p>
    <w:p>
      <w:pPr>
        <w:spacing w:after="0" w:line="202"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Mr. Coury was first elected to Mylan’s Board of Directors (the “Mylan Board”) in February 2002, having served since 1995 as a strategic advisor to the company. He became the Vice Chairman shortly after his election and served as Chief Executive Officer from September 2002 until January 2012. He then served as Executive Chairman from 2012 until he became non-executive Chairman in June 2016. As Executive Chairman between 2012 and 2016, Mr. Coury’s primary responsibilities were similar to those noted above. As non-executive Chairman, Mr. Coury continued to provide the overall strategic leadership for Mylan and was directly involved in shareholder engagement and material transactions involving Mylan, as well as in other matters considered significant by Mylan’s Board. The Mylan Board reappointed Mr. Coury as Executive Chairman in April 2020. In that role, Mr. Coury’s responsibilities were similar to his current responsibilities, and he provided leadership and strategic direction in navigating the unique challenges posed to Mylan and the pharmaceutical industry by the COVID-19 pandemic and oversight of work related to the Combination.</w:t>
      </w:r>
    </w:p>
    <w:p>
      <w:pPr>
        <w:spacing w:after="0" w:line="207"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Mr. Coury is the founder and president of the Robert J. Coury Family Foundation, which is a private foundation formed to help support his philanthropic efforts and his mission of giving back. He has served as a member of the University of Southern California President’s Leadership Council since 2014. Mr. Coury also serves on the Goldman Sachs Healthcare Advisory Council.</w:t>
      </w:r>
    </w:p>
    <w:p>
      <w:pPr>
        <w:spacing w:after="0" w:line="201"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auto"/>
        </w:rPr>
        <w:t>Mr. Coury’s qualifications to serve on the Viatris Board include, among others, his unique strategic vision, leadership, extensive knowledge of the industry and the Company and its management and businesses around the world, demonstrated outstanding business acumen, proven ability to proactively anticipate and respond to opportunities and challenges, and strong business judgment.</w:t>
      </w:r>
    </w:p>
    <w:p>
      <w:pPr>
        <w:spacing w:after="0" w:line="181" w:lineRule="exact"/>
        <w:rPr>
          <w:sz w:val="20"/>
          <w:szCs w:val="20"/>
          <w:color w:val="auto"/>
        </w:rPr>
      </w:pPr>
    </w:p>
    <w:p>
      <w:pPr>
        <w:jc w:val="both"/>
        <w:ind w:left="120" w:right="20"/>
        <w:spacing w:after="0" w:line="256" w:lineRule="auto"/>
        <w:rPr>
          <w:sz w:val="20"/>
          <w:szCs w:val="20"/>
          <w:color w:val="auto"/>
        </w:rPr>
      </w:pPr>
      <w:r>
        <w:rPr>
          <w:rFonts w:ascii="Arial" w:cs="Arial" w:eastAsia="Arial" w:hAnsi="Arial"/>
          <w:sz w:val="16"/>
          <w:szCs w:val="16"/>
          <w:b w:val="1"/>
          <w:bCs w:val="1"/>
          <w:u w:val="single" w:color="auto"/>
          <w:color w:val="auto"/>
        </w:rPr>
        <w:t>W. Don Cornwell</w:t>
      </w:r>
      <w:r>
        <w:rPr>
          <w:rFonts w:ascii="Arial" w:cs="Arial" w:eastAsia="Arial" w:hAnsi="Arial"/>
          <w:sz w:val="16"/>
          <w:szCs w:val="16"/>
          <w:b w:val="1"/>
          <w:bCs w:val="1"/>
          <w:color w:val="auto"/>
        </w:rPr>
        <w:t xml:space="preserve">. </w:t>
      </w:r>
      <w:r>
        <w:rPr>
          <w:rFonts w:ascii="Arial" w:cs="Arial" w:eastAsia="Arial" w:hAnsi="Arial"/>
          <w:sz w:val="16"/>
          <w:szCs w:val="16"/>
          <w:color w:val="auto"/>
        </w:rPr>
        <w:t>W. Don Cornwell has served on the Viatris Board since the closing of the Combination on November 16, 2020. Mr. Cornwell also has</w:t>
      </w:r>
      <w:r>
        <w:rPr>
          <w:rFonts w:ascii="Arial" w:cs="Arial" w:eastAsia="Arial" w:hAnsi="Arial"/>
          <w:sz w:val="16"/>
          <w:szCs w:val="16"/>
          <w:b w:val="1"/>
          <w:bCs w:val="1"/>
          <w:color w:val="auto"/>
        </w:rPr>
        <w:t xml:space="preserve"> </w:t>
      </w:r>
      <w:r>
        <w:rPr>
          <w:rFonts w:ascii="Arial" w:cs="Arial" w:eastAsia="Arial" w:hAnsi="Arial"/>
          <w:sz w:val="16"/>
          <w:szCs w:val="16"/>
          <w:color w:val="auto"/>
        </w:rPr>
        <w:t>served on the board of directors of American International Group, Inc. (NYSE: AIG) since 2011, and serves on its Audit and Nominating and Corporate Governance Committees. He has also been a member of the board of directors of Natura &amp; Co Holding S.A. (NYSE: NTCO) since January 2020 and serves on its Corporate Governance and Finance Committees. Mr. Cornwell was a Director of Avon Products, Inc. from 2002 until its acquisition by Natura in 2020. Mr. Cornwell served on the Pfizer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6"/>
          <w:szCs w:val="16"/>
          <w:color w:val="auto"/>
        </w:rPr>
        <w:t>(NYSE: PFE) board of directors from 1997 until the closing of the Combination, where he most recently chaired the Regulatory and Compliance Committee and was a member of the Governance and Sustainability Committee. Mr. Cornwell served as Chairman and Chief Executive Officer of Granite Broadcasting Corporation from 1988 until his retirement in August 2009 and served as Vice Chair until December 2009. Mr. Cornwell also serves on the board of trustees of Big Brothers Big Sisters of New York City and is the Vice Chairman of the board of directors of Blue Meridian Partners, a partnership of philanthropists that invests in strategies to impact social problems confronting young people and families in poverty.</w:t>
      </w:r>
    </w:p>
    <w:p>
      <w:pPr>
        <w:spacing w:after="0" w:line="203"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Mr. Cornwell’s qualifications to serve on the Viatris Board include, among others, his experience and expertise regarding public company management, corporate governance, finance, the healthcare industry, human capital management including oversight of diversity, equity and inclusion, global business, legal and regulatory oversight, strategy and M&amp;A.</w:t>
      </w:r>
    </w:p>
    <w:p>
      <w:pPr>
        <w:spacing w:after="0" w:line="181" w:lineRule="exact"/>
        <w:rPr>
          <w:sz w:val="20"/>
          <w:szCs w:val="20"/>
          <w:color w:val="auto"/>
        </w:rPr>
      </w:pPr>
    </w:p>
    <w:p>
      <w:pPr>
        <w:jc w:val="both"/>
        <w:ind w:left="120"/>
        <w:spacing w:after="0" w:line="250" w:lineRule="auto"/>
        <w:rPr>
          <w:sz w:val="20"/>
          <w:szCs w:val="20"/>
          <w:color w:val="auto"/>
        </w:rPr>
      </w:pPr>
      <w:r>
        <w:rPr>
          <w:rFonts w:ascii="Arial" w:cs="Arial" w:eastAsia="Arial" w:hAnsi="Arial"/>
          <w:sz w:val="16"/>
          <w:szCs w:val="16"/>
          <w:b w:val="1"/>
          <w:bCs w:val="1"/>
          <w:u w:val="single" w:color="auto"/>
          <w:color w:val="auto"/>
        </w:rPr>
        <w:t>JoEllen Lyons Dillon</w:t>
      </w:r>
      <w:r>
        <w:rPr>
          <w:rFonts w:ascii="Arial" w:cs="Arial" w:eastAsia="Arial" w:hAnsi="Arial"/>
          <w:sz w:val="16"/>
          <w:szCs w:val="16"/>
          <w:b w:val="1"/>
          <w:bCs w:val="1"/>
          <w:color w:val="auto"/>
        </w:rPr>
        <w:t xml:space="preserve">. </w:t>
      </w:r>
      <w:r>
        <w:rPr>
          <w:rFonts w:ascii="Arial" w:cs="Arial" w:eastAsia="Arial" w:hAnsi="Arial"/>
          <w:sz w:val="16"/>
          <w:szCs w:val="16"/>
          <w:color w:val="auto"/>
        </w:rPr>
        <w:t>Ms. Dillon has served on the Viatris Board since the closing of the Combination on November 16, 2020. Ms. Dillon served as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Mylan from 2014 until the closing of the Combination, most recently chairing the Compensation and Governance and Nominating Committees, and serving as a member of the Audit, Compliance and Executive Committees. She served from March 2013 to August 2017 as an executive officer of The ExOne Company, a global provider of three-dimensional printing machines and services. She was promoted to Executive Vice President in December 2014, adding to her original duties as Chief Legal Officer and Corporate Secretary. She held responsibilities for, among other things, capital markets development, corporate strategic planning, human resources, global compliance, investor relations, and international business development within Europe and Asia. Previously, Ms. Dillon had an almost 25-year legal career in corporate mergers and acquisitions and securities, where she represented both public and private companies in a variety of complex matters. She was a Partner with Reed Smith LLP, a law firm, from 2002 until 2011. She previously had been at the law firm Buchanan Ingersoll &amp; Rooney PC from 1988 until 2002, where she became a Partner in 1997. Ms. Dillon previously served as a member of the board of trustees of the Allegheny District chapter of the National Multiple Sclerosis Society and served as Chair and Audit Committee chair.</w:t>
      </w:r>
    </w:p>
    <w:p>
      <w:pPr>
        <w:spacing w:after="0" w:line="398"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Ms. Dillon’s qualifications to serve on the Viatris Board include, among others, her experience and expertise regarding public company management, corporate governance, finance, global business, legal and regulatory oversight, risk oversight, strategy and M&amp;A.</w:t>
      </w:r>
    </w:p>
    <w:p>
      <w:pPr>
        <w:spacing w:after="0" w:line="175" w:lineRule="exact"/>
        <w:rPr>
          <w:sz w:val="20"/>
          <w:szCs w:val="20"/>
          <w:color w:val="auto"/>
        </w:rPr>
      </w:pPr>
    </w:p>
    <w:p>
      <w:pPr>
        <w:jc w:val="both"/>
        <w:ind w:left="120"/>
        <w:spacing w:after="0" w:line="239" w:lineRule="auto"/>
        <w:rPr>
          <w:sz w:val="20"/>
          <w:szCs w:val="20"/>
          <w:color w:val="auto"/>
        </w:rPr>
      </w:pPr>
      <w:r>
        <w:rPr>
          <w:rFonts w:ascii="Arial" w:cs="Arial" w:eastAsia="Arial" w:hAnsi="Arial"/>
          <w:sz w:val="16"/>
          <w:szCs w:val="16"/>
          <w:b w:val="1"/>
          <w:bCs w:val="1"/>
          <w:u w:val="single" w:color="auto"/>
          <w:color w:val="auto"/>
        </w:rPr>
        <w:t>Neil Dimick, C.P.A.</w:t>
      </w:r>
      <w:r>
        <w:rPr>
          <w:rFonts w:ascii="Arial" w:cs="Arial" w:eastAsia="Arial" w:hAnsi="Arial"/>
          <w:sz w:val="22"/>
          <w:szCs w:val="22"/>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Mr. Dimick has served on the Viatris Board since the closing of the Combination on November 16, 2020. Mr. Dimick has served on</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of directors of Resources Connection, Inc. (NASDAQ: RECN) since November 2003, and chairs its Audit Committee and serves on its Compensation Committee. Mr. Dimick previously served as a Director of Mylan from 2005 until the closing of the Combination, most recently chairing the Audit Committee and serving as a member of the Executive, Finance, and Risk Oversight Committees. Mr. Dimick served as Executive Vice President and Chief Financial Officer of AmerisourceBergen Corporation (NYSE: ABC), a wholesale distributor of pharmaceuticals, from 2001 to 2002. From 1992 to 2001, he was Senior Executive Vice President and Chief Financial Officer of Bergen Brunswig Corporation, a wholesale drug distributor. Prior to that, Mr. Dimick was a Partner with Deloitte &amp; Touche LLP (“Deloitte”) for eight years. Mr. Dimick also served on the boards of directors of WebMD Health Corp. from 2005 to September 2017; Alliance HealthCare Services, Inc. from 2002 to August 2017; and Thoratec Corporation from 2003 to October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7715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97" w:lineRule="exact"/>
        <w:rPr>
          <w:sz w:val="20"/>
          <w:szCs w:val="20"/>
          <w:color w:val="auto"/>
        </w:rPr>
      </w:pPr>
    </w:p>
    <w:p>
      <w:pPr>
        <w:ind w:left="340" w:hanging="224"/>
        <w:spacing w:after="0"/>
        <w:tabs>
          <w:tab w:leader="none" w:pos="340" w:val="left"/>
        </w:tabs>
        <w:numPr>
          <w:ilvl w:val="0"/>
          <w:numId w:val="6"/>
        </w:numPr>
        <w:rPr>
          <w:rFonts w:ascii="Arial" w:cs="Arial" w:eastAsia="Arial" w:hAnsi="Arial"/>
          <w:sz w:val="23"/>
          <w:szCs w:val="23"/>
          <w:color w:val="auto"/>
          <w:vertAlign w:val="superscript"/>
        </w:rPr>
      </w:pPr>
      <w:r>
        <w:rPr>
          <w:rFonts w:ascii="Arial" w:cs="Arial" w:eastAsia="Arial" w:hAnsi="Arial"/>
          <w:sz w:val="16"/>
          <w:szCs w:val="16"/>
          <w:color w:val="auto"/>
        </w:rPr>
        <w:t>C.P.A. distinction is “inactive” status.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20"/>
        <w:spacing w:after="0" w:line="260" w:lineRule="auto"/>
        <w:rPr>
          <w:sz w:val="20"/>
          <w:szCs w:val="20"/>
          <w:color w:val="auto"/>
        </w:rPr>
      </w:pPr>
      <w:r>
        <w:rPr>
          <w:rFonts w:ascii="Arial" w:cs="Arial" w:eastAsia="Arial" w:hAnsi="Arial"/>
          <w:sz w:val="16"/>
          <w:szCs w:val="16"/>
          <w:color w:val="auto"/>
        </w:rPr>
        <w:t>Mr. Dimick’s qualifications to serve on the Viatris Board include, among others, his experience and expertise regarding public company management, corporate governance, finance, the healthcare industry, global business, risk oversight, strategy and M&amp;A.</w:t>
      </w:r>
    </w:p>
    <w:p>
      <w:pPr>
        <w:spacing w:after="0" w:line="175" w:lineRule="exact"/>
        <w:rPr>
          <w:sz w:val="20"/>
          <w:szCs w:val="20"/>
          <w:color w:val="auto"/>
        </w:rPr>
      </w:pPr>
    </w:p>
    <w:p>
      <w:pPr>
        <w:jc w:val="both"/>
        <w:ind w:left="120" w:right="20"/>
        <w:spacing w:after="0" w:line="266" w:lineRule="auto"/>
        <w:rPr>
          <w:sz w:val="20"/>
          <w:szCs w:val="20"/>
          <w:color w:val="auto"/>
        </w:rPr>
      </w:pPr>
      <w:r>
        <w:rPr>
          <w:rFonts w:ascii="Arial" w:cs="Arial" w:eastAsia="Arial" w:hAnsi="Arial"/>
          <w:sz w:val="16"/>
          <w:szCs w:val="16"/>
          <w:b w:val="1"/>
          <w:bCs w:val="1"/>
          <w:u w:val="single" w:color="auto"/>
          <w:color w:val="auto"/>
        </w:rPr>
        <w:t>Michael Goettler</w:t>
      </w:r>
      <w:r>
        <w:rPr>
          <w:rFonts w:ascii="Arial" w:cs="Arial" w:eastAsia="Arial" w:hAnsi="Arial"/>
          <w:sz w:val="16"/>
          <w:szCs w:val="16"/>
          <w:b w:val="1"/>
          <w:bCs w:val="1"/>
          <w:color w:val="auto"/>
        </w:rPr>
        <w:t xml:space="preserve">. </w:t>
      </w:r>
      <w:r>
        <w:rPr>
          <w:rFonts w:ascii="Arial" w:cs="Arial" w:eastAsia="Arial" w:hAnsi="Arial"/>
          <w:sz w:val="16"/>
          <w:szCs w:val="16"/>
          <w:color w:val="auto"/>
        </w:rPr>
        <w:t>Mr. Goettler has served as Viatris’ CEO and on the Viatris Board since the closing of the Combination on November 16, 2020. His</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responsibilities include leading the overall performance of the Company and executing on the strategies developed in collaboration with the Executive Chairman and the Board, among other responsibilities.</w:t>
      </w:r>
    </w:p>
    <w:p>
      <w:pPr>
        <w:spacing w:after="0" w:line="191"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From January 2019 until the closing of the Combination, Mr. Goettler was the Group President of Pfizer’s Upjohn division, where his responsibilities included leading the division’s performance and strategy, including commercial, R&amp;D, operations and enabling functions. From July 2018 until December 2018, Mr. Goettler served as Executive Vice President, Established Products Division, which subsequently became Upjohn. Mr. Goettler also served as Global President of Pfizer Inflammation &amp; Immunology from January 2018 until June 2018; Global President of Pfizer’s Rare Disease Business from January 2016 until December 2017; Global Commercial Officer, Senior Vice President for Pfizer’s Global Innovative Pharma Business from January 2014 until December 2015; and Regional President, Europe for Pfizer Specialty Care and Chair of the European Management Team from June 2012 until December 2013.</w:t>
      </w:r>
    </w:p>
    <w:p>
      <w:pPr>
        <w:spacing w:after="0" w:line="208"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From 2015 until 2020, Mr. Goettler served on the board of directors of Population Services International, a global organization dedicated to improving the health of people in the developing world. Since 2019, Mr. Goettler has been a member of the Tsinghua School of Pharmacy Advisory Board.</w:t>
      </w:r>
    </w:p>
    <w:p>
      <w:pPr>
        <w:spacing w:after="0" w:line="195"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Mr. Goettler’s qualifications to serve on the Viatris Board include, among others, his experience and expertise regarding public company management, finance, the healthcare industry, human capital management including oversight of diversity, equity and inclusion, global business, strategy and M&amp;A.</w:t>
      </w:r>
    </w:p>
    <w:p>
      <w:pPr>
        <w:spacing w:after="0" w:line="175" w:lineRule="exact"/>
        <w:rPr>
          <w:sz w:val="20"/>
          <w:szCs w:val="20"/>
          <w:color w:val="auto"/>
        </w:rPr>
      </w:pPr>
    </w:p>
    <w:p>
      <w:pPr>
        <w:jc w:val="both"/>
        <w:ind w:left="120"/>
        <w:spacing w:after="0" w:line="249" w:lineRule="auto"/>
        <w:rPr>
          <w:sz w:val="20"/>
          <w:szCs w:val="20"/>
          <w:color w:val="auto"/>
        </w:rPr>
      </w:pPr>
      <w:r>
        <w:rPr>
          <w:rFonts w:ascii="Arial" w:cs="Arial" w:eastAsia="Arial" w:hAnsi="Arial"/>
          <w:sz w:val="16"/>
          <w:szCs w:val="16"/>
          <w:b w:val="1"/>
          <w:bCs w:val="1"/>
          <w:u w:val="single" w:color="auto"/>
          <w:color w:val="auto"/>
        </w:rPr>
        <w:t>Melina Higgins</w:t>
      </w:r>
      <w:r>
        <w:rPr>
          <w:rFonts w:ascii="Arial" w:cs="Arial" w:eastAsia="Arial" w:hAnsi="Arial"/>
          <w:sz w:val="16"/>
          <w:szCs w:val="16"/>
          <w:b w:val="1"/>
          <w:bCs w:val="1"/>
          <w:color w:val="auto"/>
        </w:rPr>
        <w:t xml:space="preserve">. </w:t>
      </w:r>
      <w:r>
        <w:rPr>
          <w:rFonts w:ascii="Arial" w:cs="Arial" w:eastAsia="Arial" w:hAnsi="Arial"/>
          <w:sz w:val="16"/>
          <w:szCs w:val="16"/>
          <w:color w:val="auto"/>
        </w:rPr>
        <w:t>Ms. Higgins has served on the Viatris Board since the closing of the Combination on November 16, 2020. In May 2021, Ms. Higgins</w:t>
      </w:r>
      <w:r>
        <w:rPr>
          <w:rFonts w:ascii="Arial" w:cs="Arial" w:eastAsia="Arial" w:hAnsi="Arial"/>
          <w:sz w:val="16"/>
          <w:szCs w:val="16"/>
          <w:b w:val="1"/>
          <w:bCs w:val="1"/>
          <w:color w:val="auto"/>
        </w:rPr>
        <w:t xml:space="preserve"> </w:t>
      </w:r>
      <w:r>
        <w:rPr>
          <w:rFonts w:ascii="Arial" w:cs="Arial" w:eastAsia="Arial" w:hAnsi="Arial"/>
          <w:sz w:val="16"/>
          <w:szCs w:val="16"/>
          <w:color w:val="auto"/>
        </w:rPr>
        <w:t>became the nonexecutive Chair of the board of directors of Genworth Financial Inc. (NYSE: GNW) (“Genworth”), an insurance company. She has been a member of Genworth’s board since September 2013 and serves on its Audit and Management Development &amp; Compensation Committees. From March to December 2021 until the completion of its merger with Virgin Orbit, Ms. Higgins served on the board of NextGen Acquisition Corp. II, a special purpose acquisition company, chairing its Nominating and Corporate Governance Committee and serving on its Audit and Compensation Committees. In January 2016, Ms. Higgins became non-executive Chair of the board of directors of Antares Midco Inc., a private company that provides financing solutions for middle market, private equity-backed transactions. Ms. Higgins served as a Director of Mylan from 2013 to the closing of the Combination, most recently chairing the Finance Committee and serving on the Audit, Compensation, and Executive Committees. She previously held senior roles of increasing responsibility at The Goldman Sachs Group, Inc. (NYSE: GS), a global investment banking, securities and investment management firm, including Partner and Managing Director, from 1989 to 1992 and 1994 to 2010. Ms. Higgins served as a member of Goldman’s Investment Committee of the Principal Investment Area, which oversaw and approved global private equity and private debt investments. She also served as Head of the Americas for Private Debt and as co-Chairperson of the Investment Advisory Committee for GS Mezzanine Partners funds. Ms. Higgins is a member of the Women’s Leadership Board of Harvard University’s John F. Kennedy School of Government.</w:t>
      </w:r>
    </w:p>
    <w:p>
      <w:pPr>
        <w:spacing w:after="0" w:line="211"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Ms. Higgins’ qualifications to serve on the Viatris Board include, among others, her experience and expertise regarding corporate governance, finance, global business, human capital management including oversight of diversity, equity and inclusion, risk oversight, strategy and M&amp;A.</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b w:val="1"/>
          <w:bCs w:val="1"/>
          <w:u w:val="single" w:color="auto"/>
          <w:color w:val="auto"/>
        </w:rPr>
        <w:t>James M. Kilts</w:t>
      </w:r>
      <w:r>
        <w:rPr>
          <w:rFonts w:ascii="Arial" w:cs="Arial" w:eastAsia="Arial" w:hAnsi="Arial"/>
          <w:sz w:val="16"/>
          <w:szCs w:val="16"/>
          <w:b w:val="1"/>
          <w:bCs w:val="1"/>
          <w:color w:val="auto"/>
        </w:rPr>
        <w:t xml:space="preserve">. </w:t>
      </w:r>
      <w:r>
        <w:rPr>
          <w:rFonts w:ascii="Arial" w:cs="Arial" w:eastAsia="Arial" w:hAnsi="Arial"/>
          <w:sz w:val="16"/>
          <w:szCs w:val="16"/>
          <w:color w:val="auto"/>
        </w:rPr>
        <w:t>Mr. Kilts has served on the Viatris Board since the closing of the Combination on November 16, 2020. Mr. Kilts is a founding Partner of</w:t>
      </w:r>
      <w:r>
        <w:rPr>
          <w:rFonts w:ascii="Arial" w:cs="Arial" w:eastAsia="Arial" w:hAnsi="Arial"/>
          <w:sz w:val="16"/>
          <w:szCs w:val="16"/>
          <w:b w:val="1"/>
          <w:bCs w:val="1"/>
          <w:color w:val="auto"/>
        </w:rPr>
        <w:t xml:space="preserve"> </w:t>
      </w:r>
      <w:r>
        <w:rPr>
          <w:rFonts w:ascii="Arial" w:cs="Arial" w:eastAsia="Arial" w:hAnsi="Arial"/>
          <w:sz w:val="16"/>
          <w:szCs w:val="16"/>
          <w:color w:val="auto"/>
        </w:rPr>
        <w:t>Centerview Capital, a private equity firm, and currently serves as Lead Director of Advantage Solutions Inc. (NASDAQ: ADV) and previously served as non-executive Chairman beginning in October 2020 following that company’s combination with Conyers Park II Acquisition Corp., where he served as Executive Chairman from May 2019. Since August 2021, Mr. Kilts has served as co-Chief Executive Officer of Conyers Park III Acquisition Corp. (NASDAQ: CPAAU, CPAA, CPAAW), a special purpose acquisition company. He has served as Chairman of The Simply Good Foods Company (NASDAQ: SMPL) since 2017, and serves on that company’s Nominating and Corporate Governance Committee. Since 2016, Mr. Kilts has served as a Director of Unifi Inc. (NYSE: UFI) and currently serves on that company’s Compensation Committee. Since 2006, Mr. Kilts has been a Director and Member of Centerview Capital Holdings LLC. Previously, Mr. Kilts served on the board of directors of Pfizer from 2007 until the closing of the Combination, where he most recently served on the Compensation Committee; MetLife, Inc. (NYSE: MET) from 2005 until June 2020, where he most recently chaired the Compensation Committee and was a member of the Governance and Corporate Responsibility Committee; The Procter &amp; Gamble Company (NYSE: PG) from 2005 to 2006; as Chairman of Conyers Park Acquisition Corporation from its formation in April 2016 until its merger with The Simply Good Foods Company in July 2017; as a non-executive Director of Nielsen Holdings plc (NYSE: NLSN) from 2006 until 2017, Chairman of Nielsen Holdings from 2011 until 2013, and Chairman of Nielsen Company B.V. from 2009 until 2014; and as a Director of MeadWestvaco Corporation from 2006 until 2014. Mr. Kilts also served as Chairman and Chief Executive Officer of The Gillette Company from 2001 to 2005 and President from 2003 to 2005, and as President and Chief Executive Officer of Nabisco Group Holdings Corporation from 1998 until its acquisition in 2000. Mr. Kilts also serves as a Life Trustee of Knox College; on the board of trustees of the University of Chicago; and as a life member of the Advisory Council of the University of Chicago Booth School of Business. Mr. Kilts also served as Chairman of Big Heart Pet Brands from 2011 until 2015 and as a Director of Ole Smoky Distillery LLC, a craft spirits company until March 2022.</w:t>
      </w:r>
    </w:p>
    <w:p>
      <w:pPr>
        <w:spacing w:after="0" w:line="200" w:lineRule="exact"/>
        <w:rPr>
          <w:sz w:val="20"/>
          <w:szCs w:val="20"/>
          <w:color w:val="auto"/>
        </w:rPr>
      </w:pPr>
    </w:p>
    <w:p>
      <w:pPr>
        <w:spacing w:after="0" w:line="206" w:lineRule="exact"/>
        <w:rPr>
          <w:sz w:val="20"/>
          <w:szCs w:val="20"/>
          <w:color w:val="auto"/>
        </w:rPr>
      </w:pPr>
    </w:p>
    <w:p>
      <w:pPr>
        <w:jc w:val="both"/>
        <w:ind w:left="120"/>
        <w:spacing w:after="0" w:line="260" w:lineRule="auto"/>
        <w:rPr>
          <w:sz w:val="20"/>
          <w:szCs w:val="20"/>
          <w:color w:val="auto"/>
        </w:rPr>
      </w:pPr>
      <w:r>
        <w:rPr>
          <w:rFonts w:ascii="Arial" w:cs="Arial" w:eastAsia="Arial" w:hAnsi="Arial"/>
          <w:sz w:val="16"/>
          <w:szCs w:val="16"/>
          <w:color w:val="auto"/>
        </w:rPr>
        <w:t>Mr. Kilts’ qualifications to serve on the Viatris Board include, among others, his experience and expertise regarding public company management, corporate governance, finance, the healthcare industry, global business, strategy and M&amp;A.</w:t>
      </w:r>
    </w:p>
    <w:p>
      <w:pPr>
        <w:spacing w:after="0" w:line="175" w:lineRule="exact"/>
        <w:rPr>
          <w:sz w:val="20"/>
          <w:szCs w:val="20"/>
          <w:color w:val="auto"/>
        </w:rPr>
      </w:pPr>
    </w:p>
    <w:p>
      <w:pPr>
        <w:jc w:val="both"/>
        <w:ind w:left="120"/>
        <w:spacing w:after="0" w:line="250" w:lineRule="auto"/>
        <w:rPr>
          <w:sz w:val="20"/>
          <w:szCs w:val="20"/>
          <w:color w:val="auto"/>
        </w:rPr>
      </w:pPr>
      <w:r>
        <w:rPr>
          <w:rFonts w:ascii="Arial" w:cs="Arial" w:eastAsia="Arial" w:hAnsi="Arial"/>
          <w:sz w:val="16"/>
          <w:szCs w:val="16"/>
          <w:b w:val="1"/>
          <w:bCs w:val="1"/>
          <w:u w:val="single" w:color="auto"/>
          <w:color w:val="auto"/>
        </w:rPr>
        <w:t>Harry A. Korman</w:t>
      </w:r>
      <w:r>
        <w:rPr>
          <w:rFonts w:ascii="Arial" w:cs="Arial" w:eastAsia="Arial" w:hAnsi="Arial"/>
          <w:sz w:val="16"/>
          <w:szCs w:val="16"/>
          <w:b w:val="1"/>
          <w:bCs w:val="1"/>
          <w:color w:val="auto"/>
        </w:rPr>
        <w:t xml:space="preserve">. </w:t>
      </w:r>
      <w:r>
        <w:rPr>
          <w:rFonts w:ascii="Arial" w:cs="Arial" w:eastAsia="Arial" w:hAnsi="Arial"/>
          <w:sz w:val="16"/>
          <w:szCs w:val="16"/>
          <w:color w:val="auto"/>
        </w:rPr>
        <w:t>Mr. Korman has served on the Viatris Board since the closing of the Combination on November 16, 2020. Mr. Korman served as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Mylan from 2018 until the closing of the Combination, most recently chairing the Risk Oversight Committee and serving as a member of the Compliance, Governance and Nominating, and Science and Technology Committees. Previously, Mr. Korman held senior executive roles of increasing responsibility at Mylan Inc. and its subsidiaries from 1996 until July 2014. He served as Mylan Inc.’s global Chief Operating Officer from January 2012 until July 2014, after which he served in a consultant role with Mylan Inc. for one year. Prior to his service as Chief Operating Officer, he was the President, North America of Mylan Inc. commencing in October 2007. Mr. Korman also served as President of Mylan Pharmaceuticals Inc. from February 2005 to December 2009. He joined Mylan in 1996 after the company’s acquisition of UDL Laboratories, Inc. (n/k/a Mylan Institutional Inc.), and served as its President, among other prior responsibilities. Mr. Korman has served as a past Director and Vice Chairman of the Generic Pharmaceutical Association, now known as the Association for Accessible Medicines. He also previously served as a Director and Vice Chairman of the HDMA Foundation, which serves the healthcare industry by providing research and education focused on healthcare supply issues.</w:t>
      </w:r>
    </w:p>
    <w:p>
      <w:pPr>
        <w:spacing w:after="0" w:line="209"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Mr. Korman’s qualifications to serve on the Viatris Board include, among others, his experience and expertise regarding the healthcare industry, global business, risk oversight, strategy and M&amp;A.</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86"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120" w:right="20"/>
        <w:spacing w:after="0" w:line="266" w:lineRule="auto"/>
        <w:rPr>
          <w:sz w:val="20"/>
          <w:szCs w:val="20"/>
          <w:color w:val="auto"/>
        </w:rPr>
      </w:pPr>
      <w:r>
        <w:rPr>
          <w:rFonts w:ascii="Arial" w:cs="Arial" w:eastAsia="Arial" w:hAnsi="Arial"/>
          <w:sz w:val="16"/>
          <w:szCs w:val="16"/>
          <w:b w:val="1"/>
          <w:bCs w:val="1"/>
          <w:u w:val="single" w:color="auto"/>
          <w:color w:val="auto"/>
        </w:rPr>
        <w:t>Rajiv Malik</w:t>
      </w:r>
      <w:r>
        <w:rPr>
          <w:rFonts w:ascii="Arial" w:cs="Arial" w:eastAsia="Arial" w:hAnsi="Arial"/>
          <w:sz w:val="16"/>
          <w:szCs w:val="16"/>
          <w:b w:val="1"/>
          <w:bCs w:val="1"/>
          <w:color w:val="auto"/>
        </w:rPr>
        <w:t xml:space="preserve">. </w:t>
      </w:r>
      <w:r>
        <w:rPr>
          <w:rFonts w:ascii="Arial" w:cs="Arial" w:eastAsia="Arial" w:hAnsi="Arial"/>
          <w:sz w:val="16"/>
          <w:szCs w:val="16"/>
          <w:color w:val="auto"/>
        </w:rPr>
        <w:t>Mr. Malik has served as Viatris’ President and on the Viatris Board since the closing of the Combination on November 16, 2020. His</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responsibilities include the day-to-day operations of the Company, overseeing the Company’s commercial business units, the Commercial Development, Medical, Information Technology and Quality functions, as well as R&amp;D and Operations.</w:t>
      </w:r>
    </w:p>
    <w:p>
      <w:pPr>
        <w:spacing w:after="0" w:line="191"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Previously, Mr. Malik served as President of Mylan from January 2012 until the closing of the Combination. His responsibilities with Mylan included leading the company’s global commercial, scientific, operational, information technology and business development activities in more than 165 countries and territories. In addition, he oversaw the operations that managed a portfolio of more than 7,500 products, a pipeline of approximately 1,200 products and more than 40 manufacturing facilities around the world. He also served on the Mylan Board from 2012 until the closing of the Combination. Mr. Malik also held various senior roles at Mylan, including Executive Vice President and Chief Operating Officer from July 2009 to December 2012, and head of Global Technical Operations from January 2007 to July 2009. Prior to joining Mylan in January 2007, Mr. Malik served as Chief Executive Officer of Matrix Laboratories Limited (now Mylan Laboratories Limited) from July 2005 to June 2008. Prior to joining Matrix, he served as Head of Global Development and Registrations for Sandoz GmbH from September 2003 to July 2005, and as Head of Global Regulatory Affairs and Head of Pharma Research for Ranbaxy from October 1999 to September 2003.</w:t>
      </w:r>
    </w:p>
    <w:p>
      <w:pPr>
        <w:spacing w:after="0" w:line="206"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Mr. Malik’s qualifications to serve on Viatris’ Board include, among others, his knowledge and experience regarding public company management, the healthcare industry, human capital management including oversight of diversity, equity and inclusion, global business, strategy and M&amp;A.</w:t>
      </w:r>
    </w:p>
    <w:p>
      <w:pPr>
        <w:spacing w:after="0" w:line="175"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6"/>
          <w:szCs w:val="16"/>
          <w:b w:val="1"/>
          <w:bCs w:val="1"/>
          <w:u w:val="single" w:color="auto"/>
          <w:color w:val="auto"/>
        </w:rPr>
        <w:t>Richard A. Mark, C.P.A.</w:t>
      </w:r>
      <w:r>
        <w:rPr>
          <w:rFonts w:ascii="Arial" w:cs="Arial" w:eastAsia="Arial" w:hAnsi="Arial"/>
          <w:sz w:val="16"/>
          <w:szCs w:val="16"/>
          <w:b w:val="1"/>
          <w:bCs w:val="1"/>
          <w:color w:val="auto"/>
        </w:rPr>
        <w:t xml:space="preserve"> </w:t>
      </w:r>
      <w:r>
        <w:rPr>
          <w:rFonts w:ascii="Arial" w:cs="Arial" w:eastAsia="Arial" w:hAnsi="Arial"/>
          <w:sz w:val="16"/>
          <w:szCs w:val="16"/>
          <w:color w:val="auto"/>
        </w:rPr>
        <w:t>Mr. Mark has served on the Viatris Board since the closing of the Combination on November 16, 2020. Mr. Mark currently serves</w:t>
      </w:r>
      <w:r>
        <w:rPr>
          <w:rFonts w:ascii="Arial" w:cs="Arial" w:eastAsia="Arial" w:hAnsi="Arial"/>
          <w:sz w:val="16"/>
          <w:szCs w:val="16"/>
          <w:b w:val="1"/>
          <w:bCs w:val="1"/>
          <w:color w:val="auto"/>
        </w:rPr>
        <w:t xml:space="preserve"> </w:t>
      </w:r>
      <w:r>
        <w:rPr>
          <w:rFonts w:ascii="Arial" w:cs="Arial" w:eastAsia="Arial" w:hAnsi="Arial"/>
          <w:sz w:val="16"/>
          <w:szCs w:val="16"/>
          <w:color w:val="auto"/>
        </w:rPr>
        <w:t>on the board of directors of Goldman Sachs BDC, Inc. (“GSBDC”) (NYSE: GSBD), and Goldman Sachs Middle Market Lending Corp. II, chairing their Audit Committees and serving on their Compliance, Compensation, Contract Review, and Governance and Nominating Committees. He previously served as a Director of Mylan from 2019 until the closing of the Combination, most recently serving on the Audit and Finance Committees. Previously, Mr. Mark served on the board of directors of Goldman Sachs Middle Market Lending Corp. prior to its merger with GSBDC in October 2020, most recently chairing its Audit Committee and serving on its Compliance, Governance and Nominating, and Contract Review Committees. Mr. Mark also was a Partner with Deloitte from June 2002 to May 2015, most recently leading the advisory corporate development function. Prior to joining Deloitte, Mr. Mark held various positions with Arthur Andersen &amp; Co., including Audit Partner. Mr. Mark also served from July 2015 until August 2016 as Chairman of the board of directors and as a member of the Audit Committee of Katy Industries, Inc., a manufacturer, importer and distributor of commercial cleaning and consumer storage products. He also served on the board of directors of Cadence Health from 1993 until its acquisition by Northwestern Memorial Healthcare (“Northwestern”) in September 2014. Following the acquisition of Cadence Health, Mr. Mark was a Director of Northwestern from September 2014 to August 2015, serving on its Executive and Nominating and Governance committees. Mr. Mark also serves as a Director and a member of the Finance Committee of Home Centered Care Institute, a not-for-profit corporation, which provides medical care to medically complex patients who are either homebound or home-limited. Until December 2021, Mr. Mark served as a Director of Almost Home Kids, a not-for-profit corporation affiliated with Lurie Children’s Hospital of Chicago, a provider of transitional care to children with complicated health needs, training for their families, and respite care.</w:t>
      </w:r>
    </w:p>
    <w:p>
      <w:pPr>
        <w:spacing w:after="0" w:line="208"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Mr. Mark’s qualifications to serve on the Viatris Board include, among others, his experience and expertise regarding public company management, corporate governance, finance, the healthcare industry, global business, risk oversight, strategy and M&amp;A.</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86"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6"/>
          <w:szCs w:val="16"/>
          <w:b w:val="1"/>
          <w:bCs w:val="1"/>
          <w:u w:val="single" w:color="auto"/>
          <w:color w:val="auto"/>
        </w:rPr>
        <w:t>Mark W. Parrish</w:t>
      </w:r>
      <w:r>
        <w:rPr>
          <w:rFonts w:ascii="Arial" w:cs="Arial" w:eastAsia="Arial" w:hAnsi="Arial"/>
          <w:sz w:val="16"/>
          <w:szCs w:val="16"/>
          <w:b w:val="1"/>
          <w:bCs w:val="1"/>
          <w:color w:val="auto"/>
        </w:rPr>
        <w:t xml:space="preserve">. </w:t>
      </w:r>
      <w:r>
        <w:rPr>
          <w:rFonts w:ascii="Arial" w:cs="Arial" w:eastAsia="Arial" w:hAnsi="Arial"/>
          <w:sz w:val="16"/>
          <w:szCs w:val="16"/>
          <w:color w:val="auto"/>
        </w:rPr>
        <w:t>Mr. Parrish has served as the Lead Independent Director and Vice Chairman of the Viatris Board since the closing of the Combination</w:t>
      </w:r>
      <w:r>
        <w:rPr>
          <w:rFonts w:ascii="Arial" w:cs="Arial" w:eastAsia="Arial" w:hAnsi="Arial"/>
          <w:sz w:val="16"/>
          <w:szCs w:val="16"/>
          <w:b w:val="1"/>
          <w:bCs w:val="1"/>
          <w:color w:val="auto"/>
        </w:rPr>
        <w:t xml:space="preserve"> </w:t>
      </w:r>
      <w:r>
        <w:rPr>
          <w:rFonts w:ascii="Arial" w:cs="Arial" w:eastAsia="Arial" w:hAnsi="Arial"/>
          <w:sz w:val="16"/>
          <w:szCs w:val="16"/>
          <w:color w:val="auto"/>
        </w:rPr>
        <w:t>on November 16, 2020. He served as Chief Executive Officer of TridentUSA Health Services (“TridentUSA”), a provider of mobile X-ray and laboratory services to the long-term care industry, from 2008 to August 2018, and as Executive Chairman from 2008 to 2013. From August 2018 to September 2019, he served as Executive Chairman of TridentUSA. In February 2019, TridentUSA filed for protection under Chapter 11 of the U.S. Bankruptcy Code and emerged from bankruptcy in September 2019. Since January 2013, Mr. Parrish has served on the board of directors of Omnicell, Inc. (NASDAQ: OMCL), a company that specializes in healthcare technology, and serves on its Audit and Compensation Committees; since May 2019, he has served on the board of directors, and is the Chairman of the Audit Committee, of Comprehensive Pharmacy Services, a private company that specializes in the outsourcing of hospital pharmacies; and since February 2022 has served on the board of directors of Safecor Health, LLC, a private limited liability company that provides unit dose drug packaging services to hospitals and long-term care facilities. Mr. Parrish served as a Director of Mylan from 2009 until the closing of the Combination, most recently serving as Lead Independent Director and Vice Chairman and as Chair of the Compliance Committee and member of the Audit, Executive, Governance and Nominating, and Risk Oversight Committees; Silvergate Pharmaceuticals, a private company that develops and commercializes pediatric medications, from 2013 until June 2019; and Golden State Medical Supply, a private company that specializes in meeting unique labeling and sizing needs and pharmaceutical packaging, serialization and distribution, from May 2014 until August 2019, when it was acquired by Court Square. From 1993 to 2007, Mr. Parrish held management roles of increasing responsibility with Cardinal Health Inc. (NYSE: CAH) and its affiliates, including Chief Executive Officer of healthcare supply chain services, from 2006 to 2007. Mr. Parrish serves as president of the International Federation of Pharmaceutical Wholesalers, an association of pharmaceutical wholesalers and pharmaceutical supply chain service companies, and as senior adviser to Frazier Healthcare Ventures, a healthcare-oriented growth equity firm.</w:t>
      </w:r>
    </w:p>
    <w:p>
      <w:pPr>
        <w:spacing w:after="0" w:line="204"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auto"/>
        </w:rPr>
        <w:t>Mr. Parrish’s qualifications to serve on the Viatris Board include, among others, his experience and expertise regarding public company management, corporate governance, the healthcare industry, human capital management including oversight of diversity, equity and inclusion, global business, information security, risk oversight, strategy and M&amp;A.</w:t>
      </w:r>
    </w:p>
    <w:p>
      <w:pPr>
        <w:spacing w:after="0" w:line="181" w:lineRule="exact"/>
        <w:rPr>
          <w:sz w:val="20"/>
          <w:szCs w:val="20"/>
          <w:color w:val="auto"/>
        </w:rPr>
      </w:pPr>
    </w:p>
    <w:p>
      <w:pPr>
        <w:jc w:val="both"/>
        <w:ind w:left="120"/>
        <w:spacing w:after="0" w:line="250" w:lineRule="auto"/>
        <w:rPr>
          <w:sz w:val="20"/>
          <w:szCs w:val="20"/>
          <w:color w:val="auto"/>
        </w:rPr>
      </w:pPr>
      <w:r>
        <w:rPr>
          <w:rFonts w:ascii="Arial" w:cs="Arial" w:eastAsia="Arial" w:hAnsi="Arial"/>
          <w:sz w:val="16"/>
          <w:szCs w:val="16"/>
          <w:b w:val="1"/>
          <w:bCs w:val="1"/>
          <w:u w:val="single" w:color="auto"/>
          <w:color w:val="auto"/>
        </w:rPr>
        <w:t>Ian Read</w:t>
      </w:r>
      <w:r>
        <w:rPr>
          <w:rFonts w:ascii="Arial" w:cs="Arial" w:eastAsia="Arial" w:hAnsi="Arial"/>
          <w:sz w:val="16"/>
          <w:szCs w:val="16"/>
          <w:b w:val="1"/>
          <w:bCs w:val="1"/>
          <w:color w:val="auto"/>
        </w:rPr>
        <w:t xml:space="preserve">. </w:t>
      </w:r>
      <w:r>
        <w:rPr>
          <w:rFonts w:ascii="Arial" w:cs="Arial" w:eastAsia="Arial" w:hAnsi="Arial"/>
          <w:sz w:val="16"/>
          <w:szCs w:val="16"/>
          <w:color w:val="auto"/>
        </w:rPr>
        <w:t>Mr. Read has served on the Viatris Board since the closing of the Combination on November 16, 2020. Mr. Read also has served as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 The Carlyle Group’s (NASDAQ: CG) Global Healthcare Group since January 2020, where he advises on growth strategies, leadership, talent development, effective operations, and risk management. Mr. Read has served as Lead Independent Director of Kimberly-Clark Corporation’s (NYSE: KMB) board of directors since March 2008 and currently serves on that company’s Management Development &amp; Compensation and Nominating and Corporate Governance Committees. Mr. Read has also served as Chairman of DXC Technology (NYSE: DXC) since February 2020 and is the co-founder of Population Health Investment Co. Inc. (NASDAQ: PHIC), serving as that company’s Executive Chairman since November 2020. In September 2020, Mr. Read became the Chairman of the supervisory board of avateramedical N.V., a private financial holding company that focuses on investments in and start-ups of medical technology companies. He also serves as an advisory board member of Tennor Holding B.V., avateramedical’s largest shareholder. In addition, Mr. Read has served as chairman of the board of directors of TriNetX, LLC, a private company that is a global health research network, since February 2021. Mr. Read previously held several positions at Pfizer between 1978 and 2019, including Executive Chairman from January 2019 until December 2019 and Chief Executive Officer from December 2010 until December 2018. He served as Chairman of Pfizer’s board of directors from December 2011 to December 2018.</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86"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Mr. Read’s qualifications to serve on the Viatris Board include, among others, his experience and expertise regarding public company management, corporate governance, finance, the healthcare industry, human capital management, global business, strategy and M&amp;A.</w:t>
      </w:r>
    </w:p>
    <w:p>
      <w:pPr>
        <w:spacing w:after="0" w:line="175"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b w:val="1"/>
          <w:bCs w:val="1"/>
          <w:u w:val="single" w:color="auto"/>
          <w:color w:val="auto"/>
        </w:rPr>
        <w:t>Pauline van der Meer Mohr</w:t>
      </w:r>
      <w:r>
        <w:rPr>
          <w:rFonts w:ascii="Arial" w:cs="Arial" w:eastAsia="Arial" w:hAnsi="Arial"/>
          <w:sz w:val="16"/>
          <w:szCs w:val="16"/>
          <w:b w:val="1"/>
          <w:bCs w:val="1"/>
          <w:color w:val="auto"/>
        </w:rPr>
        <w:t xml:space="preserve">. </w:t>
      </w:r>
      <w:r>
        <w:rPr>
          <w:rFonts w:ascii="Arial" w:cs="Arial" w:eastAsia="Arial" w:hAnsi="Arial"/>
          <w:sz w:val="16"/>
          <w:szCs w:val="16"/>
          <w:color w:val="auto"/>
        </w:rPr>
        <w:t>Ms. van der Meer Mohr has served on the Viatris Board since the closing of the Combination on November 16, 2020. In</w:t>
      </w:r>
      <w:r>
        <w:rPr>
          <w:rFonts w:ascii="Arial" w:cs="Arial" w:eastAsia="Arial" w:hAnsi="Arial"/>
          <w:sz w:val="16"/>
          <w:szCs w:val="16"/>
          <w:b w:val="1"/>
          <w:bCs w:val="1"/>
          <w:color w:val="auto"/>
        </w:rPr>
        <w:t xml:space="preserve"> </w:t>
      </w:r>
      <w:r>
        <w:rPr>
          <w:rFonts w:ascii="Arial" w:cs="Arial" w:eastAsia="Arial" w:hAnsi="Arial"/>
          <w:sz w:val="16"/>
          <w:szCs w:val="16"/>
          <w:color w:val="auto"/>
        </w:rPr>
        <w:t>April 2022, Ms. van der Meer Mohr became a member of the supervisory board of Koninklijke Ahold Delhaize N.V. (AMS: AD) and currently serves as Chair of its Remuneration Committee. In September 2021, she became a member of the supervisory board of ASM International N.V. (AMS: ASMIY) and is a member of that company’s Nomination, Selection and Remuneration Committee. Ms. van der Meer Mohr is currently a Director of HSBC Holdings plc (LON: HSBA), chairing that company’s Group Remuneration Committee and serving as a member of its Group Audit Committee and Nomination &amp; Corporate Governance Committee, and will retire from this board at the conclusion of that company’s annual general meeting to be held on April 29, 2022. From 2011 to May 2021, she was also a member of the supervisory board of Royal DSM N.V. (AMS: DSM), most recently serving as Deputy Chair, chairing its Remuneration Committee and serving on its Nomination Committee. She is also a member of the supervisory board of EY Netherlands LLP, currently serving as Chair. Ms. van der Meer Mohr also serves as the Chair of the Dutch Corporate Governance Code Monitoring Committee and as Chair of the Appointment Advisory Committee for the President of the Supreme Court of the Netherlands, and she is a member of the Capital Markets Committee of the Dutch Authority for Financial Markets. Previously, Ms. van der Meer Mohr served on the board of directors of Mylan from 2018 until the closing of the Combination, where she most recently served on the Compensation and Risk Oversight Committees. She also served on the supervisory board of ASML Holding N.V. (NASDAQ and AMS: ASML) from 2009 until April 2018, and as President of the executive board of Erasmus University in Rotterdam from 2010 to 2016. Ms. van der Meer Mohr began her career in the legal profession and previously held several legal and management positions at Royal Dutch Shell Group from 1989 to 2004. In 2004, she was appointed Group Human Resources Director at TNT N.V., now known as PostNL (AMS: PNL), before becoming Senior Executive Vice President and Head of Group Human Resources at ABN AMRO NV in 2006. She served as a member of the Dutch Banking Code Monitoring Commission in the Netherlands from 2010 to 2013, and began her own human capital consulting firm in 2008.</w:t>
      </w:r>
    </w:p>
    <w:p>
      <w:pPr>
        <w:spacing w:after="0" w:line="200" w:lineRule="exact"/>
        <w:rPr>
          <w:sz w:val="20"/>
          <w:szCs w:val="20"/>
          <w:color w:val="auto"/>
        </w:rPr>
      </w:pPr>
    </w:p>
    <w:p>
      <w:pPr>
        <w:spacing w:after="0" w:line="206"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auto"/>
        </w:rPr>
        <w:t>Ms. Van der Meer Mohr’s qualifications to serve on the Viatris Board include, among others, her experience and expertise regarding public company management, corporate governance, finance, human capital management including oversight of diversity, equity and inclusion, global business, legal and regulatory oversight, risk oversight, strategy and M&amp;A.</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Viatris’ Board Structure</w:t>
      </w:r>
    </w:p>
    <w:p>
      <w:pPr>
        <w:spacing w:after="0" w:line="128" w:lineRule="exact"/>
        <w:rPr>
          <w:sz w:val="20"/>
          <w:szCs w:val="20"/>
          <w:color w:val="auto"/>
        </w:rPr>
      </w:pPr>
    </w:p>
    <w:p>
      <w:pPr>
        <w:jc w:val="both"/>
        <w:ind w:left="120" w:right="20"/>
        <w:spacing w:after="0" w:line="251" w:lineRule="auto"/>
        <w:rPr>
          <w:sz w:val="20"/>
          <w:szCs w:val="20"/>
          <w:color w:val="auto"/>
        </w:rPr>
      </w:pPr>
      <w:r>
        <w:rPr>
          <w:rFonts w:ascii="Arial" w:cs="Arial" w:eastAsia="Arial" w:hAnsi="Arial"/>
          <w:sz w:val="16"/>
          <w:szCs w:val="16"/>
          <w:color w:val="auto"/>
        </w:rPr>
        <w:t>As set forth in the Bylaws, the Company has a majority vote standard for director elections in the event of an uncontested election and a plurality standard in the event of a contested election. The Bylaws also provide that if a nominee for Director who is an incumbent is not elected and no successor has been elected at such meeting, the Director shall promptly tender his or her irrevocable resignation to the Board, such resignation to be effective upon acceptance by the Board.</w:t>
      </w:r>
    </w:p>
    <w:p>
      <w:pPr>
        <w:spacing w:after="0" w:line="202" w:lineRule="exact"/>
        <w:rPr>
          <w:sz w:val="20"/>
          <w:szCs w:val="20"/>
          <w:color w:val="auto"/>
        </w:rPr>
      </w:pPr>
    </w:p>
    <w:p>
      <w:pPr>
        <w:jc w:val="both"/>
        <w:ind w:left="120"/>
        <w:spacing w:after="0" w:line="251" w:lineRule="auto"/>
        <w:rPr>
          <w:sz w:val="20"/>
          <w:szCs w:val="20"/>
          <w:color w:val="auto"/>
        </w:rPr>
      </w:pPr>
      <w:r>
        <w:rPr>
          <w:rFonts w:ascii="Arial" w:cs="Arial" w:eastAsia="Arial" w:hAnsi="Arial"/>
          <w:sz w:val="16"/>
          <w:szCs w:val="16"/>
          <w:color w:val="auto"/>
        </w:rPr>
        <w:t>In connection with the Combination, Mylan and Pfizer agreed that the Viatris Board would be classified for three years with respect to the time for which Directors hold office (designated as Class I, Class II and Class III). The first term of office of the Class I Directors expired as of the date of the 2021 annual meeting of shareholders (the “2021 Annual Meeting”). At the 2021 Annual Meeting, each Class I Director was re-elected to serve as a Director until the Company’s 2023 annual meeting of shareholders. The first term of office of</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86"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20" w:right="20"/>
        <w:spacing w:after="0" w:line="248" w:lineRule="auto"/>
        <w:rPr>
          <w:sz w:val="20"/>
          <w:szCs w:val="20"/>
          <w:color w:val="auto"/>
        </w:rPr>
      </w:pPr>
      <w:r>
        <w:rPr>
          <w:rFonts w:ascii="Arial" w:cs="Arial" w:eastAsia="Arial" w:hAnsi="Arial"/>
          <w:sz w:val="16"/>
          <w:szCs w:val="16"/>
          <w:color w:val="auto"/>
        </w:rPr>
        <w:t>the Class II Directors expires as of the date of the 2022 annual meeting of shareholders and the first term of office of the Class III Directors expires as of the date of the 2023 annual meeting of shareholders. At the 2022 annual meeting of shareholders, the Class II Directors will be submitted for election for a term of office to expire at the 2023 annual meeting of shareholders. Commencing with the 2023 annual meeting of shareholders and at all subsequent annual meetings of shareholders, all Directors will be submitted for election at each annual meeting of shareholders. Neil Dimick, Michael Goettler, Ian Read, and Pauline van der Meer Mohr are in Class I; W. Don Cornwell, Harry A. Korman, Rajiv Malik, and Richard A. Mark are in Class II; and Robert J. Coury, JoEllen Lyons Dillon, Melina Higgins, James M. Kilts, and Mark W. Parrish are in Class III. In addition, the parties to the Combination determined prior to closing that the Viatris Board would consist of 13 members as of the closing of the Combination: Robert J. Coury, Michael Goettler, three persons designated by Pfizer (W. Don Cornwell, James M. Kilts and Ian Read) and eight persons designated by Mylan (the other current Directors of the Company).</w:t>
      </w:r>
    </w:p>
    <w:p>
      <w:pPr>
        <w:spacing w:after="0" w:line="396" w:lineRule="exact"/>
        <w:rPr>
          <w:sz w:val="20"/>
          <w:szCs w:val="20"/>
          <w:color w:val="auto"/>
        </w:rPr>
      </w:pPr>
    </w:p>
    <w:p>
      <w:pPr>
        <w:jc w:val="both"/>
        <w:ind w:left="120" w:right="20"/>
        <w:spacing w:after="0" w:line="248" w:lineRule="auto"/>
        <w:rPr>
          <w:sz w:val="20"/>
          <w:szCs w:val="20"/>
          <w:color w:val="auto"/>
        </w:rPr>
      </w:pPr>
      <w:r>
        <w:rPr>
          <w:rFonts w:ascii="Arial" w:cs="Arial" w:eastAsia="Arial" w:hAnsi="Arial"/>
          <w:sz w:val="16"/>
          <w:szCs w:val="16"/>
          <w:color w:val="auto"/>
        </w:rPr>
        <w:t>The members of the Board collectively have expertise in developing and overseeing strategies in the context of a complex and rapidly changing environment, as well as a deep understanding of the management team and culture of the Company, our global platforms, the healthcare systems in which we operate, and the opportunities and challenges facing the Company around the world. Our Board members have experience with branded, generic, and biosimilar pharmaceuticals businesses; corporate governance, compliance, and enterprise risk management; information security; corporate social responsibility (“CSR”); corporate strategy and complex international M&amp;A; financing; human capital management, including but not limited to diversity, equity and inclusion; commercial and operational management; director and executive compensation; R&amp;D; pharmaceutical manufacturing and quality; the regulatory environments in which we operate around the world; and business integration, among many other areas. We are confident that the collective experience and expertise of our Directors enables the Board to effectively guide and oversee the management team.</w:t>
      </w:r>
    </w:p>
    <w:p>
      <w:pPr>
        <w:spacing w:after="0" w:line="207" w:lineRule="exact"/>
        <w:rPr>
          <w:sz w:val="20"/>
          <w:szCs w:val="20"/>
          <w:color w:val="auto"/>
        </w:rPr>
      </w:pPr>
    </w:p>
    <w:p>
      <w:pPr>
        <w:jc w:val="both"/>
        <w:ind w:left="120"/>
        <w:spacing w:after="0" w:line="260" w:lineRule="auto"/>
        <w:rPr>
          <w:sz w:val="20"/>
          <w:szCs w:val="20"/>
          <w:color w:val="auto"/>
        </w:rPr>
      </w:pPr>
      <w:r>
        <w:rPr>
          <w:rFonts w:ascii="Arial" w:cs="Arial" w:eastAsia="Arial" w:hAnsi="Arial"/>
          <w:sz w:val="16"/>
          <w:szCs w:val="16"/>
          <w:color w:val="auto"/>
        </w:rPr>
        <w:t>Mr. Coury serves as Executive Chairman of the Company. Mr. Coury’s primary responsibilities include overall leadership and strategic direction of the Company, and leadership and coordination of activities of the Board, among others. See also page 4.</w:t>
      </w:r>
    </w:p>
    <w:p>
      <w:pPr>
        <w:spacing w:after="0" w:line="195" w:lineRule="exact"/>
        <w:rPr>
          <w:sz w:val="20"/>
          <w:szCs w:val="20"/>
          <w:color w:val="auto"/>
        </w:rPr>
      </w:pPr>
    </w:p>
    <w:p>
      <w:pPr>
        <w:jc w:val="both"/>
        <w:ind w:left="120" w:right="20"/>
        <w:spacing w:after="0" w:line="251" w:lineRule="auto"/>
        <w:rPr>
          <w:sz w:val="20"/>
          <w:szCs w:val="20"/>
          <w:color w:val="auto"/>
        </w:rPr>
      </w:pPr>
      <w:r>
        <w:rPr>
          <w:rFonts w:ascii="Arial" w:cs="Arial" w:eastAsia="Arial" w:hAnsi="Arial"/>
          <w:sz w:val="16"/>
          <w:szCs w:val="16"/>
          <w:color w:val="auto"/>
        </w:rPr>
        <w:t>Mr. Parrish is the Lead Independent Director and Vice Chairman of the Board. The responsibilities of the Lead Independent Director include calling and presiding over executive sessions of the independent Directors, consulting with the Executive Chairman regarding Board meeting schedules, agendas, and information sent to the Board and separately approving those items, and serving as a liaison between the Executive Chairman and independent Directors. The Executive Chairman and the Lead Independent Director serve as point persons for shareholders wishing to communicate to the Board.</w:t>
      </w:r>
    </w:p>
    <w:p>
      <w:pPr>
        <w:spacing w:after="0" w:line="202" w:lineRule="exact"/>
        <w:rPr>
          <w:sz w:val="20"/>
          <w:szCs w:val="20"/>
          <w:color w:val="auto"/>
        </w:rPr>
      </w:pPr>
    </w:p>
    <w:p>
      <w:pPr>
        <w:jc w:val="both"/>
        <w:ind w:left="120"/>
        <w:spacing w:after="0" w:line="252" w:lineRule="auto"/>
        <w:rPr>
          <w:sz w:val="20"/>
          <w:szCs w:val="20"/>
          <w:color w:val="auto"/>
        </w:rPr>
      </w:pPr>
      <w:r>
        <w:rPr>
          <w:rFonts w:ascii="Arial" w:cs="Arial" w:eastAsia="Arial" w:hAnsi="Arial"/>
          <w:sz w:val="16"/>
          <w:szCs w:val="16"/>
          <w:color w:val="auto"/>
        </w:rPr>
        <w:t>Considering the opportunities and challenges facing the Company, the Board has determined that its current leadership structure — Mr. Coury as Executive Chairman, Mr. Parrish as Lead Independent Director and Vice Chairman, Mr. Goettler as CEO, Mr. Malik as President, and a strong, independent majority of Directors — enables it to best oversee and empower the management team and is optimal for Viatris and its shareholders and other stakeholders.</w:t>
      </w:r>
    </w:p>
    <w:p>
      <w:pPr>
        <w:spacing w:after="0" w:line="392" w:lineRule="exact"/>
        <w:rPr>
          <w:sz w:val="20"/>
          <w:szCs w:val="20"/>
          <w:color w:val="auto"/>
        </w:rPr>
      </w:pPr>
    </w:p>
    <w:p>
      <w:pPr>
        <w:jc w:val="both"/>
        <w:ind w:left="120"/>
        <w:spacing w:after="0" w:line="260" w:lineRule="auto"/>
        <w:rPr>
          <w:sz w:val="20"/>
          <w:szCs w:val="20"/>
          <w:color w:val="auto"/>
        </w:rPr>
      </w:pPr>
      <w:r>
        <w:rPr>
          <w:rFonts w:ascii="Arial" w:cs="Arial" w:eastAsia="Arial" w:hAnsi="Arial"/>
          <w:sz w:val="16"/>
          <w:szCs w:val="16"/>
          <w:color w:val="auto"/>
        </w:rPr>
        <w:t>Among the factors that demonstrate the Board’s commitment to good governance practices and enable it to provide highly effective oversight and direction are:</w:t>
      </w:r>
    </w:p>
    <w:p>
      <w:pPr>
        <w:spacing w:after="0" w:line="101"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9 out of 13 Directors are independent;</w:t>
      </w:r>
    </w:p>
    <w:p>
      <w:pPr>
        <w:spacing w:after="0" w:line="126" w:lineRule="exact"/>
        <w:rPr>
          <w:rFonts w:ascii="Arial" w:cs="Arial" w:eastAsia="Arial" w:hAnsi="Arial"/>
          <w:sz w:val="16"/>
          <w:szCs w:val="16"/>
          <w:color w:val="auto"/>
        </w:rPr>
      </w:pPr>
    </w:p>
    <w:p>
      <w:pPr>
        <w:ind w:left="540" w:right="20" w:hanging="316"/>
        <w:spacing w:after="0" w:line="260"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Board operates pursuant to Corporate Governance Principles, which are reviewed by the Governance and Nominating Committee at least annually;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86"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540" w:right="20" w:hanging="316"/>
        <w:spacing w:after="0" w:line="260"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Executive Chairman possesses deep knowledge of our management, business, and the healthcare industry, and he fosters a culture of robust Board engagement, interaction, and oversight;</w:t>
      </w:r>
    </w:p>
    <w:p>
      <w:pPr>
        <w:spacing w:after="0" w:line="100" w:lineRule="exact"/>
        <w:rPr>
          <w:rFonts w:ascii="Arial" w:cs="Arial" w:eastAsia="Arial" w:hAnsi="Arial"/>
          <w:sz w:val="16"/>
          <w:szCs w:val="16"/>
          <w:color w:val="auto"/>
        </w:rPr>
      </w:pPr>
    </w:p>
    <w:p>
      <w:pPr>
        <w:jc w:val="both"/>
        <w:ind w:left="540" w:right="20" w:hanging="316"/>
        <w:spacing w:after="0" w:line="251"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Board has a strong Lead Independent Director, who is also Vice Chairman, with key areas of expertise and experience (including, among others, public company management, corporate governance, the healthcare industry, human capital management including, but not limited to oversight of diversity, equity and inclusion, global business, information security, risk oversight, strategy and M&amp;A) that help enhance the Board’s oversight of management and the Company;</w:t>
      </w:r>
    </w:p>
    <w:p>
      <w:pPr>
        <w:spacing w:after="0" w:line="107" w:lineRule="exact"/>
        <w:rPr>
          <w:rFonts w:ascii="Arial" w:cs="Arial" w:eastAsia="Arial" w:hAnsi="Arial"/>
          <w:sz w:val="16"/>
          <w:szCs w:val="16"/>
          <w:color w:val="auto"/>
        </w:rPr>
      </w:pPr>
    </w:p>
    <w:p>
      <w:pPr>
        <w:ind w:left="540" w:right="20" w:hanging="316"/>
        <w:spacing w:after="0" w:line="260"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members of the Board have collective experience overseeing each of Mylan and Upjohn, which helps support the ongoing integration of the two businesses and provides the Board with a strong understanding of the opportunities and challenges facing the combined company;</w:t>
      </w:r>
    </w:p>
    <w:p>
      <w:pPr>
        <w:spacing w:after="0" w:line="100" w:lineRule="exact"/>
        <w:rPr>
          <w:rFonts w:ascii="Arial" w:cs="Arial" w:eastAsia="Arial" w:hAnsi="Arial"/>
          <w:sz w:val="16"/>
          <w:szCs w:val="16"/>
          <w:color w:val="auto"/>
        </w:rPr>
      </w:pPr>
    </w:p>
    <w:p>
      <w:pPr>
        <w:ind w:left="540" w:right="20" w:hanging="316"/>
        <w:spacing w:after="0" w:line="260"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Audit, Compensation, Finance, Governance and Nominating, and Risk Oversight Committees are composed entirely of independent Directors (as defined in the applicable NASDAQ listing rules and applicable SEC rules);</w:t>
      </w:r>
    </w:p>
    <w:p>
      <w:pPr>
        <w:spacing w:after="0" w:line="100" w:lineRule="exact"/>
        <w:rPr>
          <w:rFonts w:ascii="Arial" w:cs="Arial" w:eastAsia="Arial" w:hAnsi="Arial"/>
          <w:sz w:val="16"/>
          <w:szCs w:val="16"/>
          <w:color w:val="auto"/>
        </w:rPr>
      </w:pPr>
    </w:p>
    <w:p>
      <w:pPr>
        <w:ind w:left="540" w:right="20" w:hanging="316"/>
        <w:spacing w:after="0" w:line="260"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Board approval of any appointment of members to the Audit, Compensation, Compliance, Governance and Nominating, and Risk Oversight Committees must include an affirmative vote by at least a majority of the independent Directors;</w:t>
      </w:r>
    </w:p>
    <w:p>
      <w:pPr>
        <w:spacing w:after="0" w:line="100" w:lineRule="exact"/>
        <w:rPr>
          <w:rFonts w:ascii="Arial" w:cs="Arial" w:eastAsia="Arial" w:hAnsi="Arial"/>
          <w:sz w:val="16"/>
          <w:szCs w:val="16"/>
          <w:color w:val="auto"/>
        </w:rPr>
      </w:pPr>
    </w:p>
    <w:p>
      <w:pPr>
        <w:ind w:left="540" w:hanging="316"/>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 Board committees operate pursuant to written charters and conduct annual self-assessments;</w:t>
      </w:r>
    </w:p>
    <w:p>
      <w:pPr>
        <w:spacing w:after="0" w:line="126" w:lineRule="exact"/>
        <w:rPr>
          <w:rFonts w:ascii="Arial" w:cs="Arial" w:eastAsia="Arial" w:hAnsi="Arial"/>
          <w:sz w:val="16"/>
          <w:szCs w:val="16"/>
          <w:color w:val="auto"/>
        </w:rPr>
      </w:pPr>
    </w:p>
    <w:p>
      <w:pPr>
        <w:jc w:val="both"/>
        <w:ind w:left="540" w:hanging="316"/>
        <w:spacing w:after="0" w:line="248"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Risk Oversight Committee assists the Board in its oversight of management’s efforts with respect to the Company’s enterprise risk framework, infrastructure and controls, and CSR matters. The Committee receives reports, including with respect to related risks, risk management, and relevant legislative, regulatory, and technical developments, from senior management on data security, cybersecurity, information security-related matters, CSR, certain litigation-related topics and other topics on at least a quarterly basis. On a biannual basis, the Risk Oversight Committee, the Audit Committee and chairs of each other Committee of the Board receive an information security update from the Company’s Chief Information Officer and Chief Information Security Officer. The Board and its other committees also have important roles in the oversight of risk as described in more detail in “Risk Oversight” beginning beginning on page 17;</w:t>
      </w:r>
    </w:p>
    <w:p>
      <w:pPr>
        <w:spacing w:after="0" w:line="113" w:lineRule="exact"/>
        <w:rPr>
          <w:rFonts w:ascii="Arial" w:cs="Arial" w:eastAsia="Arial" w:hAnsi="Arial"/>
          <w:sz w:val="16"/>
          <w:szCs w:val="16"/>
          <w:color w:val="auto"/>
        </w:rPr>
      </w:pPr>
    </w:p>
    <w:p>
      <w:pPr>
        <w:jc w:val="both"/>
        <w:ind w:left="540" w:right="20" w:hanging="316"/>
        <w:spacing w:after="0" w:line="253"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independent Directors on the Viatris Board and its committees receive extensive information and input from multiple layers of management and external advisors, engage in detailed discussion and analysis regarding matters brought before them (including in executive session), and actively engage in the development and approval of significant corporate strategies;</w:t>
      </w:r>
    </w:p>
    <w:p>
      <w:pPr>
        <w:spacing w:after="0" w:line="106" w:lineRule="exact"/>
        <w:rPr>
          <w:rFonts w:ascii="Arial" w:cs="Arial" w:eastAsia="Arial" w:hAnsi="Arial"/>
          <w:sz w:val="16"/>
          <w:szCs w:val="16"/>
          <w:color w:val="auto"/>
        </w:rPr>
      </w:pPr>
    </w:p>
    <w:p>
      <w:pPr>
        <w:ind w:left="540" w:hanging="316"/>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Viatris Board and its committees have full access to officers and employees of the Company; and</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Viatris Board and its committees have the authority to select, retain, and supervise advisors as necessary to fulfill their mandates.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Meetings of the Viatris Board</w:t>
      </w:r>
    </w:p>
    <w:p>
      <w:pPr>
        <w:spacing w:after="0" w:line="128"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auto"/>
        </w:rPr>
        <w:t>Viatris’ Corporate Governance Principles require the independent Directors of the Board to meet in separate executive sessions periodically, and at least twice annually, during regularly scheduled meetings of the Board. The independent Directors of the Board met two times in executive session in 2021, with Mr. Parrish presiding at those executive sessions.</w:t>
      </w:r>
    </w:p>
    <w:p>
      <w:pPr>
        <w:spacing w:after="0" w:line="201"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Viatris’ Board met nine times in 2021. In addition to meetings of the Board, Directors attended meetings of individual Board committees of which they were members, and all Directors attended greater than 75% of</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86"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aggregate of Viatris Board meetings and meetings of the committees of which they were a member in 2021.</w:t>
      </w:r>
    </w:p>
    <w:p>
      <w:pPr>
        <w:spacing w:after="0" w:line="221"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Pursuant to Viatris’ Corporate Governance Principles, Directors are expected to attend the annual meeting of shareholders of the Company, where practicable. Twelve members of the Board attended the 2021 Annual Meeting either in person or via remote communication (pursuant to which they were available to answer questions).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Meetings of Viatris Board Committees</w:t>
      </w:r>
    </w:p>
    <w:p>
      <w:pPr>
        <w:spacing w:after="0" w:line="128" w:lineRule="exact"/>
        <w:rPr>
          <w:sz w:val="20"/>
          <w:szCs w:val="20"/>
          <w:color w:val="auto"/>
        </w:rPr>
      </w:pPr>
    </w:p>
    <w:p>
      <w:pPr>
        <w:jc w:val="both"/>
        <w:ind w:left="120" w:right="20"/>
        <w:spacing w:after="0" w:line="251" w:lineRule="auto"/>
        <w:rPr>
          <w:sz w:val="20"/>
          <w:szCs w:val="20"/>
          <w:color w:val="auto"/>
        </w:rPr>
      </w:pPr>
      <w:r>
        <w:rPr>
          <w:rFonts w:ascii="Arial" w:cs="Arial" w:eastAsia="Arial" w:hAnsi="Arial"/>
          <w:sz w:val="16"/>
          <w:szCs w:val="16"/>
          <w:color w:val="auto"/>
        </w:rPr>
        <w:t>The committees of the Viatris Board include the Audit Committee, the Compensation Committee, the Compliance Committee, the Executive Committee, the Finance Committee, the Governance and Nominating Committee, the Risk Oversight Committee, and the Science and Technology Committee. Each committee operates pursuant to a written charter, a current copy of which, along with our Amended and Restated Certificate of Incorporation, Bylaws, and Corporate Governance Principles, is available on Viatris’ website at https://www.viatris.com/en/About-Us/Corporate-Governance.</w:t>
      </w:r>
    </w:p>
    <w:p>
      <w:pPr>
        <w:spacing w:after="0" w:line="202"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6"/>
          <w:szCs w:val="16"/>
          <w:color w:val="auto"/>
        </w:rPr>
        <w:t>All members of the Audit, Compensation, Finance, Governance and Nominating, and Risk Oversight Committees, and a majority of the members of the Compliance Committee, are independent Directors, as defined in the applicable NASDAQ listing rules and applicable SEC rules, and all members of each of these committees are “Non-Employee Directors”. Board approval of any Director appointment to the Audit, Compensation, Compliance, Governance and Nominating, and Risk Oversight Committees must include at least a majority of the independent Directors. The Viatris Board has determined that Mr. Dimick, the Chair of the Audit Committee, is an “audit committee financial expert”, as that term is defined in the rules of the SEC.</w:t>
      </w:r>
    </w:p>
    <w:p>
      <w:pPr>
        <w:spacing w:after="0" w:line="203"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Information regarding each of the committees is provided on the following pages, and pages 18 to 19 provide additional discussion of committee responsibilities with respect to risk oversight.</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table below provides the current membership (as of the date of this report) and 2021 meeting information for each Viatris Board committee.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380" w:type="dxa"/>
            <w:vAlign w:val="bottom"/>
            <w:tcBorders>
              <w:right w:val="single" w:sz="8" w:color="231161"/>
            </w:tcBorders>
            <w:shd w:val="clear" w:color="auto" w:fill="231161"/>
          </w:tcPr>
          <w:p>
            <w:pPr>
              <w:spacing w:after="0"/>
              <w:rPr>
                <w:sz w:val="17"/>
                <w:szCs w:val="17"/>
                <w:color w:val="auto"/>
              </w:rPr>
            </w:pPr>
          </w:p>
        </w:tc>
        <w:tc>
          <w:tcPr>
            <w:tcW w:w="640" w:type="dxa"/>
            <w:vAlign w:val="bottom"/>
            <w:tcBorders>
              <w:right w:val="single" w:sz="8" w:color="231161"/>
            </w:tcBorders>
            <w:shd w:val="clear" w:color="auto" w:fill="231161"/>
          </w:tcPr>
          <w:p>
            <w:pPr>
              <w:spacing w:after="0"/>
              <w:rPr>
                <w:sz w:val="17"/>
                <w:szCs w:val="17"/>
                <w:color w:val="auto"/>
              </w:rPr>
            </w:pPr>
          </w:p>
        </w:tc>
        <w:tc>
          <w:tcPr>
            <w:tcW w:w="1260" w:type="dxa"/>
            <w:vAlign w:val="bottom"/>
            <w:tcBorders>
              <w:right w:val="single" w:sz="8" w:color="231161"/>
            </w:tcBorders>
            <w:shd w:val="clear" w:color="auto" w:fill="231161"/>
          </w:tcPr>
          <w:p>
            <w:pPr>
              <w:spacing w:after="0"/>
              <w:rPr>
                <w:sz w:val="17"/>
                <w:szCs w:val="17"/>
                <w:color w:val="auto"/>
              </w:rPr>
            </w:pPr>
          </w:p>
        </w:tc>
        <w:tc>
          <w:tcPr>
            <w:tcW w:w="1080" w:type="dxa"/>
            <w:vAlign w:val="bottom"/>
            <w:tcBorders>
              <w:right w:val="single" w:sz="8" w:color="231161"/>
            </w:tcBorders>
            <w:shd w:val="clear" w:color="auto" w:fill="231161"/>
          </w:tcPr>
          <w:p>
            <w:pPr>
              <w:spacing w:after="0"/>
              <w:rPr>
                <w:sz w:val="17"/>
                <w:szCs w:val="17"/>
                <w:color w:val="auto"/>
              </w:rPr>
            </w:pPr>
          </w:p>
        </w:tc>
        <w:tc>
          <w:tcPr>
            <w:tcW w:w="940" w:type="dxa"/>
            <w:vAlign w:val="bottom"/>
            <w:tcBorders>
              <w:right w:val="single" w:sz="8" w:color="231161"/>
            </w:tcBorders>
            <w:shd w:val="clear" w:color="auto" w:fill="231161"/>
          </w:tcPr>
          <w:p>
            <w:pPr>
              <w:spacing w:after="0"/>
              <w:rPr>
                <w:sz w:val="17"/>
                <w:szCs w:val="17"/>
                <w:color w:val="auto"/>
              </w:rPr>
            </w:pPr>
          </w:p>
        </w:tc>
        <w:tc>
          <w:tcPr>
            <w:tcW w:w="800" w:type="dxa"/>
            <w:vAlign w:val="bottom"/>
            <w:tcBorders>
              <w:right w:val="single" w:sz="8" w:color="231161"/>
            </w:tcBorders>
            <w:shd w:val="clear" w:color="auto" w:fill="231161"/>
          </w:tcPr>
          <w:p>
            <w:pPr>
              <w:spacing w:after="0"/>
              <w:rPr>
                <w:sz w:val="17"/>
                <w:szCs w:val="17"/>
                <w:color w:val="auto"/>
              </w:rPr>
            </w:pPr>
          </w:p>
        </w:tc>
        <w:tc>
          <w:tcPr>
            <w:tcW w:w="1100" w:type="dxa"/>
            <w:vAlign w:val="bottom"/>
            <w:tcBorders>
              <w:right w:val="single" w:sz="8" w:color="231161"/>
            </w:tcBorders>
            <w:shd w:val="clear" w:color="auto" w:fill="231161"/>
          </w:tcPr>
          <w:p>
            <w:pPr>
              <w:jc w:val="center"/>
              <w:ind w:left="148"/>
              <w:spacing w:after="0"/>
              <w:rPr>
                <w:sz w:val="20"/>
                <w:szCs w:val="20"/>
                <w:color w:val="auto"/>
              </w:rPr>
            </w:pPr>
            <w:r>
              <w:rPr>
                <w:rFonts w:ascii="Arial" w:cs="Arial" w:eastAsia="Arial" w:hAnsi="Arial"/>
                <w:sz w:val="14"/>
                <w:szCs w:val="14"/>
                <w:b w:val="1"/>
                <w:bCs w:val="1"/>
                <w:color w:val="FFFFFF"/>
              </w:rPr>
              <w:t>Governance</w:t>
            </w:r>
          </w:p>
        </w:tc>
        <w:tc>
          <w:tcPr>
            <w:tcW w:w="920" w:type="dxa"/>
            <w:vAlign w:val="bottom"/>
            <w:tcBorders>
              <w:right w:val="single" w:sz="8" w:color="231161"/>
            </w:tcBorders>
            <w:shd w:val="clear" w:color="auto" w:fill="231161"/>
          </w:tcPr>
          <w:p>
            <w:pPr>
              <w:spacing w:after="0"/>
              <w:rPr>
                <w:sz w:val="17"/>
                <w:szCs w:val="17"/>
                <w:color w:val="auto"/>
              </w:rPr>
            </w:pPr>
          </w:p>
        </w:tc>
        <w:tc>
          <w:tcPr>
            <w:tcW w:w="900" w:type="dxa"/>
            <w:vAlign w:val="bottom"/>
            <w:shd w:val="clear" w:color="auto" w:fill="231161"/>
          </w:tcPr>
          <w:p>
            <w:pPr>
              <w:jc w:val="center"/>
              <w:ind w:left="8"/>
              <w:spacing w:after="0"/>
              <w:rPr>
                <w:sz w:val="20"/>
                <w:szCs w:val="20"/>
                <w:color w:val="auto"/>
              </w:rPr>
            </w:pPr>
            <w:r>
              <w:rPr>
                <w:rFonts w:ascii="Arial" w:cs="Arial" w:eastAsia="Arial" w:hAnsi="Arial"/>
                <w:sz w:val="14"/>
                <w:szCs w:val="14"/>
                <w:b w:val="1"/>
                <w:bCs w:val="1"/>
                <w:color w:val="FFFFFF"/>
              </w:rPr>
              <w:t>Science</w:t>
            </w:r>
          </w:p>
        </w:tc>
      </w:tr>
      <w:tr>
        <w:trPr>
          <w:trHeight w:val="162"/>
        </w:trPr>
        <w:tc>
          <w:tcPr>
            <w:tcW w:w="3380" w:type="dxa"/>
            <w:vAlign w:val="bottom"/>
            <w:tcBorders>
              <w:right w:val="single" w:sz="8" w:color="231161"/>
            </w:tcBorders>
            <w:shd w:val="clear" w:color="auto" w:fill="231161"/>
          </w:tcPr>
          <w:p>
            <w:pPr>
              <w:spacing w:after="0"/>
              <w:rPr>
                <w:sz w:val="14"/>
                <w:szCs w:val="14"/>
                <w:color w:val="auto"/>
              </w:rPr>
            </w:pPr>
          </w:p>
        </w:tc>
        <w:tc>
          <w:tcPr>
            <w:tcW w:w="640" w:type="dxa"/>
            <w:vAlign w:val="bottom"/>
            <w:tcBorders>
              <w:right w:val="single" w:sz="8" w:color="231161"/>
            </w:tcBorders>
            <w:shd w:val="clear" w:color="auto" w:fill="231161"/>
          </w:tcPr>
          <w:p>
            <w:pPr>
              <w:spacing w:after="0"/>
              <w:rPr>
                <w:sz w:val="14"/>
                <w:szCs w:val="14"/>
                <w:color w:val="auto"/>
              </w:rPr>
            </w:pPr>
          </w:p>
        </w:tc>
        <w:tc>
          <w:tcPr>
            <w:tcW w:w="1260" w:type="dxa"/>
            <w:vAlign w:val="bottom"/>
            <w:tcBorders>
              <w:right w:val="single" w:sz="8" w:color="231161"/>
            </w:tcBorders>
            <w:shd w:val="clear" w:color="auto" w:fill="231161"/>
          </w:tcPr>
          <w:p>
            <w:pPr>
              <w:spacing w:after="0"/>
              <w:rPr>
                <w:sz w:val="14"/>
                <w:szCs w:val="14"/>
                <w:color w:val="auto"/>
              </w:rPr>
            </w:pPr>
          </w:p>
        </w:tc>
        <w:tc>
          <w:tcPr>
            <w:tcW w:w="1080" w:type="dxa"/>
            <w:vAlign w:val="bottom"/>
            <w:tcBorders>
              <w:right w:val="single" w:sz="8" w:color="231161"/>
            </w:tcBorders>
            <w:shd w:val="clear" w:color="auto" w:fill="231161"/>
          </w:tcPr>
          <w:p>
            <w:pPr>
              <w:spacing w:after="0"/>
              <w:rPr>
                <w:sz w:val="14"/>
                <w:szCs w:val="14"/>
                <w:color w:val="auto"/>
              </w:rPr>
            </w:pPr>
          </w:p>
        </w:tc>
        <w:tc>
          <w:tcPr>
            <w:tcW w:w="940" w:type="dxa"/>
            <w:vAlign w:val="bottom"/>
            <w:tcBorders>
              <w:right w:val="single" w:sz="8" w:color="231161"/>
            </w:tcBorders>
            <w:shd w:val="clear" w:color="auto" w:fill="231161"/>
          </w:tcPr>
          <w:p>
            <w:pPr>
              <w:spacing w:after="0"/>
              <w:rPr>
                <w:sz w:val="14"/>
                <w:szCs w:val="14"/>
                <w:color w:val="auto"/>
              </w:rPr>
            </w:pPr>
          </w:p>
        </w:tc>
        <w:tc>
          <w:tcPr>
            <w:tcW w:w="800" w:type="dxa"/>
            <w:vAlign w:val="bottom"/>
            <w:tcBorders>
              <w:right w:val="single" w:sz="8" w:color="231161"/>
            </w:tcBorders>
            <w:shd w:val="clear" w:color="auto" w:fill="231161"/>
          </w:tcPr>
          <w:p>
            <w:pPr>
              <w:spacing w:after="0"/>
              <w:rPr>
                <w:sz w:val="14"/>
                <w:szCs w:val="14"/>
                <w:color w:val="auto"/>
              </w:rPr>
            </w:pPr>
          </w:p>
        </w:tc>
        <w:tc>
          <w:tcPr>
            <w:tcW w:w="1100" w:type="dxa"/>
            <w:vAlign w:val="bottom"/>
            <w:tcBorders>
              <w:right w:val="single" w:sz="8" w:color="231161"/>
            </w:tcBorders>
            <w:shd w:val="clear" w:color="auto" w:fill="231161"/>
          </w:tcPr>
          <w:p>
            <w:pPr>
              <w:jc w:val="center"/>
              <w:ind w:left="128"/>
              <w:spacing w:after="0"/>
              <w:rPr>
                <w:sz w:val="20"/>
                <w:szCs w:val="20"/>
                <w:color w:val="auto"/>
              </w:rPr>
            </w:pPr>
            <w:r>
              <w:rPr>
                <w:rFonts w:ascii="Arial" w:cs="Arial" w:eastAsia="Arial" w:hAnsi="Arial"/>
                <w:sz w:val="14"/>
                <w:szCs w:val="14"/>
                <w:b w:val="1"/>
                <w:bCs w:val="1"/>
                <w:color w:val="FFFFFF"/>
              </w:rPr>
              <w:t>and</w:t>
            </w:r>
          </w:p>
        </w:tc>
        <w:tc>
          <w:tcPr>
            <w:tcW w:w="920" w:type="dxa"/>
            <w:vAlign w:val="bottom"/>
            <w:tcBorders>
              <w:right w:val="single" w:sz="8" w:color="231161"/>
            </w:tcBorders>
            <w:shd w:val="clear" w:color="auto" w:fill="231161"/>
          </w:tcPr>
          <w:p>
            <w:pPr>
              <w:jc w:val="center"/>
              <w:ind w:left="148"/>
              <w:spacing w:after="0"/>
              <w:rPr>
                <w:sz w:val="20"/>
                <w:szCs w:val="20"/>
                <w:color w:val="auto"/>
              </w:rPr>
            </w:pPr>
            <w:r>
              <w:rPr>
                <w:rFonts w:ascii="Arial" w:cs="Arial" w:eastAsia="Arial" w:hAnsi="Arial"/>
                <w:sz w:val="14"/>
                <w:szCs w:val="14"/>
                <w:b w:val="1"/>
                <w:bCs w:val="1"/>
                <w:color w:val="FFFFFF"/>
              </w:rPr>
              <w:t>Risk</w:t>
            </w:r>
          </w:p>
        </w:tc>
        <w:tc>
          <w:tcPr>
            <w:tcW w:w="900" w:type="dxa"/>
            <w:vAlign w:val="bottom"/>
            <w:shd w:val="clear" w:color="auto" w:fill="231161"/>
          </w:tcPr>
          <w:p>
            <w:pPr>
              <w:jc w:val="center"/>
              <w:ind w:left="8"/>
              <w:spacing w:after="0"/>
              <w:rPr>
                <w:sz w:val="20"/>
                <w:szCs w:val="20"/>
                <w:color w:val="auto"/>
              </w:rPr>
            </w:pPr>
            <w:r>
              <w:rPr>
                <w:rFonts w:ascii="Arial" w:cs="Arial" w:eastAsia="Arial" w:hAnsi="Arial"/>
                <w:sz w:val="14"/>
                <w:szCs w:val="14"/>
                <w:b w:val="1"/>
                <w:bCs w:val="1"/>
                <w:color w:val="FFFFFF"/>
              </w:rPr>
              <w:t>and</w:t>
            </w:r>
          </w:p>
        </w:tc>
      </w:tr>
      <w:tr>
        <w:trPr>
          <w:trHeight w:val="209"/>
        </w:trPr>
        <w:tc>
          <w:tcPr>
            <w:tcW w:w="3380" w:type="dxa"/>
            <w:vAlign w:val="bottom"/>
            <w:tcBorders>
              <w:bottom w:val="single" w:sz="8" w:color="231161"/>
              <w:right w:val="single" w:sz="8" w:color="231161"/>
            </w:tcBorders>
            <w:shd w:val="clear" w:color="auto" w:fill="231161"/>
          </w:tcPr>
          <w:p>
            <w:pPr>
              <w:ind w:left="60"/>
              <w:spacing w:after="0"/>
              <w:rPr>
                <w:sz w:val="20"/>
                <w:szCs w:val="20"/>
                <w:color w:val="auto"/>
              </w:rPr>
            </w:pPr>
            <w:r>
              <w:rPr>
                <w:rFonts w:ascii="Arial" w:cs="Arial" w:eastAsia="Arial" w:hAnsi="Arial"/>
                <w:sz w:val="14"/>
                <w:szCs w:val="14"/>
                <w:b w:val="1"/>
                <w:bCs w:val="1"/>
                <w:color w:val="FFFFFF"/>
              </w:rPr>
              <w:t>Director</w:t>
            </w:r>
          </w:p>
        </w:tc>
        <w:tc>
          <w:tcPr>
            <w:tcW w:w="640" w:type="dxa"/>
            <w:vAlign w:val="bottom"/>
            <w:tcBorders>
              <w:bottom w:val="single" w:sz="8" w:color="231161"/>
              <w:right w:val="single" w:sz="8" w:color="231161"/>
            </w:tcBorders>
            <w:shd w:val="clear" w:color="auto" w:fill="231161"/>
          </w:tcPr>
          <w:p>
            <w:pPr>
              <w:ind w:left="240"/>
              <w:spacing w:after="0"/>
              <w:rPr>
                <w:sz w:val="20"/>
                <w:szCs w:val="20"/>
                <w:color w:val="auto"/>
              </w:rPr>
            </w:pPr>
            <w:r>
              <w:rPr>
                <w:rFonts w:ascii="Arial" w:cs="Arial" w:eastAsia="Arial" w:hAnsi="Arial"/>
                <w:sz w:val="14"/>
                <w:szCs w:val="14"/>
                <w:b w:val="1"/>
                <w:bCs w:val="1"/>
                <w:color w:val="FFFFFF"/>
              </w:rPr>
              <w:t>Audit</w:t>
            </w:r>
          </w:p>
        </w:tc>
        <w:tc>
          <w:tcPr>
            <w:tcW w:w="1260" w:type="dxa"/>
            <w:vAlign w:val="bottom"/>
            <w:tcBorders>
              <w:bottom w:val="single" w:sz="8" w:color="231161"/>
              <w:right w:val="single" w:sz="8" w:color="231161"/>
            </w:tcBorders>
            <w:shd w:val="clear" w:color="auto" w:fill="231161"/>
          </w:tcPr>
          <w:p>
            <w:pPr>
              <w:jc w:val="center"/>
              <w:ind w:left="148"/>
              <w:spacing w:after="0"/>
              <w:rPr>
                <w:sz w:val="20"/>
                <w:szCs w:val="20"/>
                <w:color w:val="auto"/>
              </w:rPr>
            </w:pPr>
            <w:r>
              <w:rPr>
                <w:rFonts w:ascii="Arial" w:cs="Arial" w:eastAsia="Arial" w:hAnsi="Arial"/>
                <w:sz w:val="14"/>
                <w:szCs w:val="14"/>
                <w:b w:val="1"/>
                <w:bCs w:val="1"/>
                <w:color w:val="FFFFFF"/>
              </w:rPr>
              <w:t>Compensation</w:t>
            </w:r>
          </w:p>
        </w:tc>
        <w:tc>
          <w:tcPr>
            <w:tcW w:w="1080" w:type="dxa"/>
            <w:vAlign w:val="bottom"/>
            <w:tcBorders>
              <w:bottom w:val="single" w:sz="8" w:color="231161"/>
              <w:right w:val="single" w:sz="8" w:color="231161"/>
            </w:tcBorders>
            <w:shd w:val="clear" w:color="auto" w:fill="231161"/>
          </w:tcPr>
          <w:p>
            <w:pPr>
              <w:jc w:val="center"/>
              <w:ind w:left="148"/>
              <w:spacing w:after="0"/>
              <w:rPr>
                <w:sz w:val="20"/>
                <w:szCs w:val="20"/>
                <w:color w:val="auto"/>
              </w:rPr>
            </w:pPr>
            <w:r>
              <w:rPr>
                <w:rFonts w:ascii="Arial" w:cs="Arial" w:eastAsia="Arial" w:hAnsi="Arial"/>
                <w:sz w:val="14"/>
                <w:szCs w:val="14"/>
                <w:b w:val="1"/>
                <w:bCs w:val="1"/>
                <w:color w:val="FFFFFF"/>
              </w:rPr>
              <w:t>Compliance</w:t>
            </w:r>
          </w:p>
        </w:tc>
        <w:tc>
          <w:tcPr>
            <w:tcW w:w="940" w:type="dxa"/>
            <w:vAlign w:val="bottom"/>
            <w:tcBorders>
              <w:bottom w:val="single" w:sz="8" w:color="231161"/>
              <w:right w:val="single" w:sz="8" w:color="231161"/>
            </w:tcBorders>
            <w:shd w:val="clear" w:color="auto" w:fill="231161"/>
          </w:tcPr>
          <w:p>
            <w:pPr>
              <w:jc w:val="center"/>
              <w:ind w:left="148"/>
              <w:spacing w:after="0"/>
              <w:rPr>
                <w:sz w:val="20"/>
                <w:szCs w:val="20"/>
                <w:color w:val="auto"/>
              </w:rPr>
            </w:pPr>
            <w:r>
              <w:rPr>
                <w:rFonts w:ascii="Arial" w:cs="Arial" w:eastAsia="Arial" w:hAnsi="Arial"/>
                <w:sz w:val="14"/>
                <w:szCs w:val="14"/>
                <w:b w:val="1"/>
                <w:bCs w:val="1"/>
                <w:color w:val="FFFFFF"/>
              </w:rPr>
              <w:t>Executive</w:t>
            </w:r>
          </w:p>
        </w:tc>
        <w:tc>
          <w:tcPr>
            <w:tcW w:w="800" w:type="dxa"/>
            <w:vAlign w:val="bottom"/>
            <w:tcBorders>
              <w:bottom w:val="single" w:sz="8" w:color="231161"/>
              <w:right w:val="single" w:sz="8" w:color="231161"/>
            </w:tcBorders>
            <w:shd w:val="clear" w:color="auto" w:fill="231161"/>
          </w:tcPr>
          <w:p>
            <w:pPr>
              <w:jc w:val="center"/>
              <w:ind w:left="148"/>
              <w:spacing w:after="0"/>
              <w:rPr>
                <w:sz w:val="20"/>
                <w:szCs w:val="20"/>
                <w:color w:val="auto"/>
              </w:rPr>
            </w:pPr>
            <w:r>
              <w:rPr>
                <w:rFonts w:ascii="Arial" w:cs="Arial" w:eastAsia="Arial" w:hAnsi="Arial"/>
                <w:sz w:val="14"/>
                <w:szCs w:val="14"/>
                <w:b w:val="1"/>
                <w:bCs w:val="1"/>
                <w:color w:val="FFFFFF"/>
              </w:rPr>
              <w:t>Finance</w:t>
            </w:r>
          </w:p>
        </w:tc>
        <w:tc>
          <w:tcPr>
            <w:tcW w:w="1100" w:type="dxa"/>
            <w:vAlign w:val="bottom"/>
            <w:tcBorders>
              <w:bottom w:val="single" w:sz="8" w:color="231161"/>
              <w:right w:val="single" w:sz="8" w:color="231161"/>
            </w:tcBorders>
            <w:shd w:val="clear" w:color="auto" w:fill="231161"/>
          </w:tcPr>
          <w:p>
            <w:pPr>
              <w:jc w:val="center"/>
              <w:ind w:left="148"/>
              <w:spacing w:after="0"/>
              <w:rPr>
                <w:sz w:val="20"/>
                <w:szCs w:val="20"/>
                <w:color w:val="auto"/>
              </w:rPr>
            </w:pPr>
            <w:r>
              <w:rPr>
                <w:rFonts w:ascii="Arial" w:cs="Arial" w:eastAsia="Arial" w:hAnsi="Arial"/>
                <w:sz w:val="14"/>
                <w:szCs w:val="14"/>
                <w:b w:val="1"/>
                <w:bCs w:val="1"/>
                <w:color w:val="FFFFFF"/>
              </w:rPr>
              <w:t>Nominating</w:t>
            </w:r>
          </w:p>
        </w:tc>
        <w:tc>
          <w:tcPr>
            <w:tcW w:w="920" w:type="dxa"/>
            <w:vAlign w:val="bottom"/>
            <w:tcBorders>
              <w:bottom w:val="single" w:sz="8" w:color="231161"/>
              <w:right w:val="single" w:sz="8" w:color="231161"/>
            </w:tcBorders>
            <w:shd w:val="clear" w:color="auto" w:fill="231161"/>
          </w:tcPr>
          <w:p>
            <w:pPr>
              <w:jc w:val="center"/>
              <w:ind w:left="148"/>
              <w:spacing w:after="0"/>
              <w:rPr>
                <w:sz w:val="20"/>
                <w:szCs w:val="20"/>
                <w:color w:val="auto"/>
              </w:rPr>
            </w:pPr>
            <w:r>
              <w:rPr>
                <w:rFonts w:ascii="Arial" w:cs="Arial" w:eastAsia="Arial" w:hAnsi="Arial"/>
                <w:sz w:val="14"/>
                <w:szCs w:val="14"/>
                <w:b w:val="1"/>
                <w:bCs w:val="1"/>
                <w:color w:val="FFFFFF"/>
              </w:rPr>
              <w:t>Oversight</w:t>
            </w:r>
          </w:p>
        </w:tc>
        <w:tc>
          <w:tcPr>
            <w:tcW w:w="900" w:type="dxa"/>
            <w:vAlign w:val="bottom"/>
            <w:tcBorders>
              <w:bottom w:val="single" w:sz="8" w:color="231161"/>
            </w:tcBorders>
            <w:shd w:val="clear" w:color="auto" w:fill="231161"/>
          </w:tcPr>
          <w:p>
            <w:pPr>
              <w:jc w:val="center"/>
              <w:spacing w:after="0"/>
              <w:rPr>
                <w:sz w:val="20"/>
                <w:szCs w:val="20"/>
                <w:color w:val="auto"/>
              </w:rPr>
            </w:pPr>
            <w:r>
              <w:rPr>
                <w:rFonts w:ascii="Arial" w:cs="Arial" w:eastAsia="Arial" w:hAnsi="Arial"/>
                <w:sz w:val="14"/>
                <w:szCs w:val="14"/>
                <w:b w:val="1"/>
                <w:bCs w:val="1"/>
                <w:color w:val="FFFFFF"/>
              </w:rPr>
              <w:t>Technology</w:t>
            </w:r>
          </w:p>
        </w:tc>
      </w:tr>
      <w:tr>
        <w:trPr>
          <w:trHeight w:val="176"/>
        </w:trPr>
        <w:tc>
          <w:tcPr>
            <w:tcW w:w="3380" w:type="dxa"/>
            <w:vAlign w:val="bottom"/>
            <w:tcBorders>
              <w:right w:val="single" w:sz="8" w:color="732282"/>
            </w:tcBorders>
            <w:shd w:val="clear" w:color="auto" w:fill="E5E5E5"/>
          </w:tcPr>
          <w:p>
            <w:pPr>
              <w:spacing w:after="0"/>
              <w:rPr>
                <w:sz w:val="20"/>
                <w:szCs w:val="20"/>
                <w:color w:val="auto"/>
              </w:rPr>
            </w:pPr>
            <w:r>
              <w:rPr>
                <w:rFonts w:ascii="Arial" w:cs="Arial" w:eastAsia="Arial" w:hAnsi="Arial"/>
                <w:sz w:val="14"/>
                <w:szCs w:val="14"/>
                <w:color w:val="auto"/>
              </w:rPr>
              <w:t>W. Don Cornwell</w:t>
            </w:r>
          </w:p>
        </w:tc>
        <w:tc>
          <w:tcPr>
            <w:tcW w:w="640" w:type="dxa"/>
            <w:vAlign w:val="bottom"/>
            <w:tcBorders>
              <w:right w:val="single" w:sz="8" w:color="732282"/>
            </w:tcBorders>
            <w:shd w:val="clear" w:color="auto" w:fill="E5E5E5"/>
          </w:tcPr>
          <w:p>
            <w:pPr>
              <w:jc w:val="center"/>
              <w:ind w:left="128"/>
              <w:spacing w:after="0" w:line="141" w:lineRule="exact"/>
              <w:rPr>
                <w:sz w:val="20"/>
                <w:szCs w:val="20"/>
                <w:color w:val="auto"/>
              </w:rPr>
            </w:pPr>
            <w:r>
              <w:rPr>
                <w:rFonts w:ascii="MS PGothic" w:cs="MS PGothic" w:eastAsia="MS PGothic" w:hAnsi="MS PGothic"/>
                <w:sz w:val="14"/>
                <w:szCs w:val="14"/>
                <w:color w:val="auto"/>
                <w:w w:val="85"/>
              </w:rPr>
              <w:t>✓</w:t>
            </w:r>
          </w:p>
        </w:tc>
        <w:tc>
          <w:tcPr>
            <w:tcW w:w="1260" w:type="dxa"/>
            <w:vAlign w:val="bottom"/>
            <w:tcBorders>
              <w:right w:val="single" w:sz="8" w:color="732282"/>
            </w:tcBorders>
            <w:shd w:val="clear" w:color="auto" w:fill="E5E5E5"/>
          </w:tcPr>
          <w:p>
            <w:pPr>
              <w:spacing w:after="0"/>
              <w:rPr>
                <w:sz w:val="15"/>
                <w:szCs w:val="15"/>
                <w:color w:val="auto"/>
              </w:rPr>
            </w:pPr>
          </w:p>
        </w:tc>
        <w:tc>
          <w:tcPr>
            <w:tcW w:w="1080" w:type="dxa"/>
            <w:vAlign w:val="bottom"/>
            <w:tcBorders>
              <w:right w:val="single" w:sz="8" w:color="732282"/>
            </w:tcBorders>
            <w:shd w:val="clear" w:color="auto" w:fill="E5E5E5"/>
          </w:tcPr>
          <w:p>
            <w:pPr>
              <w:spacing w:after="0"/>
              <w:rPr>
                <w:sz w:val="15"/>
                <w:szCs w:val="15"/>
                <w:color w:val="auto"/>
              </w:rPr>
            </w:pPr>
          </w:p>
        </w:tc>
        <w:tc>
          <w:tcPr>
            <w:tcW w:w="940" w:type="dxa"/>
            <w:vAlign w:val="bottom"/>
            <w:tcBorders>
              <w:right w:val="single" w:sz="8" w:color="732282"/>
            </w:tcBorders>
            <w:shd w:val="clear" w:color="auto" w:fill="E5E5E5"/>
          </w:tcPr>
          <w:p>
            <w:pPr>
              <w:spacing w:after="0"/>
              <w:rPr>
                <w:sz w:val="15"/>
                <w:szCs w:val="15"/>
                <w:color w:val="auto"/>
              </w:rPr>
            </w:pPr>
          </w:p>
        </w:tc>
        <w:tc>
          <w:tcPr>
            <w:tcW w:w="800" w:type="dxa"/>
            <w:vAlign w:val="bottom"/>
            <w:tcBorders>
              <w:right w:val="single" w:sz="8" w:color="732282"/>
            </w:tcBorders>
            <w:shd w:val="clear" w:color="auto" w:fill="E5E5E5"/>
          </w:tcPr>
          <w:p>
            <w:pPr>
              <w:spacing w:after="0"/>
              <w:rPr>
                <w:sz w:val="15"/>
                <w:szCs w:val="15"/>
                <w:color w:val="auto"/>
              </w:rPr>
            </w:pPr>
          </w:p>
        </w:tc>
        <w:tc>
          <w:tcPr>
            <w:tcW w:w="1100" w:type="dxa"/>
            <w:vAlign w:val="bottom"/>
            <w:tcBorders>
              <w:right w:val="single" w:sz="8" w:color="732282"/>
            </w:tcBorders>
            <w:shd w:val="clear" w:color="auto" w:fill="E5E5E5"/>
          </w:tcPr>
          <w:p>
            <w:pPr>
              <w:spacing w:after="0"/>
              <w:rPr>
                <w:sz w:val="15"/>
                <w:szCs w:val="15"/>
                <w:color w:val="auto"/>
              </w:rPr>
            </w:pPr>
          </w:p>
        </w:tc>
        <w:tc>
          <w:tcPr>
            <w:tcW w:w="920" w:type="dxa"/>
            <w:vAlign w:val="bottom"/>
            <w:tcBorders>
              <w:right w:val="single" w:sz="8" w:color="732282"/>
            </w:tcBorders>
            <w:shd w:val="clear" w:color="auto" w:fill="E5E5E5"/>
          </w:tcPr>
          <w:p>
            <w:pPr>
              <w:jc w:val="center"/>
              <w:ind w:left="12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shd w:val="clear" w:color="auto" w:fill="E5E5E5"/>
          </w:tcPr>
          <w:p>
            <w:pPr>
              <w:spacing w:after="0"/>
              <w:rPr>
                <w:sz w:val="15"/>
                <w:szCs w:val="15"/>
                <w:color w:val="auto"/>
              </w:rPr>
            </w:pPr>
          </w:p>
        </w:tc>
      </w:tr>
      <w:tr>
        <w:trPr>
          <w:trHeight w:val="162"/>
        </w:trPr>
        <w:tc>
          <w:tcPr>
            <w:tcW w:w="3380" w:type="dxa"/>
            <w:vAlign w:val="bottom"/>
            <w:tcBorders>
              <w:right w:val="single" w:sz="8" w:color="732282"/>
            </w:tcBorders>
          </w:tcPr>
          <w:p>
            <w:pPr>
              <w:spacing w:after="0"/>
              <w:rPr>
                <w:sz w:val="20"/>
                <w:szCs w:val="20"/>
                <w:color w:val="auto"/>
              </w:rPr>
            </w:pPr>
            <w:r>
              <w:rPr>
                <w:rFonts w:ascii="Arial" w:cs="Arial" w:eastAsia="Arial" w:hAnsi="Arial"/>
                <w:sz w:val="14"/>
                <w:szCs w:val="14"/>
                <w:color w:val="auto"/>
              </w:rPr>
              <w:t>Robert J. Coury</w:t>
            </w:r>
          </w:p>
        </w:tc>
        <w:tc>
          <w:tcPr>
            <w:tcW w:w="640" w:type="dxa"/>
            <w:vAlign w:val="bottom"/>
            <w:tcBorders>
              <w:right w:val="single" w:sz="8" w:color="732282"/>
            </w:tcBorders>
          </w:tcPr>
          <w:p>
            <w:pPr>
              <w:spacing w:after="0"/>
              <w:rPr>
                <w:sz w:val="14"/>
                <w:szCs w:val="14"/>
                <w:color w:val="auto"/>
              </w:rPr>
            </w:pPr>
          </w:p>
        </w:tc>
        <w:tc>
          <w:tcPr>
            <w:tcW w:w="1260" w:type="dxa"/>
            <w:vAlign w:val="bottom"/>
            <w:tcBorders>
              <w:right w:val="single" w:sz="8" w:color="732282"/>
            </w:tcBorders>
          </w:tcPr>
          <w:p>
            <w:pPr>
              <w:spacing w:after="0"/>
              <w:rPr>
                <w:sz w:val="14"/>
                <w:szCs w:val="14"/>
                <w:color w:val="auto"/>
              </w:rPr>
            </w:pPr>
          </w:p>
        </w:tc>
        <w:tc>
          <w:tcPr>
            <w:tcW w:w="1080" w:type="dxa"/>
            <w:vAlign w:val="bottom"/>
            <w:tcBorders>
              <w:right w:val="single" w:sz="8" w:color="732282"/>
            </w:tcBorders>
          </w:tcPr>
          <w:p>
            <w:pPr>
              <w:spacing w:after="0"/>
              <w:rPr>
                <w:sz w:val="14"/>
                <w:szCs w:val="14"/>
                <w:color w:val="auto"/>
              </w:rPr>
            </w:pPr>
          </w:p>
        </w:tc>
        <w:tc>
          <w:tcPr>
            <w:tcW w:w="940" w:type="dxa"/>
            <w:vAlign w:val="bottom"/>
            <w:tcBorders>
              <w:right w:val="single" w:sz="8" w:color="732282"/>
            </w:tcBorders>
          </w:tcPr>
          <w:p>
            <w:pPr>
              <w:jc w:val="center"/>
              <w:ind w:left="128"/>
              <w:spacing w:after="0"/>
              <w:rPr>
                <w:sz w:val="20"/>
                <w:szCs w:val="20"/>
                <w:color w:val="auto"/>
              </w:rPr>
            </w:pPr>
            <w:r>
              <w:rPr>
                <w:rFonts w:ascii="Arial" w:cs="Arial" w:eastAsia="Arial" w:hAnsi="Arial"/>
                <w:sz w:val="14"/>
                <w:szCs w:val="14"/>
                <w:color w:val="auto"/>
              </w:rPr>
              <w:t>Chair</w:t>
            </w:r>
          </w:p>
        </w:tc>
        <w:tc>
          <w:tcPr>
            <w:tcW w:w="800" w:type="dxa"/>
            <w:vAlign w:val="bottom"/>
            <w:tcBorders>
              <w:right w:val="single" w:sz="8" w:color="732282"/>
            </w:tcBorders>
          </w:tcPr>
          <w:p>
            <w:pPr>
              <w:spacing w:after="0"/>
              <w:rPr>
                <w:sz w:val="14"/>
                <w:szCs w:val="14"/>
                <w:color w:val="auto"/>
              </w:rPr>
            </w:pPr>
          </w:p>
        </w:tc>
        <w:tc>
          <w:tcPr>
            <w:tcW w:w="1100" w:type="dxa"/>
            <w:vAlign w:val="bottom"/>
            <w:tcBorders>
              <w:right w:val="single" w:sz="8" w:color="732282"/>
            </w:tcBorders>
          </w:tcPr>
          <w:p>
            <w:pPr>
              <w:spacing w:after="0"/>
              <w:rPr>
                <w:sz w:val="14"/>
                <w:szCs w:val="14"/>
                <w:color w:val="auto"/>
              </w:rPr>
            </w:pPr>
          </w:p>
        </w:tc>
        <w:tc>
          <w:tcPr>
            <w:tcW w:w="920" w:type="dxa"/>
            <w:vAlign w:val="bottom"/>
            <w:tcBorders>
              <w:right w:val="single" w:sz="8" w:color="732282"/>
            </w:tcBorders>
          </w:tcPr>
          <w:p>
            <w:pPr>
              <w:spacing w:after="0"/>
              <w:rPr>
                <w:sz w:val="14"/>
                <w:szCs w:val="14"/>
                <w:color w:val="auto"/>
              </w:rPr>
            </w:pPr>
          </w:p>
        </w:tc>
        <w:tc>
          <w:tcPr>
            <w:tcW w:w="900" w:type="dxa"/>
            <w:vAlign w:val="bottom"/>
          </w:tcPr>
          <w:p>
            <w:pPr>
              <w:spacing w:after="0"/>
              <w:rPr>
                <w:sz w:val="14"/>
                <w:szCs w:val="14"/>
                <w:color w:val="auto"/>
              </w:rPr>
            </w:pPr>
          </w:p>
        </w:tc>
      </w:tr>
      <w:tr>
        <w:trPr>
          <w:trHeight w:val="175"/>
        </w:trPr>
        <w:tc>
          <w:tcPr>
            <w:tcW w:w="3380" w:type="dxa"/>
            <w:vAlign w:val="bottom"/>
            <w:tcBorders>
              <w:right w:val="single" w:sz="8" w:color="732282"/>
            </w:tcBorders>
            <w:shd w:val="clear" w:color="auto" w:fill="E5E5E5"/>
          </w:tcPr>
          <w:p>
            <w:pPr>
              <w:spacing w:after="0"/>
              <w:rPr>
                <w:sz w:val="20"/>
                <w:szCs w:val="20"/>
                <w:color w:val="auto"/>
              </w:rPr>
            </w:pPr>
            <w:r>
              <w:rPr>
                <w:rFonts w:ascii="Arial" w:cs="Arial" w:eastAsia="Arial" w:hAnsi="Arial"/>
                <w:sz w:val="14"/>
                <w:szCs w:val="14"/>
                <w:color w:val="auto"/>
              </w:rPr>
              <w:t>JoEllen Lyons Dillon</w:t>
            </w:r>
          </w:p>
        </w:tc>
        <w:tc>
          <w:tcPr>
            <w:tcW w:w="640" w:type="dxa"/>
            <w:vAlign w:val="bottom"/>
            <w:tcBorders>
              <w:right w:val="single" w:sz="8" w:color="732282"/>
            </w:tcBorders>
            <w:shd w:val="clear" w:color="auto" w:fill="E5E5E5"/>
          </w:tcPr>
          <w:p>
            <w:pPr>
              <w:jc w:val="center"/>
              <w:ind w:left="128"/>
              <w:spacing w:after="0" w:line="141" w:lineRule="exact"/>
              <w:rPr>
                <w:sz w:val="20"/>
                <w:szCs w:val="20"/>
                <w:color w:val="auto"/>
              </w:rPr>
            </w:pPr>
            <w:r>
              <w:rPr>
                <w:rFonts w:ascii="MS PGothic" w:cs="MS PGothic" w:eastAsia="MS PGothic" w:hAnsi="MS PGothic"/>
                <w:sz w:val="14"/>
                <w:szCs w:val="14"/>
                <w:color w:val="auto"/>
                <w:w w:val="85"/>
              </w:rPr>
              <w:t>✓</w:t>
            </w:r>
          </w:p>
        </w:tc>
        <w:tc>
          <w:tcPr>
            <w:tcW w:w="1260" w:type="dxa"/>
            <w:vAlign w:val="bottom"/>
            <w:tcBorders>
              <w:right w:val="single" w:sz="8" w:color="732282"/>
            </w:tcBorders>
            <w:shd w:val="clear" w:color="auto" w:fill="E5E5E5"/>
          </w:tcPr>
          <w:p>
            <w:pPr>
              <w:spacing w:after="0"/>
              <w:rPr>
                <w:sz w:val="15"/>
                <w:szCs w:val="15"/>
                <w:color w:val="auto"/>
              </w:rPr>
            </w:pPr>
          </w:p>
        </w:tc>
        <w:tc>
          <w:tcPr>
            <w:tcW w:w="1080" w:type="dxa"/>
            <w:vAlign w:val="bottom"/>
            <w:tcBorders>
              <w:right w:val="single" w:sz="8" w:color="732282"/>
            </w:tcBorders>
            <w:shd w:val="clear" w:color="auto" w:fill="E5E5E5"/>
          </w:tcPr>
          <w:p>
            <w:pPr>
              <w:jc w:val="center"/>
              <w:ind w:left="128"/>
              <w:spacing w:after="0" w:line="141" w:lineRule="exact"/>
              <w:rPr>
                <w:sz w:val="20"/>
                <w:szCs w:val="20"/>
                <w:color w:val="auto"/>
              </w:rPr>
            </w:pPr>
            <w:r>
              <w:rPr>
                <w:rFonts w:ascii="MS PGothic" w:cs="MS PGothic" w:eastAsia="MS PGothic" w:hAnsi="MS PGothic"/>
                <w:sz w:val="14"/>
                <w:szCs w:val="14"/>
                <w:color w:val="auto"/>
                <w:w w:val="85"/>
              </w:rPr>
              <w:t>✓</w:t>
            </w:r>
          </w:p>
        </w:tc>
        <w:tc>
          <w:tcPr>
            <w:tcW w:w="940" w:type="dxa"/>
            <w:vAlign w:val="bottom"/>
            <w:tcBorders>
              <w:right w:val="single" w:sz="8" w:color="732282"/>
            </w:tcBorders>
            <w:shd w:val="clear" w:color="auto" w:fill="E5E5E5"/>
          </w:tcPr>
          <w:p>
            <w:pPr>
              <w:jc w:val="center"/>
              <w:ind w:left="148"/>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Borders>
              <w:right w:val="single" w:sz="8" w:color="732282"/>
            </w:tcBorders>
            <w:shd w:val="clear" w:color="auto" w:fill="E5E5E5"/>
          </w:tcPr>
          <w:p>
            <w:pPr>
              <w:spacing w:after="0"/>
              <w:rPr>
                <w:sz w:val="15"/>
                <w:szCs w:val="15"/>
                <w:color w:val="auto"/>
              </w:rPr>
            </w:pPr>
          </w:p>
        </w:tc>
        <w:tc>
          <w:tcPr>
            <w:tcW w:w="1100" w:type="dxa"/>
            <w:vAlign w:val="bottom"/>
            <w:tcBorders>
              <w:right w:val="single" w:sz="8" w:color="732282"/>
            </w:tcBorders>
            <w:shd w:val="clear" w:color="auto" w:fill="E5E5E5"/>
          </w:tcPr>
          <w:p>
            <w:pPr>
              <w:jc w:val="center"/>
              <w:ind w:left="128"/>
              <w:spacing w:after="0"/>
              <w:rPr>
                <w:sz w:val="20"/>
                <w:szCs w:val="20"/>
                <w:color w:val="auto"/>
              </w:rPr>
            </w:pPr>
            <w:r>
              <w:rPr>
                <w:rFonts w:ascii="Arial" w:cs="Arial" w:eastAsia="Arial" w:hAnsi="Arial"/>
                <w:sz w:val="14"/>
                <w:szCs w:val="14"/>
                <w:color w:val="auto"/>
              </w:rPr>
              <w:t>Chair</w:t>
            </w:r>
          </w:p>
        </w:tc>
        <w:tc>
          <w:tcPr>
            <w:tcW w:w="920" w:type="dxa"/>
            <w:vAlign w:val="bottom"/>
            <w:tcBorders>
              <w:right w:val="single" w:sz="8" w:color="732282"/>
            </w:tcBorders>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r>
      <w:tr>
        <w:trPr>
          <w:trHeight w:val="175"/>
        </w:trPr>
        <w:tc>
          <w:tcPr>
            <w:tcW w:w="3380" w:type="dxa"/>
            <w:vAlign w:val="bottom"/>
            <w:tcBorders>
              <w:right w:val="single" w:sz="8" w:color="732282"/>
            </w:tcBorders>
          </w:tcPr>
          <w:p>
            <w:pPr>
              <w:spacing w:after="0"/>
              <w:rPr>
                <w:sz w:val="20"/>
                <w:szCs w:val="20"/>
                <w:color w:val="auto"/>
              </w:rPr>
            </w:pPr>
            <w:r>
              <w:rPr>
                <w:rFonts w:ascii="Arial" w:cs="Arial" w:eastAsia="Arial" w:hAnsi="Arial"/>
                <w:sz w:val="14"/>
                <w:szCs w:val="14"/>
                <w:color w:val="auto"/>
              </w:rPr>
              <w:t>Neil Dimick</w:t>
            </w:r>
          </w:p>
        </w:tc>
        <w:tc>
          <w:tcPr>
            <w:tcW w:w="640" w:type="dxa"/>
            <w:vAlign w:val="bottom"/>
            <w:tcBorders>
              <w:right w:val="single" w:sz="8" w:color="732282"/>
            </w:tcBorders>
          </w:tcPr>
          <w:p>
            <w:pPr>
              <w:ind w:left="260"/>
              <w:spacing w:after="0"/>
              <w:rPr>
                <w:sz w:val="20"/>
                <w:szCs w:val="20"/>
                <w:color w:val="auto"/>
              </w:rPr>
            </w:pPr>
            <w:r>
              <w:rPr>
                <w:rFonts w:ascii="Arial" w:cs="Arial" w:eastAsia="Arial" w:hAnsi="Arial"/>
                <w:sz w:val="14"/>
                <w:szCs w:val="14"/>
                <w:color w:val="auto"/>
              </w:rPr>
              <w:t>Chair</w:t>
            </w:r>
          </w:p>
        </w:tc>
        <w:tc>
          <w:tcPr>
            <w:tcW w:w="1260" w:type="dxa"/>
            <w:vAlign w:val="bottom"/>
            <w:tcBorders>
              <w:right w:val="single" w:sz="8" w:color="732282"/>
            </w:tcBorders>
          </w:tcPr>
          <w:p>
            <w:pPr>
              <w:jc w:val="center"/>
              <w:ind w:left="148"/>
              <w:spacing w:after="0" w:line="141" w:lineRule="exact"/>
              <w:rPr>
                <w:sz w:val="20"/>
                <w:szCs w:val="20"/>
                <w:color w:val="auto"/>
              </w:rPr>
            </w:pPr>
            <w:r>
              <w:rPr>
                <w:rFonts w:ascii="MS PGothic" w:cs="MS PGothic" w:eastAsia="MS PGothic" w:hAnsi="MS PGothic"/>
                <w:sz w:val="14"/>
                <w:szCs w:val="14"/>
                <w:color w:val="auto"/>
                <w:w w:val="85"/>
              </w:rPr>
              <w:t>✓</w:t>
            </w:r>
          </w:p>
        </w:tc>
        <w:tc>
          <w:tcPr>
            <w:tcW w:w="1080" w:type="dxa"/>
            <w:vAlign w:val="bottom"/>
            <w:tcBorders>
              <w:right w:val="single" w:sz="8" w:color="732282"/>
            </w:tcBorders>
          </w:tcPr>
          <w:p>
            <w:pPr>
              <w:spacing w:after="0"/>
              <w:rPr>
                <w:sz w:val="15"/>
                <w:szCs w:val="15"/>
                <w:color w:val="auto"/>
              </w:rPr>
            </w:pPr>
          </w:p>
        </w:tc>
        <w:tc>
          <w:tcPr>
            <w:tcW w:w="940" w:type="dxa"/>
            <w:vAlign w:val="bottom"/>
            <w:tcBorders>
              <w:right w:val="single" w:sz="8" w:color="732282"/>
            </w:tcBorders>
          </w:tcPr>
          <w:p>
            <w:pPr>
              <w:jc w:val="center"/>
              <w:ind w:left="148"/>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Borders>
              <w:right w:val="single" w:sz="8" w:color="732282"/>
            </w:tcBorders>
          </w:tcPr>
          <w:p>
            <w:pPr>
              <w:jc w:val="center"/>
              <w:ind w:left="128"/>
              <w:spacing w:after="0" w:line="141" w:lineRule="exact"/>
              <w:rPr>
                <w:sz w:val="20"/>
                <w:szCs w:val="20"/>
                <w:color w:val="auto"/>
              </w:rPr>
            </w:pPr>
            <w:r>
              <w:rPr>
                <w:rFonts w:ascii="MS PGothic" w:cs="MS PGothic" w:eastAsia="MS PGothic" w:hAnsi="MS PGothic"/>
                <w:sz w:val="14"/>
                <w:szCs w:val="14"/>
                <w:color w:val="auto"/>
                <w:w w:val="85"/>
              </w:rPr>
              <w:t>✓</w:t>
            </w:r>
          </w:p>
        </w:tc>
        <w:tc>
          <w:tcPr>
            <w:tcW w:w="1100" w:type="dxa"/>
            <w:vAlign w:val="bottom"/>
            <w:tcBorders>
              <w:right w:val="single" w:sz="8" w:color="732282"/>
            </w:tcBorders>
          </w:tcPr>
          <w:p>
            <w:pPr>
              <w:spacing w:after="0"/>
              <w:rPr>
                <w:sz w:val="15"/>
                <w:szCs w:val="15"/>
                <w:color w:val="auto"/>
              </w:rPr>
            </w:pPr>
          </w:p>
        </w:tc>
        <w:tc>
          <w:tcPr>
            <w:tcW w:w="920" w:type="dxa"/>
            <w:vAlign w:val="bottom"/>
            <w:tcBorders>
              <w:right w:val="single" w:sz="8" w:color="732282"/>
            </w:tcBorders>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380" w:type="dxa"/>
            <w:vAlign w:val="bottom"/>
            <w:tcBorders>
              <w:right w:val="single" w:sz="8" w:color="732282"/>
            </w:tcBorders>
            <w:shd w:val="clear" w:color="auto" w:fill="E5E5E5"/>
          </w:tcPr>
          <w:p>
            <w:pPr>
              <w:spacing w:after="0"/>
              <w:rPr>
                <w:sz w:val="20"/>
                <w:szCs w:val="20"/>
                <w:color w:val="auto"/>
              </w:rPr>
            </w:pPr>
            <w:r>
              <w:rPr>
                <w:rFonts w:ascii="Arial" w:cs="Arial" w:eastAsia="Arial" w:hAnsi="Arial"/>
                <w:sz w:val="14"/>
                <w:szCs w:val="14"/>
                <w:color w:val="auto"/>
              </w:rPr>
              <w:t>Michael Goettler</w:t>
            </w:r>
          </w:p>
        </w:tc>
        <w:tc>
          <w:tcPr>
            <w:tcW w:w="640" w:type="dxa"/>
            <w:vAlign w:val="bottom"/>
            <w:tcBorders>
              <w:right w:val="single" w:sz="8" w:color="732282"/>
            </w:tcBorders>
            <w:shd w:val="clear" w:color="auto" w:fill="E5E5E5"/>
          </w:tcPr>
          <w:p>
            <w:pPr>
              <w:spacing w:after="0"/>
              <w:rPr>
                <w:sz w:val="15"/>
                <w:szCs w:val="15"/>
                <w:color w:val="auto"/>
              </w:rPr>
            </w:pPr>
          </w:p>
        </w:tc>
        <w:tc>
          <w:tcPr>
            <w:tcW w:w="1260" w:type="dxa"/>
            <w:vAlign w:val="bottom"/>
            <w:tcBorders>
              <w:right w:val="single" w:sz="8" w:color="732282"/>
            </w:tcBorders>
            <w:shd w:val="clear" w:color="auto" w:fill="E5E5E5"/>
          </w:tcPr>
          <w:p>
            <w:pPr>
              <w:spacing w:after="0"/>
              <w:rPr>
                <w:sz w:val="15"/>
                <w:szCs w:val="15"/>
                <w:color w:val="auto"/>
              </w:rPr>
            </w:pPr>
          </w:p>
        </w:tc>
        <w:tc>
          <w:tcPr>
            <w:tcW w:w="1080" w:type="dxa"/>
            <w:vAlign w:val="bottom"/>
            <w:tcBorders>
              <w:right w:val="single" w:sz="8" w:color="732282"/>
            </w:tcBorders>
            <w:shd w:val="clear" w:color="auto" w:fill="E5E5E5"/>
          </w:tcPr>
          <w:p>
            <w:pPr>
              <w:spacing w:after="0"/>
              <w:rPr>
                <w:sz w:val="15"/>
                <w:szCs w:val="15"/>
                <w:color w:val="auto"/>
              </w:rPr>
            </w:pPr>
          </w:p>
        </w:tc>
        <w:tc>
          <w:tcPr>
            <w:tcW w:w="940" w:type="dxa"/>
            <w:vAlign w:val="bottom"/>
            <w:tcBorders>
              <w:right w:val="single" w:sz="8" w:color="732282"/>
            </w:tcBorders>
            <w:shd w:val="clear" w:color="auto" w:fill="E5E5E5"/>
          </w:tcPr>
          <w:p>
            <w:pPr>
              <w:spacing w:after="0"/>
              <w:rPr>
                <w:sz w:val="15"/>
                <w:szCs w:val="15"/>
                <w:color w:val="auto"/>
              </w:rPr>
            </w:pPr>
          </w:p>
        </w:tc>
        <w:tc>
          <w:tcPr>
            <w:tcW w:w="800" w:type="dxa"/>
            <w:vAlign w:val="bottom"/>
            <w:tcBorders>
              <w:right w:val="single" w:sz="8" w:color="732282"/>
            </w:tcBorders>
            <w:shd w:val="clear" w:color="auto" w:fill="E5E5E5"/>
          </w:tcPr>
          <w:p>
            <w:pPr>
              <w:spacing w:after="0"/>
              <w:rPr>
                <w:sz w:val="15"/>
                <w:szCs w:val="15"/>
                <w:color w:val="auto"/>
              </w:rPr>
            </w:pPr>
          </w:p>
        </w:tc>
        <w:tc>
          <w:tcPr>
            <w:tcW w:w="1100" w:type="dxa"/>
            <w:vAlign w:val="bottom"/>
            <w:tcBorders>
              <w:right w:val="single" w:sz="8" w:color="732282"/>
            </w:tcBorders>
            <w:shd w:val="clear" w:color="auto" w:fill="E5E5E5"/>
          </w:tcPr>
          <w:p>
            <w:pPr>
              <w:spacing w:after="0"/>
              <w:rPr>
                <w:sz w:val="15"/>
                <w:szCs w:val="15"/>
                <w:color w:val="auto"/>
              </w:rPr>
            </w:pPr>
          </w:p>
        </w:tc>
        <w:tc>
          <w:tcPr>
            <w:tcW w:w="920" w:type="dxa"/>
            <w:vAlign w:val="bottom"/>
            <w:tcBorders>
              <w:right w:val="single" w:sz="8" w:color="732282"/>
            </w:tcBorders>
            <w:shd w:val="clear" w:color="auto" w:fill="E5E5E5"/>
          </w:tcPr>
          <w:p>
            <w:pPr>
              <w:spacing w:after="0"/>
              <w:rPr>
                <w:sz w:val="15"/>
                <w:szCs w:val="15"/>
                <w:color w:val="auto"/>
              </w:rPr>
            </w:pPr>
          </w:p>
        </w:tc>
        <w:tc>
          <w:tcPr>
            <w:tcW w:w="900" w:type="dxa"/>
            <w:vAlign w:val="bottom"/>
            <w:shd w:val="clear" w:color="auto" w:fill="E5E5E5"/>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3380" w:type="dxa"/>
            <w:vAlign w:val="bottom"/>
            <w:tcBorders>
              <w:right w:val="single" w:sz="8" w:color="732282"/>
            </w:tcBorders>
          </w:tcPr>
          <w:p>
            <w:pPr>
              <w:spacing w:after="0"/>
              <w:rPr>
                <w:sz w:val="20"/>
                <w:szCs w:val="20"/>
                <w:color w:val="auto"/>
              </w:rPr>
            </w:pPr>
            <w:r>
              <w:rPr>
                <w:rFonts w:ascii="Arial" w:cs="Arial" w:eastAsia="Arial" w:hAnsi="Arial"/>
                <w:sz w:val="14"/>
                <w:szCs w:val="14"/>
                <w:color w:val="auto"/>
              </w:rPr>
              <w:t>Melina Higgins</w:t>
            </w:r>
          </w:p>
        </w:tc>
        <w:tc>
          <w:tcPr>
            <w:tcW w:w="640" w:type="dxa"/>
            <w:vAlign w:val="bottom"/>
            <w:tcBorders>
              <w:right w:val="single" w:sz="8" w:color="732282"/>
            </w:tcBorders>
          </w:tcPr>
          <w:p>
            <w:pPr>
              <w:spacing w:after="0"/>
              <w:rPr>
                <w:sz w:val="15"/>
                <w:szCs w:val="15"/>
                <w:color w:val="auto"/>
              </w:rPr>
            </w:pPr>
          </w:p>
        </w:tc>
        <w:tc>
          <w:tcPr>
            <w:tcW w:w="1260" w:type="dxa"/>
            <w:vAlign w:val="bottom"/>
            <w:tcBorders>
              <w:right w:val="single" w:sz="8" w:color="732282"/>
            </w:tcBorders>
          </w:tcPr>
          <w:p>
            <w:pPr>
              <w:jc w:val="center"/>
              <w:ind w:left="128"/>
              <w:spacing w:after="0"/>
              <w:rPr>
                <w:sz w:val="20"/>
                <w:szCs w:val="20"/>
                <w:color w:val="auto"/>
              </w:rPr>
            </w:pPr>
            <w:r>
              <w:rPr>
                <w:rFonts w:ascii="Arial" w:cs="Arial" w:eastAsia="Arial" w:hAnsi="Arial"/>
                <w:sz w:val="14"/>
                <w:szCs w:val="14"/>
                <w:color w:val="auto"/>
              </w:rPr>
              <w:t>Chair</w:t>
            </w:r>
          </w:p>
        </w:tc>
        <w:tc>
          <w:tcPr>
            <w:tcW w:w="1080" w:type="dxa"/>
            <w:vAlign w:val="bottom"/>
            <w:tcBorders>
              <w:right w:val="single" w:sz="8" w:color="732282"/>
            </w:tcBorders>
          </w:tcPr>
          <w:p>
            <w:pPr>
              <w:spacing w:after="0"/>
              <w:rPr>
                <w:sz w:val="15"/>
                <w:szCs w:val="15"/>
                <w:color w:val="auto"/>
              </w:rPr>
            </w:pPr>
          </w:p>
        </w:tc>
        <w:tc>
          <w:tcPr>
            <w:tcW w:w="940" w:type="dxa"/>
            <w:vAlign w:val="bottom"/>
            <w:tcBorders>
              <w:right w:val="single" w:sz="8" w:color="732282"/>
            </w:tcBorders>
          </w:tcPr>
          <w:p>
            <w:pPr>
              <w:jc w:val="center"/>
              <w:ind w:left="148"/>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Borders>
              <w:right w:val="single" w:sz="8" w:color="732282"/>
            </w:tcBorders>
          </w:tcPr>
          <w:p>
            <w:pPr>
              <w:jc w:val="center"/>
              <w:ind w:left="148"/>
              <w:spacing w:after="0"/>
              <w:rPr>
                <w:sz w:val="20"/>
                <w:szCs w:val="20"/>
                <w:color w:val="auto"/>
              </w:rPr>
            </w:pPr>
            <w:r>
              <w:rPr>
                <w:rFonts w:ascii="Arial" w:cs="Arial" w:eastAsia="Arial" w:hAnsi="Arial"/>
                <w:sz w:val="14"/>
                <w:szCs w:val="14"/>
                <w:color w:val="auto"/>
              </w:rPr>
              <w:t>Chair</w:t>
            </w:r>
          </w:p>
        </w:tc>
        <w:tc>
          <w:tcPr>
            <w:tcW w:w="1100" w:type="dxa"/>
            <w:vAlign w:val="bottom"/>
            <w:tcBorders>
              <w:right w:val="single" w:sz="8" w:color="732282"/>
            </w:tcBorders>
          </w:tcPr>
          <w:p>
            <w:pPr>
              <w:jc w:val="center"/>
              <w:ind w:left="148"/>
              <w:spacing w:after="0" w:line="141" w:lineRule="exact"/>
              <w:rPr>
                <w:sz w:val="20"/>
                <w:szCs w:val="20"/>
                <w:color w:val="auto"/>
              </w:rPr>
            </w:pPr>
            <w:r>
              <w:rPr>
                <w:rFonts w:ascii="MS PGothic" w:cs="MS PGothic" w:eastAsia="MS PGothic" w:hAnsi="MS PGothic"/>
                <w:sz w:val="14"/>
                <w:szCs w:val="14"/>
                <w:color w:val="auto"/>
                <w:w w:val="85"/>
              </w:rPr>
              <w:t>✓</w:t>
            </w:r>
          </w:p>
        </w:tc>
        <w:tc>
          <w:tcPr>
            <w:tcW w:w="920" w:type="dxa"/>
            <w:vAlign w:val="bottom"/>
            <w:tcBorders>
              <w:right w:val="single" w:sz="8" w:color="732282"/>
            </w:tcBorders>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380" w:type="dxa"/>
            <w:vAlign w:val="bottom"/>
            <w:tcBorders>
              <w:right w:val="single" w:sz="8" w:color="732282"/>
            </w:tcBorders>
            <w:shd w:val="clear" w:color="auto" w:fill="E5E5E5"/>
          </w:tcPr>
          <w:p>
            <w:pPr>
              <w:spacing w:after="0"/>
              <w:rPr>
                <w:sz w:val="20"/>
                <w:szCs w:val="20"/>
                <w:color w:val="auto"/>
              </w:rPr>
            </w:pPr>
            <w:r>
              <w:rPr>
                <w:rFonts w:ascii="Arial" w:cs="Arial" w:eastAsia="Arial" w:hAnsi="Arial"/>
                <w:sz w:val="14"/>
                <w:szCs w:val="14"/>
                <w:color w:val="auto"/>
              </w:rPr>
              <w:t>Harry A. Korman</w:t>
            </w:r>
          </w:p>
        </w:tc>
        <w:tc>
          <w:tcPr>
            <w:tcW w:w="640" w:type="dxa"/>
            <w:vAlign w:val="bottom"/>
            <w:tcBorders>
              <w:right w:val="single" w:sz="8" w:color="732282"/>
            </w:tcBorders>
            <w:shd w:val="clear" w:color="auto" w:fill="E5E5E5"/>
          </w:tcPr>
          <w:p>
            <w:pPr>
              <w:spacing w:after="0"/>
              <w:rPr>
                <w:sz w:val="15"/>
                <w:szCs w:val="15"/>
                <w:color w:val="auto"/>
              </w:rPr>
            </w:pPr>
          </w:p>
        </w:tc>
        <w:tc>
          <w:tcPr>
            <w:tcW w:w="1260" w:type="dxa"/>
            <w:vAlign w:val="bottom"/>
            <w:tcBorders>
              <w:right w:val="single" w:sz="8" w:color="732282"/>
            </w:tcBorders>
            <w:shd w:val="clear" w:color="auto" w:fill="E5E5E5"/>
          </w:tcPr>
          <w:p>
            <w:pPr>
              <w:spacing w:after="0"/>
              <w:rPr>
                <w:sz w:val="15"/>
                <w:szCs w:val="15"/>
                <w:color w:val="auto"/>
              </w:rPr>
            </w:pPr>
          </w:p>
        </w:tc>
        <w:tc>
          <w:tcPr>
            <w:tcW w:w="1080" w:type="dxa"/>
            <w:vAlign w:val="bottom"/>
            <w:tcBorders>
              <w:right w:val="single" w:sz="8" w:color="732282"/>
            </w:tcBorders>
            <w:shd w:val="clear" w:color="auto" w:fill="E5E5E5"/>
          </w:tcPr>
          <w:p>
            <w:pPr>
              <w:jc w:val="center"/>
              <w:ind w:left="128"/>
              <w:spacing w:after="0" w:line="141" w:lineRule="exact"/>
              <w:rPr>
                <w:sz w:val="20"/>
                <w:szCs w:val="20"/>
                <w:color w:val="auto"/>
              </w:rPr>
            </w:pPr>
            <w:r>
              <w:rPr>
                <w:rFonts w:ascii="MS PGothic" w:cs="MS PGothic" w:eastAsia="MS PGothic" w:hAnsi="MS PGothic"/>
                <w:sz w:val="14"/>
                <w:szCs w:val="14"/>
                <w:color w:val="auto"/>
                <w:w w:val="85"/>
              </w:rPr>
              <w:t>✓</w:t>
            </w:r>
          </w:p>
        </w:tc>
        <w:tc>
          <w:tcPr>
            <w:tcW w:w="940" w:type="dxa"/>
            <w:vAlign w:val="bottom"/>
            <w:tcBorders>
              <w:right w:val="single" w:sz="8" w:color="732282"/>
            </w:tcBorders>
            <w:shd w:val="clear" w:color="auto" w:fill="E5E5E5"/>
          </w:tcPr>
          <w:p>
            <w:pPr>
              <w:spacing w:after="0"/>
              <w:rPr>
                <w:sz w:val="15"/>
                <w:szCs w:val="15"/>
                <w:color w:val="auto"/>
              </w:rPr>
            </w:pPr>
          </w:p>
        </w:tc>
        <w:tc>
          <w:tcPr>
            <w:tcW w:w="800" w:type="dxa"/>
            <w:vAlign w:val="bottom"/>
            <w:tcBorders>
              <w:right w:val="single" w:sz="8" w:color="732282"/>
            </w:tcBorders>
            <w:shd w:val="clear" w:color="auto" w:fill="E5E5E5"/>
          </w:tcPr>
          <w:p>
            <w:pPr>
              <w:spacing w:after="0"/>
              <w:rPr>
                <w:sz w:val="15"/>
                <w:szCs w:val="15"/>
                <w:color w:val="auto"/>
              </w:rPr>
            </w:pPr>
          </w:p>
        </w:tc>
        <w:tc>
          <w:tcPr>
            <w:tcW w:w="1100" w:type="dxa"/>
            <w:vAlign w:val="bottom"/>
            <w:tcBorders>
              <w:right w:val="single" w:sz="8" w:color="732282"/>
            </w:tcBorders>
            <w:shd w:val="clear" w:color="auto" w:fill="E5E5E5"/>
          </w:tcPr>
          <w:p>
            <w:pPr>
              <w:jc w:val="center"/>
              <w:ind w:left="148"/>
              <w:spacing w:after="0" w:line="141" w:lineRule="exact"/>
              <w:rPr>
                <w:sz w:val="20"/>
                <w:szCs w:val="20"/>
                <w:color w:val="auto"/>
              </w:rPr>
            </w:pPr>
            <w:r>
              <w:rPr>
                <w:rFonts w:ascii="MS PGothic" w:cs="MS PGothic" w:eastAsia="MS PGothic" w:hAnsi="MS PGothic"/>
                <w:sz w:val="14"/>
                <w:szCs w:val="14"/>
                <w:color w:val="auto"/>
                <w:w w:val="85"/>
              </w:rPr>
              <w:t>✓</w:t>
            </w:r>
          </w:p>
        </w:tc>
        <w:tc>
          <w:tcPr>
            <w:tcW w:w="920" w:type="dxa"/>
            <w:vAlign w:val="bottom"/>
            <w:tcBorders>
              <w:right w:val="single" w:sz="8" w:color="732282"/>
            </w:tcBorders>
            <w:shd w:val="clear" w:color="auto" w:fill="E5E5E5"/>
          </w:tcPr>
          <w:p>
            <w:pPr>
              <w:jc w:val="center"/>
              <w:ind w:left="148"/>
              <w:spacing w:after="0"/>
              <w:rPr>
                <w:sz w:val="20"/>
                <w:szCs w:val="20"/>
                <w:color w:val="auto"/>
              </w:rPr>
            </w:pPr>
            <w:r>
              <w:rPr>
                <w:rFonts w:ascii="Arial" w:cs="Arial" w:eastAsia="Arial" w:hAnsi="Arial"/>
                <w:sz w:val="14"/>
                <w:szCs w:val="14"/>
                <w:color w:val="auto"/>
              </w:rPr>
              <w:t>Chair</w:t>
            </w:r>
          </w:p>
        </w:tc>
        <w:tc>
          <w:tcPr>
            <w:tcW w:w="900" w:type="dxa"/>
            <w:vAlign w:val="bottom"/>
            <w:shd w:val="clear" w:color="auto" w:fill="E5E5E5"/>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3380" w:type="dxa"/>
            <w:vAlign w:val="bottom"/>
            <w:tcBorders>
              <w:right w:val="single" w:sz="8" w:color="732282"/>
            </w:tcBorders>
          </w:tcPr>
          <w:p>
            <w:pPr>
              <w:spacing w:after="0"/>
              <w:rPr>
                <w:sz w:val="20"/>
                <w:szCs w:val="20"/>
                <w:color w:val="auto"/>
              </w:rPr>
            </w:pPr>
            <w:r>
              <w:rPr>
                <w:rFonts w:ascii="Arial" w:cs="Arial" w:eastAsia="Arial" w:hAnsi="Arial"/>
                <w:sz w:val="14"/>
                <w:szCs w:val="14"/>
                <w:color w:val="auto"/>
              </w:rPr>
              <w:t>James M. Kilts</w:t>
            </w:r>
          </w:p>
        </w:tc>
        <w:tc>
          <w:tcPr>
            <w:tcW w:w="640" w:type="dxa"/>
            <w:vAlign w:val="bottom"/>
            <w:tcBorders>
              <w:right w:val="single" w:sz="8" w:color="732282"/>
            </w:tcBorders>
          </w:tcPr>
          <w:p>
            <w:pPr>
              <w:spacing w:after="0"/>
              <w:rPr>
                <w:sz w:val="15"/>
                <w:szCs w:val="15"/>
                <w:color w:val="auto"/>
              </w:rPr>
            </w:pPr>
          </w:p>
        </w:tc>
        <w:tc>
          <w:tcPr>
            <w:tcW w:w="1260" w:type="dxa"/>
            <w:vAlign w:val="bottom"/>
            <w:tcBorders>
              <w:right w:val="single" w:sz="8" w:color="732282"/>
            </w:tcBorders>
          </w:tcPr>
          <w:p>
            <w:pPr>
              <w:jc w:val="center"/>
              <w:ind w:left="148"/>
              <w:spacing w:after="0" w:line="141" w:lineRule="exact"/>
              <w:rPr>
                <w:sz w:val="20"/>
                <w:szCs w:val="20"/>
                <w:color w:val="auto"/>
              </w:rPr>
            </w:pPr>
            <w:r>
              <w:rPr>
                <w:rFonts w:ascii="MS PGothic" w:cs="MS PGothic" w:eastAsia="MS PGothic" w:hAnsi="MS PGothic"/>
                <w:sz w:val="14"/>
                <w:szCs w:val="14"/>
                <w:color w:val="auto"/>
                <w:w w:val="85"/>
              </w:rPr>
              <w:t>✓</w:t>
            </w:r>
          </w:p>
        </w:tc>
        <w:tc>
          <w:tcPr>
            <w:tcW w:w="1080" w:type="dxa"/>
            <w:vAlign w:val="bottom"/>
            <w:tcBorders>
              <w:right w:val="single" w:sz="8" w:color="732282"/>
            </w:tcBorders>
          </w:tcPr>
          <w:p>
            <w:pPr>
              <w:spacing w:after="0"/>
              <w:rPr>
                <w:sz w:val="15"/>
                <w:szCs w:val="15"/>
                <w:color w:val="auto"/>
              </w:rPr>
            </w:pPr>
          </w:p>
        </w:tc>
        <w:tc>
          <w:tcPr>
            <w:tcW w:w="940" w:type="dxa"/>
            <w:vAlign w:val="bottom"/>
            <w:tcBorders>
              <w:right w:val="single" w:sz="8" w:color="732282"/>
            </w:tcBorders>
          </w:tcPr>
          <w:p>
            <w:pPr>
              <w:spacing w:after="0"/>
              <w:rPr>
                <w:sz w:val="15"/>
                <w:szCs w:val="15"/>
                <w:color w:val="auto"/>
              </w:rPr>
            </w:pPr>
          </w:p>
        </w:tc>
        <w:tc>
          <w:tcPr>
            <w:tcW w:w="800" w:type="dxa"/>
            <w:vAlign w:val="bottom"/>
            <w:tcBorders>
              <w:right w:val="single" w:sz="8" w:color="732282"/>
            </w:tcBorders>
          </w:tcPr>
          <w:p>
            <w:pPr>
              <w:jc w:val="center"/>
              <w:ind w:left="128"/>
              <w:spacing w:after="0" w:line="141" w:lineRule="exact"/>
              <w:rPr>
                <w:sz w:val="20"/>
                <w:szCs w:val="20"/>
                <w:color w:val="auto"/>
              </w:rPr>
            </w:pPr>
            <w:r>
              <w:rPr>
                <w:rFonts w:ascii="MS PGothic" w:cs="MS PGothic" w:eastAsia="MS PGothic" w:hAnsi="MS PGothic"/>
                <w:sz w:val="14"/>
                <w:szCs w:val="14"/>
                <w:color w:val="auto"/>
                <w:w w:val="85"/>
              </w:rPr>
              <w:t>✓</w:t>
            </w:r>
          </w:p>
        </w:tc>
        <w:tc>
          <w:tcPr>
            <w:tcW w:w="1100" w:type="dxa"/>
            <w:vAlign w:val="bottom"/>
            <w:tcBorders>
              <w:right w:val="single" w:sz="8" w:color="732282"/>
            </w:tcBorders>
          </w:tcPr>
          <w:p>
            <w:pPr>
              <w:spacing w:after="0"/>
              <w:rPr>
                <w:sz w:val="15"/>
                <w:szCs w:val="15"/>
                <w:color w:val="auto"/>
              </w:rPr>
            </w:pPr>
          </w:p>
        </w:tc>
        <w:tc>
          <w:tcPr>
            <w:tcW w:w="920" w:type="dxa"/>
            <w:vAlign w:val="bottom"/>
            <w:tcBorders>
              <w:right w:val="single" w:sz="8" w:color="732282"/>
            </w:tcBorders>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380" w:type="dxa"/>
            <w:vAlign w:val="bottom"/>
            <w:tcBorders>
              <w:right w:val="single" w:sz="8" w:color="732282"/>
            </w:tcBorders>
            <w:shd w:val="clear" w:color="auto" w:fill="E5E5E5"/>
          </w:tcPr>
          <w:p>
            <w:pPr>
              <w:spacing w:after="0"/>
              <w:rPr>
                <w:sz w:val="20"/>
                <w:szCs w:val="20"/>
                <w:color w:val="auto"/>
              </w:rPr>
            </w:pPr>
            <w:r>
              <w:rPr>
                <w:rFonts w:ascii="Arial" w:cs="Arial" w:eastAsia="Arial" w:hAnsi="Arial"/>
                <w:sz w:val="14"/>
                <w:szCs w:val="14"/>
                <w:color w:val="auto"/>
              </w:rPr>
              <w:t>Rajiv Malik</w:t>
            </w:r>
          </w:p>
        </w:tc>
        <w:tc>
          <w:tcPr>
            <w:tcW w:w="640" w:type="dxa"/>
            <w:vAlign w:val="bottom"/>
            <w:tcBorders>
              <w:right w:val="single" w:sz="8" w:color="732282"/>
            </w:tcBorders>
            <w:shd w:val="clear" w:color="auto" w:fill="E5E5E5"/>
          </w:tcPr>
          <w:p>
            <w:pPr>
              <w:spacing w:after="0"/>
              <w:rPr>
                <w:sz w:val="15"/>
                <w:szCs w:val="15"/>
                <w:color w:val="auto"/>
              </w:rPr>
            </w:pPr>
          </w:p>
        </w:tc>
        <w:tc>
          <w:tcPr>
            <w:tcW w:w="1260" w:type="dxa"/>
            <w:vAlign w:val="bottom"/>
            <w:tcBorders>
              <w:right w:val="single" w:sz="8" w:color="732282"/>
            </w:tcBorders>
            <w:shd w:val="clear" w:color="auto" w:fill="E5E5E5"/>
          </w:tcPr>
          <w:p>
            <w:pPr>
              <w:spacing w:after="0"/>
              <w:rPr>
                <w:sz w:val="15"/>
                <w:szCs w:val="15"/>
                <w:color w:val="auto"/>
              </w:rPr>
            </w:pPr>
          </w:p>
        </w:tc>
        <w:tc>
          <w:tcPr>
            <w:tcW w:w="1080" w:type="dxa"/>
            <w:vAlign w:val="bottom"/>
            <w:tcBorders>
              <w:right w:val="single" w:sz="8" w:color="732282"/>
            </w:tcBorders>
            <w:shd w:val="clear" w:color="auto" w:fill="E5E5E5"/>
          </w:tcPr>
          <w:p>
            <w:pPr>
              <w:spacing w:after="0"/>
              <w:rPr>
                <w:sz w:val="15"/>
                <w:szCs w:val="15"/>
                <w:color w:val="auto"/>
              </w:rPr>
            </w:pPr>
          </w:p>
        </w:tc>
        <w:tc>
          <w:tcPr>
            <w:tcW w:w="940" w:type="dxa"/>
            <w:vAlign w:val="bottom"/>
            <w:tcBorders>
              <w:right w:val="single" w:sz="8" w:color="732282"/>
            </w:tcBorders>
            <w:shd w:val="clear" w:color="auto" w:fill="E5E5E5"/>
          </w:tcPr>
          <w:p>
            <w:pPr>
              <w:spacing w:after="0"/>
              <w:rPr>
                <w:sz w:val="15"/>
                <w:szCs w:val="15"/>
                <w:color w:val="auto"/>
              </w:rPr>
            </w:pPr>
          </w:p>
        </w:tc>
        <w:tc>
          <w:tcPr>
            <w:tcW w:w="800" w:type="dxa"/>
            <w:vAlign w:val="bottom"/>
            <w:tcBorders>
              <w:right w:val="single" w:sz="8" w:color="732282"/>
            </w:tcBorders>
            <w:shd w:val="clear" w:color="auto" w:fill="E5E5E5"/>
          </w:tcPr>
          <w:p>
            <w:pPr>
              <w:spacing w:after="0"/>
              <w:rPr>
                <w:sz w:val="15"/>
                <w:szCs w:val="15"/>
                <w:color w:val="auto"/>
              </w:rPr>
            </w:pPr>
          </w:p>
        </w:tc>
        <w:tc>
          <w:tcPr>
            <w:tcW w:w="1100" w:type="dxa"/>
            <w:vAlign w:val="bottom"/>
            <w:tcBorders>
              <w:right w:val="single" w:sz="8" w:color="732282"/>
            </w:tcBorders>
            <w:shd w:val="clear" w:color="auto" w:fill="E5E5E5"/>
          </w:tcPr>
          <w:p>
            <w:pPr>
              <w:spacing w:after="0"/>
              <w:rPr>
                <w:sz w:val="15"/>
                <w:szCs w:val="15"/>
                <w:color w:val="auto"/>
              </w:rPr>
            </w:pPr>
          </w:p>
        </w:tc>
        <w:tc>
          <w:tcPr>
            <w:tcW w:w="920" w:type="dxa"/>
            <w:vAlign w:val="bottom"/>
            <w:tcBorders>
              <w:right w:val="single" w:sz="8" w:color="732282"/>
            </w:tcBorders>
            <w:shd w:val="clear" w:color="auto" w:fill="E5E5E5"/>
          </w:tcPr>
          <w:p>
            <w:pPr>
              <w:spacing w:after="0"/>
              <w:rPr>
                <w:sz w:val="15"/>
                <w:szCs w:val="15"/>
                <w:color w:val="auto"/>
              </w:rPr>
            </w:pPr>
          </w:p>
        </w:tc>
        <w:tc>
          <w:tcPr>
            <w:tcW w:w="900" w:type="dxa"/>
            <w:vAlign w:val="bottom"/>
            <w:shd w:val="clear" w:color="auto" w:fill="E5E5E5"/>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3380" w:type="dxa"/>
            <w:vAlign w:val="bottom"/>
            <w:tcBorders>
              <w:right w:val="single" w:sz="8" w:color="732282"/>
            </w:tcBorders>
          </w:tcPr>
          <w:p>
            <w:pPr>
              <w:spacing w:after="0"/>
              <w:rPr>
                <w:sz w:val="20"/>
                <w:szCs w:val="20"/>
                <w:color w:val="auto"/>
              </w:rPr>
            </w:pPr>
            <w:r>
              <w:rPr>
                <w:rFonts w:ascii="Arial" w:cs="Arial" w:eastAsia="Arial" w:hAnsi="Arial"/>
                <w:sz w:val="14"/>
                <w:szCs w:val="14"/>
                <w:color w:val="auto"/>
              </w:rPr>
              <w:t>Richard A. Mark</w:t>
            </w:r>
          </w:p>
        </w:tc>
        <w:tc>
          <w:tcPr>
            <w:tcW w:w="640" w:type="dxa"/>
            <w:vAlign w:val="bottom"/>
            <w:tcBorders>
              <w:right w:val="single" w:sz="8" w:color="732282"/>
            </w:tcBorders>
          </w:tcPr>
          <w:p>
            <w:pPr>
              <w:jc w:val="center"/>
              <w:ind w:left="128"/>
              <w:spacing w:after="0" w:line="141" w:lineRule="exact"/>
              <w:rPr>
                <w:sz w:val="20"/>
                <w:szCs w:val="20"/>
                <w:color w:val="auto"/>
              </w:rPr>
            </w:pPr>
            <w:r>
              <w:rPr>
                <w:rFonts w:ascii="MS PGothic" w:cs="MS PGothic" w:eastAsia="MS PGothic" w:hAnsi="MS PGothic"/>
                <w:sz w:val="14"/>
                <w:szCs w:val="14"/>
                <w:color w:val="auto"/>
                <w:w w:val="85"/>
              </w:rPr>
              <w:t>✓</w:t>
            </w:r>
          </w:p>
        </w:tc>
        <w:tc>
          <w:tcPr>
            <w:tcW w:w="1260" w:type="dxa"/>
            <w:vAlign w:val="bottom"/>
            <w:tcBorders>
              <w:right w:val="single" w:sz="8" w:color="732282"/>
            </w:tcBorders>
          </w:tcPr>
          <w:p>
            <w:pPr>
              <w:spacing w:after="0"/>
              <w:rPr>
                <w:sz w:val="15"/>
                <w:szCs w:val="15"/>
                <w:color w:val="auto"/>
              </w:rPr>
            </w:pPr>
          </w:p>
        </w:tc>
        <w:tc>
          <w:tcPr>
            <w:tcW w:w="1080" w:type="dxa"/>
            <w:vAlign w:val="bottom"/>
            <w:tcBorders>
              <w:right w:val="single" w:sz="8" w:color="732282"/>
            </w:tcBorders>
          </w:tcPr>
          <w:p>
            <w:pPr>
              <w:spacing w:after="0"/>
              <w:rPr>
                <w:sz w:val="15"/>
                <w:szCs w:val="15"/>
                <w:color w:val="auto"/>
              </w:rPr>
            </w:pPr>
          </w:p>
        </w:tc>
        <w:tc>
          <w:tcPr>
            <w:tcW w:w="940" w:type="dxa"/>
            <w:vAlign w:val="bottom"/>
            <w:tcBorders>
              <w:right w:val="single" w:sz="8" w:color="732282"/>
            </w:tcBorders>
          </w:tcPr>
          <w:p>
            <w:pPr>
              <w:spacing w:after="0"/>
              <w:rPr>
                <w:sz w:val="15"/>
                <w:szCs w:val="15"/>
                <w:color w:val="auto"/>
              </w:rPr>
            </w:pPr>
          </w:p>
        </w:tc>
        <w:tc>
          <w:tcPr>
            <w:tcW w:w="800" w:type="dxa"/>
            <w:vAlign w:val="bottom"/>
            <w:tcBorders>
              <w:right w:val="single" w:sz="8" w:color="732282"/>
            </w:tcBorders>
          </w:tcPr>
          <w:p>
            <w:pPr>
              <w:jc w:val="center"/>
              <w:ind w:left="128"/>
              <w:spacing w:after="0" w:line="141" w:lineRule="exact"/>
              <w:rPr>
                <w:sz w:val="20"/>
                <w:szCs w:val="20"/>
                <w:color w:val="auto"/>
              </w:rPr>
            </w:pPr>
            <w:r>
              <w:rPr>
                <w:rFonts w:ascii="MS PGothic" w:cs="MS PGothic" w:eastAsia="MS PGothic" w:hAnsi="MS PGothic"/>
                <w:sz w:val="14"/>
                <w:szCs w:val="14"/>
                <w:color w:val="auto"/>
                <w:w w:val="85"/>
              </w:rPr>
              <w:t>✓</w:t>
            </w:r>
          </w:p>
        </w:tc>
        <w:tc>
          <w:tcPr>
            <w:tcW w:w="1100" w:type="dxa"/>
            <w:vAlign w:val="bottom"/>
            <w:tcBorders>
              <w:right w:val="single" w:sz="8" w:color="732282"/>
            </w:tcBorders>
          </w:tcPr>
          <w:p>
            <w:pPr>
              <w:spacing w:after="0"/>
              <w:rPr>
                <w:sz w:val="15"/>
                <w:szCs w:val="15"/>
                <w:color w:val="auto"/>
              </w:rPr>
            </w:pPr>
          </w:p>
        </w:tc>
        <w:tc>
          <w:tcPr>
            <w:tcW w:w="920" w:type="dxa"/>
            <w:vAlign w:val="bottom"/>
            <w:tcBorders>
              <w:right w:val="single" w:sz="8" w:color="732282"/>
            </w:tcBorders>
          </w:tcPr>
          <w:p>
            <w:pPr>
              <w:jc w:val="center"/>
              <w:ind w:left="12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spacing w:after="0"/>
              <w:rPr>
                <w:sz w:val="15"/>
                <w:szCs w:val="15"/>
                <w:color w:val="auto"/>
              </w:rPr>
            </w:pPr>
          </w:p>
        </w:tc>
      </w:tr>
      <w:tr>
        <w:trPr>
          <w:trHeight w:val="175"/>
        </w:trPr>
        <w:tc>
          <w:tcPr>
            <w:tcW w:w="3380" w:type="dxa"/>
            <w:vAlign w:val="bottom"/>
            <w:tcBorders>
              <w:right w:val="single" w:sz="8" w:color="732282"/>
            </w:tcBorders>
            <w:shd w:val="clear" w:color="auto" w:fill="E5E5E5"/>
          </w:tcPr>
          <w:p>
            <w:pPr>
              <w:spacing w:after="0"/>
              <w:rPr>
                <w:sz w:val="20"/>
                <w:szCs w:val="20"/>
                <w:color w:val="auto"/>
              </w:rPr>
            </w:pPr>
            <w:r>
              <w:rPr>
                <w:rFonts w:ascii="Arial" w:cs="Arial" w:eastAsia="Arial" w:hAnsi="Arial"/>
                <w:sz w:val="14"/>
                <w:szCs w:val="14"/>
                <w:color w:val="auto"/>
              </w:rPr>
              <w:t>Mark W. Parrish</w:t>
            </w:r>
          </w:p>
        </w:tc>
        <w:tc>
          <w:tcPr>
            <w:tcW w:w="640" w:type="dxa"/>
            <w:vAlign w:val="bottom"/>
            <w:tcBorders>
              <w:right w:val="single" w:sz="8" w:color="732282"/>
            </w:tcBorders>
            <w:shd w:val="clear" w:color="auto" w:fill="E5E5E5"/>
          </w:tcPr>
          <w:p>
            <w:pPr>
              <w:jc w:val="center"/>
              <w:ind w:left="128"/>
              <w:spacing w:after="0" w:line="141" w:lineRule="exact"/>
              <w:rPr>
                <w:sz w:val="20"/>
                <w:szCs w:val="20"/>
                <w:color w:val="auto"/>
              </w:rPr>
            </w:pPr>
            <w:r>
              <w:rPr>
                <w:rFonts w:ascii="MS PGothic" w:cs="MS PGothic" w:eastAsia="MS PGothic" w:hAnsi="MS PGothic"/>
                <w:sz w:val="14"/>
                <w:szCs w:val="14"/>
                <w:color w:val="auto"/>
                <w:w w:val="85"/>
              </w:rPr>
              <w:t>✓</w:t>
            </w:r>
          </w:p>
        </w:tc>
        <w:tc>
          <w:tcPr>
            <w:tcW w:w="1260" w:type="dxa"/>
            <w:vAlign w:val="bottom"/>
            <w:tcBorders>
              <w:right w:val="single" w:sz="8" w:color="732282"/>
            </w:tcBorders>
            <w:shd w:val="clear" w:color="auto" w:fill="E5E5E5"/>
          </w:tcPr>
          <w:p>
            <w:pPr>
              <w:spacing w:after="0"/>
              <w:rPr>
                <w:sz w:val="15"/>
                <w:szCs w:val="15"/>
                <w:color w:val="auto"/>
              </w:rPr>
            </w:pPr>
          </w:p>
        </w:tc>
        <w:tc>
          <w:tcPr>
            <w:tcW w:w="1080" w:type="dxa"/>
            <w:vAlign w:val="bottom"/>
            <w:tcBorders>
              <w:right w:val="single" w:sz="8" w:color="732282"/>
            </w:tcBorders>
            <w:shd w:val="clear" w:color="auto" w:fill="E5E5E5"/>
          </w:tcPr>
          <w:p>
            <w:pPr>
              <w:jc w:val="center"/>
              <w:ind w:left="148"/>
              <w:spacing w:after="0"/>
              <w:rPr>
                <w:sz w:val="20"/>
                <w:szCs w:val="20"/>
                <w:color w:val="auto"/>
              </w:rPr>
            </w:pPr>
            <w:r>
              <w:rPr>
                <w:rFonts w:ascii="Arial" w:cs="Arial" w:eastAsia="Arial" w:hAnsi="Arial"/>
                <w:sz w:val="14"/>
                <w:szCs w:val="14"/>
                <w:color w:val="auto"/>
              </w:rPr>
              <w:t>Chair</w:t>
            </w:r>
          </w:p>
        </w:tc>
        <w:tc>
          <w:tcPr>
            <w:tcW w:w="940" w:type="dxa"/>
            <w:vAlign w:val="bottom"/>
            <w:tcBorders>
              <w:right w:val="single" w:sz="8" w:color="732282"/>
            </w:tcBorders>
            <w:shd w:val="clear" w:color="auto" w:fill="E5E5E5"/>
          </w:tcPr>
          <w:p>
            <w:pPr>
              <w:jc w:val="center"/>
              <w:ind w:left="148"/>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Borders>
              <w:right w:val="single" w:sz="8" w:color="732282"/>
            </w:tcBorders>
            <w:shd w:val="clear" w:color="auto" w:fill="E5E5E5"/>
          </w:tcPr>
          <w:p>
            <w:pPr>
              <w:spacing w:after="0"/>
              <w:rPr>
                <w:sz w:val="15"/>
                <w:szCs w:val="15"/>
                <w:color w:val="auto"/>
              </w:rPr>
            </w:pPr>
          </w:p>
        </w:tc>
        <w:tc>
          <w:tcPr>
            <w:tcW w:w="1100" w:type="dxa"/>
            <w:vAlign w:val="bottom"/>
            <w:tcBorders>
              <w:right w:val="single" w:sz="8" w:color="732282"/>
            </w:tcBorders>
            <w:shd w:val="clear" w:color="auto" w:fill="E5E5E5"/>
          </w:tcPr>
          <w:p>
            <w:pPr>
              <w:jc w:val="center"/>
              <w:ind w:left="148"/>
              <w:spacing w:after="0" w:line="141" w:lineRule="exact"/>
              <w:rPr>
                <w:sz w:val="20"/>
                <w:szCs w:val="20"/>
                <w:color w:val="auto"/>
              </w:rPr>
            </w:pPr>
            <w:r>
              <w:rPr>
                <w:rFonts w:ascii="MS PGothic" w:cs="MS PGothic" w:eastAsia="MS PGothic" w:hAnsi="MS PGothic"/>
                <w:sz w:val="14"/>
                <w:szCs w:val="14"/>
                <w:color w:val="auto"/>
                <w:w w:val="85"/>
              </w:rPr>
              <w:t>✓</w:t>
            </w:r>
          </w:p>
        </w:tc>
        <w:tc>
          <w:tcPr>
            <w:tcW w:w="920" w:type="dxa"/>
            <w:vAlign w:val="bottom"/>
            <w:tcBorders>
              <w:right w:val="single" w:sz="8" w:color="732282"/>
            </w:tcBorders>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r>
      <w:tr>
        <w:trPr>
          <w:trHeight w:val="176"/>
        </w:trPr>
        <w:tc>
          <w:tcPr>
            <w:tcW w:w="3380" w:type="dxa"/>
            <w:vAlign w:val="bottom"/>
            <w:tcBorders>
              <w:right w:val="single" w:sz="8" w:color="732282"/>
            </w:tcBorders>
          </w:tcPr>
          <w:p>
            <w:pPr>
              <w:spacing w:after="0"/>
              <w:rPr>
                <w:sz w:val="20"/>
                <w:szCs w:val="20"/>
                <w:color w:val="auto"/>
              </w:rPr>
            </w:pPr>
            <w:r>
              <w:rPr>
                <w:rFonts w:ascii="Arial" w:cs="Arial" w:eastAsia="Arial" w:hAnsi="Arial"/>
                <w:sz w:val="14"/>
                <w:szCs w:val="14"/>
                <w:color w:val="auto"/>
              </w:rPr>
              <w:t>Ian Read</w:t>
            </w:r>
          </w:p>
        </w:tc>
        <w:tc>
          <w:tcPr>
            <w:tcW w:w="640" w:type="dxa"/>
            <w:vAlign w:val="bottom"/>
            <w:tcBorders>
              <w:right w:val="single" w:sz="8" w:color="732282"/>
            </w:tcBorders>
          </w:tcPr>
          <w:p>
            <w:pPr>
              <w:spacing w:after="0"/>
              <w:rPr>
                <w:sz w:val="15"/>
                <w:szCs w:val="15"/>
                <w:color w:val="auto"/>
              </w:rPr>
            </w:pPr>
          </w:p>
        </w:tc>
        <w:tc>
          <w:tcPr>
            <w:tcW w:w="1260" w:type="dxa"/>
            <w:vAlign w:val="bottom"/>
            <w:tcBorders>
              <w:right w:val="single" w:sz="8" w:color="732282"/>
            </w:tcBorders>
          </w:tcPr>
          <w:p>
            <w:pPr>
              <w:spacing w:after="0"/>
              <w:rPr>
                <w:sz w:val="15"/>
                <w:szCs w:val="15"/>
                <w:color w:val="auto"/>
              </w:rPr>
            </w:pPr>
          </w:p>
        </w:tc>
        <w:tc>
          <w:tcPr>
            <w:tcW w:w="1080" w:type="dxa"/>
            <w:vAlign w:val="bottom"/>
            <w:tcBorders>
              <w:right w:val="single" w:sz="8" w:color="732282"/>
            </w:tcBorders>
          </w:tcPr>
          <w:p>
            <w:pPr>
              <w:jc w:val="center"/>
              <w:ind w:left="128"/>
              <w:spacing w:after="0" w:line="141" w:lineRule="exact"/>
              <w:rPr>
                <w:sz w:val="20"/>
                <w:szCs w:val="20"/>
                <w:color w:val="auto"/>
              </w:rPr>
            </w:pPr>
            <w:r>
              <w:rPr>
                <w:rFonts w:ascii="MS PGothic" w:cs="MS PGothic" w:eastAsia="MS PGothic" w:hAnsi="MS PGothic"/>
                <w:sz w:val="14"/>
                <w:szCs w:val="14"/>
                <w:color w:val="auto"/>
                <w:w w:val="85"/>
              </w:rPr>
              <w:t>✓</w:t>
            </w:r>
          </w:p>
        </w:tc>
        <w:tc>
          <w:tcPr>
            <w:tcW w:w="940" w:type="dxa"/>
            <w:vAlign w:val="bottom"/>
            <w:tcBorders>
              <w:right w:val="single" w:sz="8" w:color="732282"/>
            </w:tcBorders>
          </w:tcPr>
          <w:p>
            <w:pPr>
              <w:spacing w:after="0"/>
              <w:rPr>
                <w:sz w:val="15"/>
                <w:szCs w:val="15"/>
                <w:color w:val="auto"/>
              </w:rPr>
            </w:pPr>
          </w:p>
        </w:tc>
        <w:tc>
          <w:tcPr>
            <w:tcW w:w="800" w:type="dxa"/>
            <w:vAlign w:val="bottom"/>
            <w:tcBorders>
              <w:right w:val="single" w:sz="8" w:color="732282"/>
            </w:tcBorders>
          </w:tcPr>
          <w:p>
            <w:pPr>
              <w:spacing w:after="0"/>
              <w:rPr>
                <w:sz w:val="15"/>
                <w:szCs w:val="15"/>
                <w:color w:val="auto"/>
              </w:rPr>
            </w:pPr>
          </w:p>
        </w:tc>
        <w:tc>
          <w:tcPr>
            <w:tcW w:w="1100" w:type="dxa"/>
            <w:vAlign w:val="bottom"/>
            <w:tcBorders>
              <w:right w:val="single" w:sz="8" w:color="732282"/>
            </w:tcBorders>
          </w:tcPr>
          <w:p>
            <w:pPr>
              <w:spacing w:after="0"/>
              <w:rPr>
                <w:sz w:val="15"/>
                <w:szCs w:val="15"/>
                <w:color w:val="auto"/>
              </w:rPr>
            </w:pPr>
          </w:p>
        </w:tc>
        <w:tc>
          <w:tcPr>
            <w:tcW w:w="920" w:type="dxa"/>
            <w:vAlign w:val="bottom"/>
            <w:tcBorders>
              <w:right w:val="single" w:sz="8" w:color="732282"/>
            </w:tcBorders>
          </w:tcPr>
          <w:p>
            <w:pPr>
              <w:spacing w:after="0"/>
              <w:rPr>
                <w:sz w:val="15"/>
                <w:szCs w:val="15"/>
                <w:color w:val="auto"/>
              </w:rPr>
            </w:pPr>
          </w:p>
        </w:tc>
        <w:tc>
          <w:tcPr>
            <w:tcW w:w="900" w:type="dxa"/>
            <w:vAlign w:val="bottom"/>
          </w:tcPr>
          <w:p>
            <w:pPr>
              <w:jc w:val="center"/>
              <w:ind w:left="8"/>
              <w:spacing w:after="0"/>
              <w:rPr>
                <w:sz w:val="20"/>
                <w:szCs w:val="20"/>
                <w:color w:val="auto"/>
              </w:rPr>
            </w:pPr>
            <w:r>
              <w:rPr>
                <w:rFonts w:ascii="Arial" w:cs="Arial" w:eastAsia="Arial" w:hAnsi="Arial"/>
                <w:sz w:val="14"/>
                <w:szCs w:val="14"/>
                <w:color w:val="auto"/>
              </w:rPr>
              <w:t>Chair</w:t>
            </w:r>
          </w:p>
        </w:tc>
      </w:tr>
      <w:tr>
        <w:trPr>
          <w:trHeight w:val="175"/>
        </w:trPr>
        <w:tc>
          <w:tcPr>
            <w:tcW w:w="3380" w:type="dxa"/>
            <w:vAlign w:val="bottom"/>
            <w:tcBorders>
              <w:right w:val="single" w:sz="8" w:color="732282"/>
            </w:tcBorders>
            <w:shd w:val="clear" w:color="auto" w:fill="E5E5E5"/>
          </w:tcPr>
          <w:p>
            <w:pPr>
              <w:spacing w:after="0"/>
              <w:rPr>
                <w:sz w:val="20"/>
                <w:szCs w:val="20"/>
                <w:color w:val="auto"/>
              </w:rPr>
            </w:pPr>
            <w:r>
              <w:rPr>
                <w:rFonts w:ascii="Arial" w:cs="Arial" w:eastAsia="Arial" w:hAnsi="Arial"/>
                <w:sz w:val="14"/>
                <w:szCs w:val="14"/>
                <w:color w:val="auto"/>
              </w:rPr>
              <w:t>Pauline van der Meer Mohr</w:t>
            </w:r>
          </w:p>
        </w:tc>
        <w:tc>
          <w:tcPr>
            <w:tcW w:w="640" w:type="dxa"/>
            <w:vAlign w:val="bottom"/>
            <w:tcBorders>
              <w:right w:val="single" w:sz="8" w:color="732282"/>
            </w:tcBorders>
            <w:shd w:val="clear" w:color="auto" w:fill="E5E5E5"/>
          </w:tcPr>
          <w:p>
            <w:pPr>
              <w:spacing w:after="0"/>
              <w:rPr>
                <w:sz w:val="15"/>
                <w:szCs w:val="15"/>
                <w:color w:val="auto"/>
              </w:rPr>
            </w:pPr>
          </w:p>
        </w:tc>
        <w:tc>
          <w:tcPr>
            <w:tcW w:w="1260" w:type="dxa"/>
            <w:vAlign w:val="bottom"/>
            <w:tcBorders>
              <w:right w:val="single" w:sz="8" w:color="732282"/>
            </w:tcBorders>
            <w:shd w:val="clear" w:color="auto" w:fill="E5E5E5"/>
          </w:tcPr>
          <w:p>
            <w:pPr>
              <w:jc w:val="center"/>
              <w:ind w:left="148"/>
              <w:spacing w:after="0" w:line="141" w:lineRule="exact"/>
              <w:rPr>
                <w:sz w:val="20"/>
                <w:szCs w:val="20"/>
                <w:color w:val="auto"/>
              </w:rPr>
            </w:pPr>
            <w:r>
              <w:rPr>
                <w:rFonts w:ascii="MS PGothic" w:cs="MS PGothic" w:eastAsia="MS PGothic" w:hAnsi="MS PGothic"/>
                <w:sz w:val="14"/>
                <w:szCs w:val="14"/>
                <w:color w:val="auto"/>
                <w:w w:val="85"/>
              </w:rPr>
              <w:t>✓</w:t>
            </w:r>
          </w:p>
        </w:tc>
        <w:tc>
          <w:tcPr>
            <w:tcW w:w="1080" w:type="dxa"/>
            <w:vAlign w:val="bottom"/>
            <w:tcBorders>
              <w:right w:val="single" w:sz="8" w:color="732282"/>
            </w:tcBorders>
            <w:shd w:val="clear" w:color="auto" w:fill="E5E5E5"/>
          </w:tcPr>
          <w:p>
            <w:pPr>
              <w:jc w:val="center"/>
              <w:ind w:left="128"/>
              <w:spacing w:after="0" w:line="141" w:lineRule="exact"/>
              <w:rPr>
                <w:sz w:val="20"/>
                <w:szCs w:val="20"/>
                <w:color w:val="auto"/>
              </w:rPr>
            </w:pPr>
            <w:r>
              <w:rPr>
                <w:rFonts w:ascii="MS PGothic" w:cs="MS PGothic" w:eastAsia="MS PGothic" w:hAnsi="MS PGothic"/>
                <w:sz w:val="14"/>
                <w:szCs w:val="14"/>
                <w:color w:val="auto"/>
                <w:w w:val="85"/>
              </w:rPr>
              <w:t>✓</w:t>
            </w:r>
          </w:p>
        </w:tc>
        <w:tc>
          <w:tcPr>
            <w:tcW w:w="940" w:type="dxa"/>
            <w:vAlign w:val="bottom"/>
            <w:tcBorders>
              <w:right w:val="single" w:sz="8" w:color="732282"/>
            </w:tcBorders>
            <w:shd w:val="clear" w:color="auto" w:fill="E5E5E5"/>
          </w:tcPr>
          <w:p>
            <w:pPr>
              <w:spacing w:after="0"/>
              <w:rPr>
                <w:sz w:val="15"/>
                <w:szCs w:val="15"/>
                <w:color w:val="auto"/>
              </w:rPr>
            </w:pPr>
          </w:p>
        </w:tc>
        <w:tc>
          <w:tcPr>
            <w:tcW w:w="800" w:type="dxa"/>
            <w:vAlign w:val="bottom"/>
            <w:tcBorders>
              <w:right w:val="single" w:sz="8" w:color="732282"/>
            </w:tcBorders>
            <w:shd w:val="clear" w:color="auto" w:fill="E5E5E5"/>
          </w:tcPr>
          <w:p>
            <w:pPr>
              <w:spacing w:after="0"/>
              <w:rPr>
                <w:sz w:val="15"/>
                <w:szCs w:val="15"/>
                <w:color w:val="auto"/>
              </w:rPr>
            </w:pPr>
          </w:p>
        </w:tc>
        <w:tc>
          <w:tcPr>
            <w:tcW w:w="1100" w:type="dxa"/>
            <w:vAlign w:val="bottom"/>
            <w:tcBorders>
              <w:right w:val="single" w:sz="8" w:color="732282"/>
            </w:tcBorders>
            <w:shd w:val="clear" w:color="auto" w:fill="E5E5E5"/>
          </w:tcPr>
          <w:p>
            <w:pPr>
              <w:spacing w:after="0"/>
              <w:rPr>
                <w:sz w:val="15"/>
                <w:szCs w:val="15"/>
                <w:color w:val="auto"/>
              </w:rPr>
            </w:pPr>
          </w:p>
        </w:tc>
        <w:tc>
          <w:tcPr>
            <w:tcW w:w="920" w:type="dxa"/>
            <w:vAlign w:val="bottom"/>
            <w:tcBorders>
              <w:right w:val="single" w:sz="8" w:color="732282"/>
            </w:tcBorders>
            <w:shd w:val="clear" w:color="auto" w:fill="E5E5E5"/>
          </w:tcPr>
          <w:p>
            <w:pPr>
              <w:jc w:val="center"/>
              <w:ind w:left="12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shd w:val="clear" w:color="auto" w:fill="E5E5E5"/>
          </w:tcPr>
          <w:p>
            <w:pPr>
              <w:spacing w:after="0"/>
              <w:rPr>
                <w:sz w:val="15"/>
                <w:szCs w:val="15"/>
                <w:color w:val="auto"/>
              </w:rPr>
            </w:pPr>
          </w:p>
        </w:tc>
      </w:tr>
      <w:tr>
        <w:trPr>
          <w:trHeight w:val="162"/>
        </w:trPr>
        <w:tc>
          <w:tcPr>
            <w:tcW w:w="3380" w:type="dxa"/>
            <w:vAlign w:val="bottom"/>
            <w:tcBorders>
              <w:bottom w:val="single" w:sz="8" w:color="732282"/>
              <w:right w:val="single" w:sz="8" w:color="732282"/>
            </w:tcBorders>
          </w:tcPr>
          <w:p>
            <w:pPr>
              <w:spacing w:after="0"/>
              <w:rPr>
                <w:sz w:val="20"/>
                <w:szCs w:val="20"/>
                <w:color w:val="auto"/>
              </w:rPr>
            </w:pPr>
            <w:r>
              <w:rPr>
                <w:rFonts w:ascii="Arial" w:cs="Arial" w:eastAsia="Arial" w:hAnsi="Arial"/>
                <w:sz w:val="14"/>
                <w:szCs w:val="14"/>
                <w:color w:val="auto"/>
              </w:rPr>
              <w:t>Meetings during 2021</w:t>
            </w:r>
          </w:p>
        </w:tc>
        <w:tc>
          <w:tcPr>
            <w:tcW w:w="640" w:type="dxa"/>
            <w:vAlign w:val="bottom"/>
            <w:tcBorders>
              <w:bottom w:val="single" w:sz="8" w:color="732282"/>
              <w:right w:val="single" w:sz="8" w:color="732282"/>
            </w:tcBorders>
          </w:tcPr>
          <w:p>
            <w:pPr>
              <w:jc w:val="center"/>
              <w:ind w:left="128"/>
              <w:spacing w:after="0"/>
              <w:rPr>
                <w:sz w:val="20"/>
                <w:szCs w:val="20"/>
                <w:color w:val="auto"/>
              </w:rPr>
            </w:pPr>
            <w:r>
              <w:rPr>
                <w:rFonts w:ascii="Arial" w:cs="Arial" w:eastAsia="Arial" w:hAnsi="Arial"/>
                <w:sz w:val="14"/>
                <w:szCs w:val="14"/>
                <w:color w:val="auto"/>
              </w:rPr>
              <w:t>8</w:t>
            </w:r>
          </w:p>
        </w:tc>
        <w:tc>
          <w:tcPr>
            <w:tcW w:w="1260" w:type="dxa"/>
            <w:vAlign w:val="bottom"/>
            <w:tcBorders>
              <w:bottom w:val="single" w:sz="8" w:color="732282"/>
              <w:right w:val="single" w:sz="8" w:color="732282"/>
            </w:tcBorders>
          </w:tcPr>
          <w:p>
            <w:pPr>
              <w:jc w:val="center"/>
              <w:ind w:left="148"/>
              <w:spacing w:after="0"/>
              <w:rPr>
                <w:sz w:val="20"/>
                <w:szCs w:val="20"/>
                <w:color w:val="auto"/>
              </w:rPr>
            </w:pPr>
            <w:r>
              <w:rPr>
                <w:rFonts w:ascii="Arial" w:cs="Arial" w:eastAsia="Arial" w:hAnsi="Arial"/>
                <w:sz w:val="14"/>
                <w:szCs w:val="14"/>
                <w:color w:val="auto"/>
              </w:rPr>
              <w:t>6</w:t>
            </w:r>
          </w:p>
        </w:tc>
        <w:tc>
          <w:tcPr>
            <w:tcW w:w="1080" w:type="dxa"/>
            <w:vAlign w:val="bottom"/>
            <w:tcBorders>
              <w:bottom w:val="single" w:sz="8" w:color="732282"/>
              <w:right w:val="single" w:sz="8" w:color="732282"/>
            </w:tcBorders>
          </w:tcPr>
          <w:p>
            <w:pPr>
              <w:jc w:val="center"/>
              <w:ind w:left="128"/>
              <w:spacing w:after="0"/>
              <w:rPr>
                <w:sz w:val="20"/>
                <w:szCs w:val="20"/>
                <w:color w:val="auto"/>
              </w:rPr>
            </w:pPr>
            <w:r>
              <w:rPr>
                <w:rFonts w:ascii="Arial" w:cs="Arial" w:eastAsia="Arial" w:hAnsi="Arial"/>
                <w:sz w:val="14"/>
                <w:szCs w:val="14"/>
                <w:color w:val="auto"/>
              </w:rPr>
              <w:t>4</w:t>
            </w:r>
          </w:p>
        </w:tc>
        <w:tc>
          <w:tcPr>
            <w:tcW w:w="940" w:type="dxa"/>
            <w:vAlign w:val="bottom"/>
            <w:tcBorders>
              <w:bottom w:val="single" w:sz="8" w:color="732282"/>
              <w:right w:val="single" w:sz="8" w:color="732282"/>
            </w:tcBorders>
          </w:tcPr>
          <w:p>
            <w:pPr>
              <w:jc w:val="center"/>
              <w:ind w:left="148"/>
              <w:spacing w:after="0"/>
              <w:rPr>
                <w:sz w:val="20"/>
                <w:szCs w:val="20"/>
                <w:color w:val="auto"/>
              </w:rPr>
            </w:pPr>
            <w:r>
              <w:rPr>
                <w:rFonts w:ascii="Arial" w:cs="Arial" w:eastAsia="Arial" w:hAnsi="Arial"/>
                <w:sz w:val="14"/>
                <w:szCs w:val="14"/>
                <w:color w:val="auto"/>
              </w:rPr>
              <w:t>2</w:t>
            </w:r>
          </w:p>
        </w:tc>
        <w:tc>
          <w:tcPr>
            <w:tcW w:w="800" w:type="dxa"/>
            <w:vAlign w:val="bottom"/>
            <w:tcBorders>
              <w:bottom w:val="single" w:sz="8" w:color="732282"/>
              <w:right w:val="single" w:sz="8" w:color="732282"/>
            </w:tcBorders>
          </w:tcPr>
          <w:p>
            <w:pPr>
              <w:jc w:val="center"/>
              <w:ind w:left="128"/>
              <w:spacing w:after="0"/>
              <w:rPr>
                <w:sz w:val="20"/>
                <w:szCs w:val="20"/>
                <w:color w:val="auto"/>
              </w:rPr>
            </w:pPr>
            <w:r>
              <w:rPr>
                <w:rFonts w:ascii="Arial" w:cs="Arial" w:eastAsia="Arial" w:hAnsi="Arial"/>
                <w:sz w:val="14"/>
                <w:szCs w:val="14"/>
                <w:color w:val="auto"/>
              </w:rPr>
              <w:t>6</w:t>
            </w:r>
          </w:p>
        </w:tc>
        <w:tc>
          <w:tcPr>
            <w:tcW w:w="1100" w:type="dxa"/>
            <w:vAlign w:val="bottom"/>
            <w:tcBorders>
              <w:bottom w:val="single" w:sz="8" w:color="732282"/>
              <w:right w:val="single" w:sz="8" w:color="732282"/>
            </w:tcBorders>
          </w:tcPr>
          <w:p>
            <w:pPr>
              <w:jc w:val="center"/>
              <w:ind w:left="148"/>
              <w:spacing w:after="0"/>
              <w:rPr>
                <w:sz w:val="20"/>
                <w:szCs w:val="20"/>
                <w:color w:val="auto"/>
              </w:rPr>
            </w:pPr>
            <w:r>
              <w:rPr>
                <w:rFonts w:ascii="Arial" w:cs="Arial" w:eastAsia="Arial" w:hAnsi="Arial"/>
                <w:sz w:val="14"/>
                <w:szCs w:val="14"/>
                <w:color w:val="auto"/>
              </w:rPr>
              <w:t>4</w:t>
            </w:r>
          </w:p>
        </w:tc>
        <w:tc>
          <w:tcPr>
            <w:tcW w:w="920" w:type="dxa"/>
            <w:vAlign w:val="bottom"/>
            <w:tcBorders>
              <w:bottom w:val="single" w:sz="8" w:color="732282"/>
              <w:right w:val="single" w:sz="8" w:color="732282"/>
            </w:tcBorders>
          </w:tcPr>
          <w:p>
            <w:pPr>
              <w:jc w:val="center"/>
              <w:ind w:left="168"/>
              <w:spacing w:after="0"/>
              <w:rPr>
                <w:sz w:val="20"/>
                <w:szCs w:val="20"/>
                <w:color w:val="auto"/>
              </w:rPr>
            </w:pPr>
            <w:r>
              <w:rPr>
                <w:rFonts w:ascii="Arial" w:cs="Arial" w:eastAsia="Arial" w:hAnsi="Arial"/>
                <w:sz w:val="14"/>
                <w:szCs w:val="14"/>
                <w:color w:val="auto"/>
              </w:rPr>
              <w:t>5</w:t>
            </w:r>
          </w:p>
        </w:tc>
        <w:tc>
          <w:tcPr>
            <w:tcW w:w="900" w:type="dxa"/>
            <w:vAlign w:val="bottom"/>
            <w:tcBorders>
              <w:bottom w:val="single" w:sz="8" w:color="732282"/>
            </w:tcBorders>
          </w:tcPr>
          <w:p>
            <w:pPr>
              <w:jc w:val="center"/>
              <w:spacing w:after="0"/>
              <w:rPr>
                <w:sz w:val="20"/>
                <w:szCs w:val="20"/>
                <w:color w:val="auto"/>
              </w:rPr>
            </w:pPr>
            <w:r>
              <w:rPr>
                <w:rFonts w:ascii="Arial" w:cs="Arial" w:eastAsia="Arial" w:hAnsi="Arial"/>
                <w:sz w:val="14"/>
                <w:szCs w:val="14"/>
                <w:color w:val="auto"/>
              </w:rPr>
              <w:t>4</w:t>
            </w: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86"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 Responsibilities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Audit Committee’s key oversight responsibilities include, but are not limited to:</w:t>
      </w:r>
    </w:p>
    <w:p>
      <w:pPr>
        <w:spacing w:after="0" w:line="127" w:lineRule="exact"/>
        <w:rPr>
          <w:sz w:val="20"/>
          <w:szCs w:val="20"/>
          <w:color w:val="auto"/>
        </w:rPr>
      </w:pPr>
    </w:p>
    <w:p>
      <w:pPr>
        <w:ind w:left="540" w:hanging="316"/>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Integrity of the Company’s financial statements and its accounting and financial reporting processes</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Effectiveness of the Company’s internal control over financial reporting</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Qualifications, independence, and performance of the independent registered public accounting firm</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Services to be performed by, and fees payable to, the independent registered public accounting firm</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Internal Audit group</w:t>
      </w:r>
    </w:p>
    <w:p>
      <w:pPr>
        <w:spacing w:after="0" w:line="126" w:lineRule="exact"/>
        <w:rPr>
          <w:rFonts w:ascii="Arial" w:cs="Arial" w:eastAsia="Arial" w:hAnsi="Arial"/>
          <w:sz w:val="16"/>
          <w:szCs w:val="16"/>
          <w:color w:val="auto"/>
        </w:rPr>
      </w:pPr>
    </w:p>
    <w:p>
      <w:pPr>
        <w:ind w:left="540" w:right="20" w:hanging="316"/>
        <w:spacing w:after="0" w:line="260"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Company processes and procedures related to risk assessment and risk management of financial and disclosure control-related, as well as SEC reporting-related, matters</w:t>
      </w:r>
    </w:p>
    <w:p>
      <w:pPr>
        <w:spacing w:after="0" w:line="100" w:lineRule="exact"/>
        <w:rPr>
          <w:rFonts w:ascii="Arial" w:cs="Arial" w:eastAsia="Arial" w:hAnsi="Arial"/>
          <w:sz w:val="16"/>
          <w:szCs w:val="16"/>
          <w:color w:val="auto"/>
        </w:rPr>
      </w:pPr>
    </w:p>
    <w:p>
      <w:pPr>
        <w:ind w:left="540" w:hanging="316"/>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Related party transactions</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Company compliance with applicable legal and regulatory requirements (including U.S. federal securities laws) regarding the preceding matters</w:t>
      </w:r>
    </w:p>
    <w:p>
      <w:pPr>
        <w:spacing w:after="0" w:line="126" w:lineRule="exact"/>
        <w:rPr>
          <w:rFonts w:ascii="Arial" w:cs="Arial" w:eastAsia="Arial" w:hAnsi="Arial"/>
          <w:sz w:val="16"/>
          <w:szCs w:val="16"/>
          <w:color w:val="auto"/>
        </w:rPr>
      </w:pPr>
    </w:p>
    <w:p>
      <w:pPr>
        <w:ind w:left="540" w:right="20" w:hanging="316"/>
        <w:spacing w:after="0" w:line="260"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 of any critical audit matters identified by the independent registered public accounting firm in connection with its audit of the Company’s annual financial statements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Responsibilities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Compensation Committee’s key oversight responsibilities include, but are not limited to:</w:t>
      </w:r>
    </w:p>
    <w:p>
      <w:pPr>
        <w:spacing w:after="0" w:line="127" w:lineRule="exact"/>
        <w:rPr>
          <w:sz w:val="20"/>
          <w:szCs w:val="20"/>
          <w:color w:val="auto"/>
        </w:rPr>
      </w:pPr>
    </w:p>
    <w:p>
      <w:pPr>
        <w:ind w:left="540" w:hanging="316"/>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Executive Chairman, CEO, and senior management compensation, including the corporate goals and objectives relevant to such compensation</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Board and committee compensation</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Equity compensation plans in which Directors and/or executives participate</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Compensation and benefits-related disclosures in annual reports and proxy statements</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Relationship between compensation policies and practices and the Company’s risk management with respect to compensation-related matters</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Evaluating relationship between compensation policies and practices and succession planning</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From time to time reviewing reports from management regarding pay equity, human capital management and succession planning</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Compliance Committee Responsibilities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Compliance Committee’s key oversight responsibilities include, but are not limited to:</w:t>
      </w:r>
    </w:p>
    <w:p>
      <w:pPr>
        <w:spacing w:after="0" w:line="127" w:lineRule="exact"/>
        <w:rPr>
          <w:sz w:val="20"/>
          <w:szCs w:val="20"/>
          <w:color w:val="auto"/>
        </w:rPr>
      </w:pPr>
    </w:p>
    <w:p>
      <w:pPr>
        <w:ind w:left="540" w:hanging="316"/>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Chief Compliance Officer’s implementation of the Company’s corporate compliance program</w:t>
      </w:r>
    </w:p>
    <w:p>
      <w:pPr>
        <w:spacing w:after="0" w:line="126" w:lineRule="exact"/>
        <w:rPr>
          <w:rFonts w:ascii="Arial" w:cs="Arial" w:eastAsia="Arial" w:hAnsi="Arial"/>
          <w:sz w:val="16"/>
          <w:szCs w:val="16"/>
          <w:color w:val="auto"/>
        </w:rPr>
      </w:pPr>
    </w:p>
    <w:p>
      <w:pPr>
        <w:ind w:left="540" w:right="20" w:hanging="316"/>
        <w:spacing w:after="0" w:line="260"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Making recommendations to the Board and/or management with respect to Viatris’ corporate compliance program, the Code of Business Conduct and Ethics, and significant related global policies, such as anti-corruption and fair competition policies</w:t>
      </w:r>
    </w:p>
    <w:p>
      <w:pPr>
        <w:spacing w:after="0" w:line="100" w:lineRule="exact"/>
        <w:rPr>
          <w:rFonts w:ascii="Arial" w:cs="Arial" w:eastAsia="Arial" w:hAnsi="Arial"/>
          <w:sz w:val="16"/>
          <w:szCs w:val="16"/>
          <w:color w:val="auto"/>
        </w:rPr>
      </w:pPr>
    </w:p>
    <w:p>
      <w:pPr>
        <w:jc w:val="both"/>
        <w:ind w:left="540" w:hanging="316"/>
        <w:spacing w:after="0" w:line="253"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Reviewing significant global compliance-related policies implementing the Company’s Code of Business Conduct and Ethics, or related to the operations of the Company’s business and its mode or methods of doing business, including, for example, policies relating to pricing and/or commercialization of Company products and services</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86"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540" w:hanging="316"/>
        <w:spacing w:after="0" w:line="260"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Reviewing metrics used by management or requested by the Committee to provide insight into the status and efficacy of the corporate compliance program, including the Company’s global compliance systems and organization</w:t>
      </w:r>
    </w:p>
    <w:p>
      <w:pPr>
        <w:spacing w:after="0" w:line="100" w:lineRule="exact"/>
        <w:rPr>
          <w:rFonts w:ascii="Arial" w:cs="Arial" w:eastAsia="Arial" w:hAnsi="Arial"/>
          <w:sz w:val="16"/>
          <w:szCs w:val="16"/>
          <w:color w:val="auto"/>
        </w:rPr>
      </w:pPr>
    </w:p>
    <w:p>
      <w:pPr>
        <w:ind w:left="540" w:hanging="316"/>
        <w:spacing w:after="0" w:line="260"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Reviewing reports of significant actual and alleged violations of the Code of Business Conduct and Ethics, corporate policies and procedures, and applicable laws and regulations</w:t>
      </w:r>
    </w:p>
    <w:p>
      <w:pPr>
        <w:spacing w:after="0" w:line="100" w:lineRule="exact"/>
        <w:rPr>
          <w:rFonts w:ascii="Arial" w:cs="Arial" w:eastAsia="Arial" w:hAnsi="Arial"/>
          <w:sz w:val="16"/>
          <w:szCs w:val="16"/>
          <w:color w:val="auto"/>
        </w:rPr>
      </w:pPr>
    </w:p>
    <w:p>
      <w:pPr>
        <w:ind w:left="540" w:hanging="316"/>
        <w:spacing w:after="0" w:line="260"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Reviewing checks and balances implemented by the Company designed to support and promote compliance with approved corporate policies, legal rules, and regulations</w:t>
      </w:r>
    </w:p>
    <w:p>
      <w:pPr>
        <w:spacing w:after="0" w:line="100" w:lineRule="exact"/>
        <w:rPr>
          <w:rFonts w:ascii="Arial" w:cs="Arial" w:eastAsia="Arial" w:hAnsi="Arial"/>
          <w:sz w:val="16"/>
          <w:szCs w:val="16"/>
          <w:color w:val="auto"/>
        </w:rPr>
      </w:pPr>
    </w:p>
    <w:p>
      <w:pPr>
        <w:ind w:left="540" w:hanging="316"/>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Overseeing the Company’s policies and procedures for corporate political and lobbying expenditures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Committee Responsibilities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Executive Committee’s key oversight responsibilities include, but are not limited to:</w:t>
      </w:r>
    </w:p>
    <w:p>
      <w:pPr>
        <w:spacing w:after="0" w:line="127" w:lineRule="exact"/>
        <w:rPr>
          <w:sz w:val="20"/>
          <w:szCs w:val="20"/>
          <w:color w:val="auto"/>
        </w:rPr>
      </w:pPr>
    </w:p>
    <w:p>
      <w:pPr>
        <w:ind w:left="540" w:hanging="316"/>
        <w:spacing w:after="0" w:line="260"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Assisting the Board in fulfilling its fiduciary responsibilities by exercising those powers of the Board not otherwise limited by a resolution of the Board or by law</w:t>
      </w:r>
    </w:p>
    <w:p>
      <w:pPr>
        <w:spacing w:after="0" w:line="100" w:lineRule="exact"/>
        <w:rPr>
          <w:rFonts w:ascii="Arial" w:cs="Arial" w:eastAsia="Arial" w:hAnsi="Arial"/>
          <w:sz w:val="16"/>
          <w:szCs w:val="16"/>
          <w:color w:val="auto"/>
        </w:rPr>
      </w:pPr>
    </w:p>
    <w:p>
      <w:pPr>
        <w:ind w:left="540" w:hanging="316"/>
        <w:spacing w:after="0"/>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Strategic planning and additional oversight of strategy implementation</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Finance Committee Responsibilities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Finance Committee’s key oversight responsibilities include, but are not limited to:</w:t>
      </w:r>
    </w:p>
    <w:p>
      <w:pPr>
        <w:spacing w:after="0" w:line="127"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Material mergers, acquisitions, and combinations with other companies</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Swaps and other derivatives transactions</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Establishment of credit facilities</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Potential financings with commercial lenders</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Issuance and repurchase of the Company’s debt, equity, hybrid or other securities</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Capital structure, including dividend payments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Governance and Nominating Committee Responsibilities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Governance and Nominating Committee’s key oversight responsibilities include, but are not limited to:</w:t>
      </w:r>
    </w:p>
    <w:p>
      <w:pPr>
        <w:spacing w:after="0" w:line="127" w:lineRule="exact"/>
        <w:rPr>
          <w:sz w:val="20"/>
          <w:szCs w:val="20"/>
          <w:color w:val="auto"/>
        </w:rPr>
      </w:pPr>
    </w:p>
    <w:p>
      <w:pPr>
        <w:ind w:left="540" w:hanging="316"/>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Corporate governance matters</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nomination or re-nomination of Director candidates</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Board’s review and consideration of shareholder recommendations for, and nominations of, Director candidates</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annual self-evaluation of the Board and its committees</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Director orientation and continuing education programs</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Evaluating Board composition with respect to director independence, skills, experience, expertise, diversity, and other factors</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succession planning matters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Oversight Committee Responsibilities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Risk Oversight Committee’s key oversight responsibilities include, but are not limited to:</w:t>
      </w:r>
    </w:p>
    <w:p>
      <w:pPr>
        <w:spacing w:after="0" w:line="127" w:lineRule="exact"/>
        <w:rPr>
          <w:sz w:val="20"/>
          <w:szCs w:val="20"/>
          <w:color w:val="auto"/>
        </w:rPr>
      </w:pPr>
    </w:p>
    <w:p>
      <w:pPr>
        <w:ind w:left="540" w:hanging="316"/>
        <w:spacing w:after="0" w:line="260"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Reviewing the enterprise risk framework, infrastructure, and controls implemented by management to help identify, assess, manage and monitor material risks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540" w:right="20" w:hanging="316"/>
        <w:spacing w:after="0" w:line="260"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Reviewing management’s exercise of its responsibility to identify, assess and manage material risks not allocated to the Board or another committee, including, for example, data security programs and cybersecurity and information technology</w:t>
      </w:r>
    </w:p>
    <w:p>
      <w:pPr>
        <w:spacing w:after="0" w:line="100" w:lineRule="exact"/>
        <w:rPr>
          <w:rFonts w:ascii="Arial" w:cs="Arial" w:eastAsia="Arial" w:hAnsi="Arial"/>
          <w:sz w:val="16"/>
          <w:szCs w:val="16"/>
          <w:color w:val="auto"/>
        </w:rPr>
      </w:pPr>
    </w:p>
    <w:p>
      <w:pPr>
        <w:ind w:left="540" w:hanging="316"/>
        <w:spacing w:after="0"/>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Management’s efforts with respect to CSR matters</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Meeting with the Chairs of the other committees at least two times a year to discuss enterprise risk and related matters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Science and Technology Committee Responsibilities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Science and Technology Committee’s key oversight responsibilities include, but are not limited to:</w:t>
      </w:r>
    </w:p>
    <w:p>
      <w:pPr>
        <w:spacing w:after="0" w:line="127" w:lineRule="exact"/>
        <w:rPr>
          <w:sz w:val="20"/>
          <w:szCs w:val="20"/>
          <w:color w:val="auto"/>
        </w:rPr>
      </w:pPr>
    </w:p>
    <w:p>
      <w:pPr>
        <w:ind w:left="540" w:hanging="316"/>
        <w:spacing w:after="0"/>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Reviewing the overall strategy and direction of the Company’s R&amp;D program</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Reviewing presentations regarding significant emerging scientific and technological developments relevant to Viatris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666666"/>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7" w:lineRule="exact"/>
        <w:rPr>
          <w:sz w:val="20"/>
          <w:szCs w:val="20"/>
          <w:color w:val="auto"/>
        </w:rPr>
      </w:pPr>
    </w:p>
    <w:p>
      <w:pPr>
        <w:jc w:val="both"/>
        <w:ind w:left="120"/>
        <w:spacing w:after="0" w:line="250" w:lineRule="auto"/>
        <w:rPr>
          <w:sz w:val="20"/>
          <w:szCs w:val="20"/>
          <w:color w:val="auto"/>
        </w:rPr>
      </w:pPr>
      <w:r>
        <w:rPr>
          <w:rFonts w:ascii="Arial" w:cs="Arial" w:eastAsia="Arial" w:hAnsi="Arial"/>
          <w:sz w:val="16"/>
          <w:szCs w:val="16"/>
          <w:color w:val="auto"/>
        </w:rPr>
        <w:t>Viatris’ Board, with the support of the Governance and Nominating Committee, seeks to identify a diverse talent pool of qualified candidates for consideration as part of the Board’s refreshment and succession planning. The Board also seeks to combine the skills and experience of its long-standing Board members with fresh perspectives, insights, skills, and experiences of new members in support of its belief that it is important for Directors to represent diverse viewpoints and, further, that the personal backgrounds and qualifications of the Directors, considered as a group, should provide a composite mix of experience, knowledge and abilities. The Board is committed to fostering a culture of integrity, inclusion, dignity and mutual respect.</w:t>
      </w:r>
    </w:p>
    <w:p>
      <w:pPr>
        <w:spacing w:after="0" w:line="203"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6"/>
          <w:szCs w:val="16"/>
          <w:color w:val="auto"/>
        </w:rPr>
        <w:t>Viatris’ Board and Governance and Nominating Committee evaluate Board composition with respect to, among other matters, director independence, skills, experience, expertise, diversity, and other factors to ensure that the Board remains well-qualified to provide effective oversight of the Company and management. The Board and the Governance and Nominating Committee consider Viatris’ strategy, performance, operations, relevant industry and market conditions, and current and anticipated needs in terms of particular areas of experience and expertise (e.g., risk oversight, industry, science), among many other factors, to inform these refreshment practices and decisions. As we continue to evaluate Board composition, we also work to establish a pool of qualified potential candidates to support our continued refreshment efforts.</w:t>
      </w:r>
    </w:p>
    <w:p>
      <w:pPr>
        <w:spacing w:after="0" w:line="205"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6"/>
          <w:szCs w:val="16"/>
          <w:color w:val="auto"/>
        </w:rPr>
        <w:t>Reflecting the critical importance of senior leadership to the success of the Company and its overall business strategy, our Corporate Governance Principles provide that the Board will work with senior management to ensure that effective plans are in place for management succession. The Board’s goal is to have a long-term and continuous program for effective senior leadership and succession as well as to have contingency plans in place for emergencies such as departure, death, or disability. The Board discusses succession planning regularly at scheduled meetings, including in executive session, as appropriate. These succession planning activities have been and may continue to be supported by independent third-party consultants.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666666"/>
        </w:rPr>
        <w:t>Setting and Overseeing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7"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The Board actively discusses and determines the Company’s strategies intended to unlock value for the Company and its shareholders and ensure the durability, sustainability, and stability of the business.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86"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6"/>
          <w:szCs w:val="16"/>
          <w:color w:val="auto"/>
        </w:rPr>
        <w:t>The Board’s ongoing strategic planning and review under the leadership of the Executive Chairman, supports a diversified and differentiated portfolio that is not reliant on a single market or product, supporting patients’ access to medicine across geographies and therapeutic areas and resulting in stable and durable cash flows despite evolving, challenging, and often unpredictable, market conditions. In 2021, the Board undertook a comprehensive strategic review of the Company, which culminated in the February 2022 announcement of several strategic priorities, including the Biocon Biologics Transaction and the items outlined below. The Company also delivered on several other key priorities as outlined in “Compensation Discussion and Analysis — Selected Highlights”.</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February 2022, the Company identified three strategic priorities: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Unlock Trapped Value and Simplify the Business</w:t>
      </w:r>
    </w:p>
    <w:p>
      <w:pPr>
        <w:spacing w:after="0" w:line="133" w:lineRule="exact"/>
        <w:rPr>
          <w:sz w:val="20"/>
          <w:szCs w:val="20"/>
          <w:color w:val="auto"/>
        </w:rPr>
      </w:pPr>
    </w:p>
    <w:p>
      <w:pPr>
        <w:jc w:val="both"/>
        <w:ind w:left="120"/>
        <w:spacing w:after="0" w:line="249" w:lineRule="auto"/>
        <w:rPr>
          <w:sz w:val="20"/>
          <w:szCs w:val="20"/>
          <w:color w:val="auto"/>
        </w:rPr>
      </w:pPr>
      <w:r>
        <w:rPr>
          <w:rFonts w:ascii="Arial" w:cs="Arial" w:eastAsia="Arial" w:hAnsi="Arial"/>
          <w:sz w:val="16"/>
          <w:szCs w:val="16"/>
          <w:color w:val="auto"/>
        </w:rPr>
        <w:t>Through the ongoing comprehensive strategic review described above, the Board has identified opportunities that it believes could generate significant proceeds, including through the divestment of assets that are non-core to the future of Viatris. Upon closing, the Biocon Biologics Transaction will enable the Company to unlock value while also creating what we expect to be a unique vertically integrated global biosimilars leader that is well-positioned to compete in today’s environment. The Company expects to enter into additional transactions that will similarly maximize the value of other assets. With the continued guidance of the Board, Viatris expects to continue to evolve its operating model, removing inefficiency and complexity within its portfolio and simplifying the organization and reducing execution risk.</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Build a More Durable, Higher-Margin Portfolio</w:t>
      </w:r>
    </w:p>
    <w:p>
      <w:pPr>
        <w:spacing w:after="0" w:line="133"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auto"/>
        </w:rPr>
        <w:t>Viatris believes that the financial flexibility achieved from unlocking value through the divestment of other select assets will enable the Company to build a more durable higher-margin portfolio characterized by additional investments in 505(b)(2)s and new chemical entities, globally defined key therapeutic areas (ophthalmology, gastrointestinal, and dermatology), and enhanced commercial and scientific capabilities.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Enhance Financial Flexibility</w:t>
      </w:r>
    </w:p>
    <w:p>
      <w:pPr>
        <w:spacing w:after="0" w:line="133"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auto"/>
        </w:rPr>
        <w:t>Viatris believes its unlocking of value will further enhance the Company’s financial flexibility by enabling the Company to accelerate deleveraging, to return capital to shareholders through the potential for share repurchases and further dividend growth and to evaluate incremental development investments in the future along with engaging in targeted business development activities.</w:t>
      </w:r>
    </w:p>
    <w:p>
      <w:pPr>
        <w:spacing w:after="0" w:line="201" w:lineRule="exact"/>
        <w:rPr>
          <w:sz w:val="20"/>
          <w:szCs w:val="20"/>
          <w:color w:val="auto"/>
        </w:rPr>
      </w:pPr>
    </w:p>
    <w:p>
      <w:pPr>
        <w:jc w:val="both"/>
        <w:ind w:left="120"/>
        <w:spacing w:after="0" w:line="230" w:lineRule="auto"/>
        <w:rPr>
          <w:sz w:val="20"/>
          <w:szCs w:val="20"/>
          <w:color w:val="auto"/>
        </w:rPr>
      </w:pPr>
      <w:r>
        <w:rPr>
          <w:rFonts w:ascii="Arial" w:cs="Arial" w:eastAsia="Arial" w:hAnsi="Arial"/>
          <w:sz w:val="16"/>
          <w:szCs w:val="16"/>
          <w:color w:val="auto"/>
        </w:rPr>
        <w:t>The Board is committed to overseeing continuing efforts to further unlock the value of our unique global platform and return capital to shareholders (see “Compensation Discussion and Analysis — Selected Highlights”) and to maintaining an ongoing dialogue with shareholders regarding a broad range of topics, including, among others, our differentiated strategy and business model; the Global Healthcare Gateway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which the Company enters into strategic alliances with partners to develop, manufacture, market and/or distribute certain products, and/or certain components of our products, in various markets); delevering strategies; governance; compensation; promoting sustainability; and further enhancing our efforts to advance our CSR performance.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666666"/>
        </w:rPr>
        <w:t>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7"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Viatris operates in a complex and rapidly changing environment that involves many potential risks. In addition to general market, industry, R&amp;D, supply chain, political, and economic risks, the Company faces potential risks related to, among others, the integration of Mylan and Upjohn; our ongoing global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86"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restructuring initiatives; the pending Biocon Biologics Transaction; information technology and cybersecurity; data privacy; financial controls and reporting; manufacturing and quality; legal, regulatory and compliance requirements and developments; finance; the global nature of our operations; human capital management and retention; environmental and social responsibility; and product portfolio and commercialization, among others. As a company committed to operating ethically and with integrity, we proactively seek to manage and, where possible, mitigate risks to help ensure compliance with applicable rules and regulations, maintain integrity and continuity in our operations and business, including in support of achieving strategic priorities, long-term financial and operational performance, protect our assets (financial, intellectual property, and information, among others), and enhance shareholder and other stakeholder value. Risk management is an enterprise-wide objective subject to oversight by the Board and its committees.</w:t>
      </w:r>
    </w:p>
    <w:p>
      <w:pPr>
        <w:spacing w:after="0" w:line="208"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6"/>
          <w:szCs w:val="16"/>
          <w:color w:val="auto"/>
        </w:rPr>
        <w:t>It is the responsibility of Viatris’ management and employees to identify material risks to our business and to implement and administer robust risk management and mitigation processes and programs, while also maintaining reasonable flexibility in how we operate. To further embed risk management and compliance into our culture, Viatris has a robust global corporate compliance program, implements comprehensive policies and procedures, trains employees on how to implement and comply with them, and maintains an extensive program of oversight and audit to help ensure compliance and appropriate enterprise risk management.</w:t>
      </w:r>
    </w:p>
    <w:p>
      <w:pPr>
        <w:spacing w:after="0" w:line="203" w:lineRule="exact"/>
        <w:rPr>
          <w:sz w:val="20"/>
          <w:szCs w:val="20"/>
          <w:color w:val="auto"/>
        </w:rPr>
      </w:pPr>
    </w:p>
    <w:p>
      <w:pPr>
        <w:jc w:val="both"/>
        <w:ind w:left="120"/>
        <w:spacing w:after="0" w:line="251" w:lineRule="auto"/>
        <w:rPr>
          <w:sz w:val="20"/>
          <w:szCs w:val="20"/>
          <w:color w:val="auto"/>
        </w:rPr>
      </w:pPr>
      <w:r>
        <w:rPr>
          <w:rFonts w:ascii="Arial" w:cs="Arial" w:eastAsia="Arial" w:hAnsi="Arial"/>
          <w:sz w:val="16"/>
          <w:szCs w:val="16"/>
          <w:color w:val="auto"/>
        </w:rPr>
        <w:t>The Viatris Board, in turn, directly or through its committees, oversees the implementation of risk management and mitigation processes. The Board and its committees rigorously review with management the risk management program at least quarterly, as well as during the Board’s annual budget review and approval process. Each of our committees has full access to officers and employees of the Company, and our Board and committees also meet without members of management present.</w:t>
      </w:r>
    </w:p>
    <w:p>
      <w:pPr>
        <w:spacing w:after="0" w:line="202"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The Board also has approved a Code of Business Conduct and Ethics, Code of Ethics for Chief Executive Officer, Chief Financial Officer and Corporate Controller, and other related policies to help manage and mitigate risk globally.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 Role in Risk Oversight</w:t>
      </w:r>
    </w:p>
    <w:p>
      <w:pPr>
        <w:spacing w:after="0" w:line="122" w:lineRule="exact"/>
        <w:rPr>
          <w:sz w:val="20"/>
          <w:szCs w:val="20"/>
          <w:color w:val="auto"/>
        </w:rPr>
      </w:pPr>
    </w:p>
    <w:p>
      <w:pPr>
        <w:jc w:val="both"/>
        <w:ind w:left="540" w:right="20" w:hanging="316"/>
        <w:spacing w:after="0" w:line="253"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The Audit Committee </w:t>
      </w:r>
      <w:r>
        <w:rPr>
          <w:rFonts w:ascii="Arial" w:cs="Arial" w:eastAsia="Arial" w:hAnsi="Arial"/>
          <w:sz w:val="16"/>
          <w:szCs w:val="16"/>
          <w:color w:val="auto"/>
        </w:rPr>
        <w:t>focuses on risks relating to financial and disclosure controls, SEC reporting matters, and oversight of Viatris’ internal audit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function and independent registered public accounting firm. The Committee oversees, among other matters, the Company’s processes and procedures relating to risk assessment and risk management relating to financial, disclosure, and SEC reporting-related matters, and reviews with management the quality and adequacy of the Company’s internal control over financial reporting. Viatris’ internal audit function reports to and meets with the Committee at least quarterly to discuss potential risk or control issues, and the Committee regularly discusses the performance of the internal audit function, and the adequacy of resources available to this function. The Committee also meets quarterly with Viatris’ independent registered public accounting firm in executive session.</w:t>
      </w:r>
    </w:p>
    <w:p>
      <w:pPr>
        <w:spacing w:after="0" w:line="86" w:lineRule="exact"/>
        <w:rPr>
          <w:rFonts w:ascii="Arial" w:cs="Arial" w:eastAsia="Arial" w:hAnsi="Arial"/>
          <w:sz w:val="16"/>
          <w:szCs w:val="16"/>
          <w:color w:val="auto"/>
        </w:rPr>
      </w:pPr>
    </w:p>
    <w:p>
      <w:pPr>
        <w:jc w:val="both"/>
        <w:ind w:left="540" w:right="20" w:hanging="316"/>
        <w:spacing w:after="0" w:line="256"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The Compensation Committee </w:t>
      </w:r>
      <w:r>
        <w:rPr>
          <w:rFonts w:ascii="Arial" w:cs="Arial" w:eastAsia="Arial" w:hAnsi="Arial"/>
          <w:sz w:val="16"/>
          <w:szCs w:val="16"/>
          <w:color w:val="auto"/>
        </w:rPr>
        <w:t>focuses on the design and administration of compensation-related plans and programs, and considers whether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how such plans and programs balance risk-taking and rewards, and align with shareholder interests. The Committee receives reports, on at least a quarterly basis, from management and outside advisors regarding compensation-related matters, and considers risk management in determining compensation structure. The Committee also reviews reports from management regarding pay equity, human capital management, and succession planning.</w:t>
      </w:r>
    </w:p>
    <w:p>
      <w:pPr>
        <w:spacing w:after="0" w:line="85" w:lineRule="exact"/>
        <w:rPr>
          <w:rFonts w:ascii="Arial" w:cs="Arial" w:eastAsia="Arial" w:hAnsi="Arial"/>
          <w:sz w:val="16"/>
          <w:szCs w:val="16"/>
          <w:color w:val="auto"/>
        </w:rPr>
      </w:pPr>
    </w:p>
    <w:p>
      <w:pPr>
        <w:ind w:left="540" w:right="20" w:hanging="316"/>
        <w:spacing w:after="0" w:line="286"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The Compliance Committee </w:t>
      </w:r>
      <w:r>
        <w:rPr>
          <w:rFonts w:ascii="Arial" w:cs="Arial" w:eastAsia="Arial" w:hAnsi="Arial"/>
          <w:sz w:val="16"/>
          <w:szCs w:val="16"/>
          <w:color w:val="auto"/>
        </w:rPr>
        <w:t>is responsible for overseeing the Chief Compliance Officer’s implementation of Viatris’ Corporate Compliance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 The Chief Compliance Officer reports to the Committee and</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86"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540" w:right="20"/>
        <w:spacing w:after="0" w:line="248" w:lineRule="auto"/>
        <w:rPr>
          <w:sz w:val="20"/>
          <w:szCs w:val="20"/>
          <w:color w:val="auto"/>
        </w:rPr>
      </w:pPr>
      <w:r>
        <w:rPr>
          <w:rFonts w:ascii="Arial" w:cs="Arial" w:eastAsia="Arial" w:hAnsi="Arial"/>
          <w:sz w:val="16"/>
          <w:szCs w:val="16"/>
          <w:color w:val="auto"/>
        </w:rPr>
        <w:t>the CEO, and the Committee is responsible for appointing and, as applicable, replacing, this individual, and discusses the Chief Compliance Officer’s performance, responsibilities, plans and resources with the CEO. The Committee also makes recommendations to the Board with respect to the Corporate Compliance Program, the Code of Business Conduct and Ethics, and significant related global policies, and is responsible for reviewing reports of significant actual or alleged violations of the Code of Business Conduct and Ethics, corporate policies and procedures, and applicable laws and regulations. The Committee also discusses reports regarding non-financial compliance risk and risks associated with privacy, antitrust and competition, anti-corruption, and third-party risks, and reviews significant global compliance-related policies, including policies related to pricing and/or commercialization of Company products and services.</w:t>
      </w:r>
    </w:p>
    <w:p>
      <w:pPr>
        <w:spacing w:after="0" w:line="94" w:lineRule="exact"/>
        <w:rPr>
          <w:sz w:val="20"/>
          <w:szCs w:val="20"/>
          <w:color w:val="auto"/>
        </w:rPr>
      </w:pPr>
    </w:p>
    <w:p>
      <w:pPr>
        <w:jc w:val="both"/>
        <w:ind w:left="540" w:right="20" w:hanging="316"/>
        <w:spacing w:after="0" w:line="266"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The Finance Committee </w:t>
      </w:r>
      <w:r>
        <w:rPr>
          <w:rFonts w:ascii="Arial" w:cs="Arial" w:eastAsia="Arial" w:hAnsi="Arial"/>
          <w:sz w:val="16"/>
          <w:szCs w:val="16"/>
          <w:color w:val="auto"/>
        </w:rPr>
        <w:t>is responsible for reviewing and, as appropriate, providing recommendations to the Viatris Board with respect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 strategies and policies of the Company relating to its capital structure and deployment and/or allocation of capital, material financial matters and transactions, and the risks related to such activities.</w:t>
      </w:r>
    </w:p>
    <w:p>
      <w:pPr>
        <w:spacing w:after="0" w:line="76" w:lineRule="exact"/>
        <w:rPr>
          <w:rFonts w:ascii="Arial" w:cs="Arial" w:eastAsia="Arial" w:hAnsi="Arial"/>
          <w:sz w:val="16"/>
          <w:szCs w:val="16"/>
          <w:color w:val="auto"/>
        </w:rPr>
      </w:pPr>
    </w:p>
    <w:p>
      <w:pPr>
        <w:jc w:val="both"/>
        <w:ind w:left="540" w:hanging="316"/>
        <w:spacing w:after="0" w:line="259"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The Governance and Nominating Committee </w:t>
      </w:r>
      <w:r>
        <w:rPr>
          <w:rFonts w:ascii="Arial" w:cs="Arial" w:eastAsia="Arial" w:hAnsi="Arial"/>
          <w:sz w:val="16"/>
          <w:szCs w:val="16"/>
          <w:color w:val="auto"/>
        </w:rPr>
        <w:t>is responsible for identifying, assisting in recruiting, and nominating qualified individuals to become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members of the Viatris Board, recommending committee assignments, overseeing the Board’s annual evaluation of the independence of Directors, and evaluating and assisting the Board in considering potential risks related to corporate governance. The Committee is also responsible for overseeing the annual self-evaluation of the Board and its committees and Director orientation and continuing education programs.</w:t>
      </w:r>
    </w:p>
    <w:p>
      <w:pPr>
        <w:spacing w:after="0" w:line="83" w:lineRule="exact"/>
        <w:rPr>
          <w:rFonts w:ascii="Arial" w:cs="Arial" w:eastAsia="Arial" w:hAnsi="Arial"/>
          <w:sz w:val="16"/>
          <w:szCs w:val="16"/>
          <w:color w:val="auto"/>
        </w:rPr>
      </w:pPr>
    </w:p>
    <w:p>
      <w:pPr>
        <w:jc w:val="both"/>
        <w:ind w:left="540" w:hanging="316"/>
        <w:spacing w:after="0" w:line="253"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The Risk Oversight Committee </w:t>
      </w:r>
      <w:r>
        <w:rPr>
          <w:rFonts w:ascii="Arial" w:cs="Arial" w:eastAsia="Arial" w:hAnsi="Arial"/>
          <w:sz w:val="16"/>
          <w:szCs w:val="16"/>
          <w:color w:val="auto"/>
        </w:rPr>
        <w:t>assists the Board in its oversight of Viatris’ enterprise risk management framework. The Committee reviews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enterprise risk framework, infrastructure, and controls implemented by management to help identify, assess, manage, and monitor the Company’s material risks; reviews management’s exercise of its responsibility to identify, assess, and manage material risks not allocated to the Board or another committee, including, for example, data security programs and cybersecurity and information technology; oversees management’s activities with respect to CSR; and reviews the Company’s efforts to foster a culture of risk-adjusted decision-making without constraining reasonable risk-taking and innovation. The Committee also meets with the Chairs of the other committees at least two times a year to discuss enterprise risk and related matters.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Board’s Role in CSR Oversight</w:t>
      </w:r>
    </w:p>
    <w:p>
      <w:pPr>
        <w:spacing w:after="0" w:line="128" w:lineRule="exact"/>
        <w:rPr>
          <w:sz w:val="20"/>
          <w:szCs w:val="20"/>
          <w:color w:val="auto"/>
        </w:rPr>
      </w:pPr>
    </w:p>
    <w:p>
      <w:pPr>
        <w:jc w:val="both"/>
        <w:ind w:left="120"/>
        <w:spacing w:after="0" w:line="251" w:lineRule="auto"/>
        <w:rPr>
          <w:sz w:val="20"/>
          <w:szCs w:val="20"/>
          <w:color w:val="auto"/>
        </w:rPr>
      </w:pPr>
      <w:r>
        <w:rPr>
          <w:rFonts w:ascii="Arial" w:cs="Arial" w:eastAsia="Arial" w:hAnsi="Arial"/>
          <w:sz w:val="16"/>
          <w:szCs w:val="16"/>
          <w:color w:val="auto"/>
        </w:rPr>
        <w:t>Viatris’ Board of Directors oversees management’s efforts with respect to CSR through its Risk Oversight Committee. The CSR function operates as a center of excellence within the Viatris Corporate Affairs leadership team. The Head of CSR Development and Operations drives the strategic and operational development of CSR across the Company together with key partners. The Head of Corporate Affairs and the Head of CSR Development and Operations communicate quarterly with the Viatris Board on CSR matters through the Risk Oversight Committee.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Education</w:t>
      </w:r>
    </w:p>
    <w:p>
      <w:pPr>
        <w:spacing w:after="0" w:line="128"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6"/>
          <w:szCs w:val="16"/>
          <w:color w:val="auto"/>
        </w:rPr>
        <w:t>The Governance and Nominating Committee is responsible for overseeing and annually reviewing Director orientation and continuing education programs, including educational seminars, presentations, conferences and other Director education programs and opportunities presented by external and internal resources, on matters that may relate to, among other topics: compensation, governance, board process, risk oversight, audit and accounting, regulatory and other current issues. Directors also may elect to attend additional third-party educational events. The Company reimburses Directors for costs associated with any related seminars and conferences, including travel expenses.</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86"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11. Executive Compensation</w:t>
      </w:r>
    </w:p>
    <w:p>
      <w:pPr>
        <w:spacing w:after="0" w:line="83"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732282"/>
        </w:rPr>
        <w:t>Compensation Discussion and Analysis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Compensation Discussion and Analysis (“CD&amp;A”) describes the compensation of our Named Executive Officers (“NEOs”) for 2021.</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666666"/>
        </w:rPr>
        <w:t>Our Performance-Based Approach to 2021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6995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1" w:lineRule="exact"/>
        <w:rPr>
          <w:sz w:val="20"/>
          <w:szCs w:val="20"/>
          <w:color w:val="auto"/>
        </w:rPr>
      </w:pPr>
    </w:p>
    <w:p>
      <w:pPr>
        <w:jc w:val="both"/>
        <w:ind w:left="120" w:right="20"/>
        <w:spacing w:after="0" w:line="230" w:lineRule="auto"/>
        <w:rPr>
          <w:sz w:val="20"/>
          <w:szCs w:val="20"/>
          <w:color w:val="auto"/>
        </w:rPr>
      </w:pPr>
      <w:r>
        <w:rPr>
          <w:rFonts w:ascii="Arial" w:cs="Arial" w:eastAsia="Arial" w:hAnsi="Arial"/>
          <w:sz w:val="16"/>
          <w:szCs w:val="16"/>
          <w:color w:val="auto"/>
        </w:rPr>
        <w:t>In early 2021, Viatris announced its 2021 financial guidance, which included adjusted EBITDA and free cash flow metrics</w:t>
      </w:r>
      <w:r>
        <w:rPr>
          <w:rFonts w:ascii="Arial" w:cs="Arial" w:eastAsia="Arial" w:hAnsi="Arial"/>
          <w:sz w:val="22"/>
          <w:szCs w:val="22"/>
          <w:color w:val="auto"/>
          <w:vertAlign w:val="superscript"/>
        </w:rPr>
        <w:t>1</w:t>
      </w:r>
      <w:r>
        <w:rPr>
          <w:rFonts w:ascii="Arial" w:cs="Arial" w:eastAsia="Arial" w:hAnsi="Arial"/>
          <w:sz w:val="16"/>
          <w:szCs w:val="16"/>
          <w:color w:val="auto"/>
        </w:rPr>
        <w:t>. These publicly reported metrics directly tie to strategic Company priorities for the first three years following the closing of the Combination, including rebalancing the business, generating strong and growing cash flows, and rapidly de-levering. In addition, the Company is focused on obtaining synergies to become more flexible and efficient while continuing to launch new products. For 2021, Viatris reported U.S. GAAP net loss of $1.3 billion, U.S. GAAP net cash provided by operating activities of $3.0 billion, adjusted EBITDA of $6.4 billion, and free cash flow of $2.6 billion.</w:t>
      </w:r>
    </w:p>
    <w:p>
      <w:pPr>
        <w:spacing w:after="0" w:line="213" w:lineRule="exact"/>
        <w:rPr>
          <w:sz w:val="20"/>
          <w:szCs w:val="20"/>
          <w:color w:val="auto"/>
        </w:rPr>
      </w:pPr>
    </w:p>
    <w:p>
      <w:pPr>
        <w:jc w:val="both"/>
        <w:ind w:left="120"/>
        <w:spacing w:after="0" w:line="251" w:lineRule="auto"/>
        <w:rPr>
          <w:sz w:val="20"/>
          <w:szCs w:val="20"/>
          <w:color w:val="auto"/>
        </w:rPr>
      </w:pPr>
      <w:r>
        <w:rPr>
          <w:rFonts w:ascii="Arial" w:cs="Arial" w:eastAsia="Arial" w:hAnsi="Arial"/>
          <w:sz w:val="16"/>
          <w:szCs w:val="16"/>
          <w:color w:val="auto"/>
        </w:rPr>
        <w:t>Compensation in 2021 represents the first year of Viatris’ new compensation program. As described in more detail below, our 2021 program consists of base salary, performance-based annual incentive awards, and performance-based long-term incentive awards subject to financial metrics and a relative TSR modifier. There is strong alignment of pay and performance in our program, with approximately 70% of total target compensation delivered in the form of long-term equity and approximately 60% of total target compensation subject to performance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144145</wp:posOffset>
            </wp:positionV>
            <wp:extent cx="1783080" cy="14573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83080" cy="145732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144145</wp:posOffset>
            </wp:positionV>
            <wp:extent cx="1791335" cy="14573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9133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The Compensation Committee directly linked 2021 performance metrics to our stated strategy and financial goals. The table below also describes how our performance metrics support the Company’s strategic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77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8" w:lineRule="exact"/>
        <w:rPr>
          <w:sz w:val="20"/>
          <w:szCs w:val="20"/>
          <w:color w:val="auto"/>
        </w:rPr>
      </w:pPr>
    </w:p>
    <w:p>
      <w:pPr>
        <w:jc w:val="both"/>
        <w:ind w:left="540" w:right="20" w:hanging="424"/>
        <w:spacing w:after="0" w:line="217" w:lineRule="auto"/>
        <w:tabs>
          <w:tab w:leader="none" w:pos="540" w:val="left"/>
        </w:tabs>
        <w:numPr>
          <w:ilvl w:val="0"/>
          <w:numId w:val="21"/>
        </w:numPr>
        <w:rPr>
          <w:rFonts w:ascii="Arial" w:cs="Arial" w:eastAsia="Arial" w:hAnsi="Arial"/>
          <w:sz w:val="23"/>
          <w:szCs w:val="23"/>
          <w:color w:val="auto"/>
          <w:vertAlign w:val="superscript"/>
        </w:rPr>
      </w:pPr>
      <w:r>
        <w:rPr>
          <w:rFonts w:ascii="Arial" w:cs="Arial" w:eastAsia="Arial" w:hAnsi="Arial"/>
          <w:sz w:val="16"/>
          <w:szCs w:val="16"/>
          <w:color w:val="auto"/>
        </w:rPr>
        <w:t>Viatris was not providing forward-looking guidance for U.S. GAAP net earnings (loss) or a quantitative reconciliation of its 2021 adjusted EBITDA guidance and provided a quantitative reconciliation of its 2021 free cash flow guidance. See “Non-GAAP Financial Measures” and Appendix A for additional information.</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86"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170" w:type="dxa"/>
        <w:tblCellMar>
          <w:top w:w="0" w:type="dxa"/>
          <w:left w:w="0" w:type="dxa"/>
          <w:bottom w:w="0" w:type="dxa"/>
          <w:right w:w="0" w:type="dxa"/>
        </w:tblCellMar>
      </w:tblPr>
      <w:tr>
        <w:trPr>
          <w:trHeight w:val="203"/>
        </w:trPr>
        <w:tc>
          <w:tcPr>
            <w:tcW w:w="5640" w:type="dxa"/>
            <w:vAlign w:val="bottom"/>
            <w:tcBorders>
              <w:left w:val="single" w:sz="8" w:color="732282"/>
              <w:right w:val="single" w:sz="8" w:color="732282"/>
            </w:tcBorders>
            <w:shd w:val="clear" w:color="auto" w:fill="732282"/>
          </w:tcPr>
          <w:p>
            <w:pPr>
              <w:ind w:left="2180"/>
              <w:spacing w:after="0"/>
              <w:rPr>
                <w:sz w:val="20"/>
                <w:szCs w:val="20"/>
                <w:color w:val="auto"/>
              </w:rPr>
            </w:pPr>
            <w:r>
              <w:rPr>
                <w:rFonts w:ascii="Arial" w:cs="Arial" w:eastAsia="Arial" w:hAnsi="Arial"/>
                <w:sz w:val="14"/>
                <w:szCs w:val="14"/>
                <w:b w:val="1"/>
                <w:bCs w:val="1"/>
                <w:color w:val="FFFFFF"/>
              </w:rPr>
              <w:t>Performance Metrics</w:t>
            </w:r>
          </w:p>
        </w:tc>
        <w:tc>
          <w:tcPr>
            <w:tcW w:w="5320" w:type="dxa"/>
            <w:vAlign w:val="bottom"/>
            <w:tcBorders>
              <w:right w:val="single" w:sz="8" w:color="732282"/>
            </w:tcBorders>
            <w:shd w:val="clear" w:color="auto" w:fill="732282"/>
          </w:tcPr>
          <w:p>
            <w:pPr>
              <w:ind w:left="2060"/>
              <w:spacing w:after="0"/>
              <w:rPr>
                <w:sz w:val="20"/>
                <w:szCs w:val="20"/>
                <w:color w:val="auto"/>
              </w:rPr>
            </w:pPr>
            <w:r>
              <w:rPr>
                <w:rFonts w:ascii="Arial" w:cs="Arial" w:eastAsia="Arial" w:hAnsi="Arial"/>
                <w:sz w:val="14"/>
                <w:szCs w:val="14"/>
                <w:b w:val="1"/>
                <w:bCs w:val="1"/>
                <w:color w:val="FFFFFF"/>
              </w:rPr>
              <w:t>Rationale For Use</w:t>
            </w:r>
          </w:p>
        </w:tc>
      </w:tr>
      <w:tr>
        <w:trPr>
          <w:trHeight w:val="191"/>
        </w:trPr>
        <w:tc>
          <w:tcPr>
            <w:tcW w:w="5640" w:type="dxa"/>
            <w:vAlign w:val="bottom"/>
            <w:tcBorders>
              <w:left w:val="single" w:sz="8" w:color="732282"/>
              <w:right w:val="single" w:sz="8" w:color="732282"/>
            </w:tcBorders>
          </w:tcPr>
          <w:p>
            <w:pPr>
              <w:ind w:left="220"/>
              <w:spacing w:after="0"/>
              <w:rPr>
                <w:sz w:val="20"/>
                <w:szCs w:val="20"/>
                <w:color w:val="auto"/>
              </w:rPr>
            </w:pPr>
            <w:r>
              <w:rPr>
                <w:rFonts w:ascii="Arial" w:cs="Arial" w:eastAsia="Arial" w:hAnsi="Arial"/>
                <w:sz w:val="16"/>
                <w:szCs w:val="16"/>
                <w:b w:val="1"/>
                <w:bCs w:val="1"/>
                <w:color w:val="231161"/>
              </w:rPr>
              <w:t>Adjusted EBITDA*</w:t>
            </w:r>
          </w:p>
        </w:tc>
        <w:tc>
          <w:tcPr>
            <w:tcW w:w="5320" w:type="dxa"/>
            <w:vAlign w:val="bottom"/>
            <w:tcBorders>
              <w:right w:val="single" w:sz="8" w:color="732282"/>
            </w:tcBorders>
          </w:tcPr>
          <w:p>
            <w:pPr>
              <w:ind w:left="80"/>
              <w:spacing w:after="0"/>
              <w:rPr>
                <w:sz w:val="20"/>
                <w:szCs w:val="20"/>
                <w:color w:val="auto"/>
              </w:rPr>
            </w:pPr>
            <w:r>
              <w:rPr>
                <w:rFonts w:ascii="Arial" w:cs="Arial" w:eastAsia="Arial" w:hAnsi="Arial"/>
                <w:sz w:val="16"/>
                <w:szCs w:val="16"/>
                <w:color w:val="auto"/>
              </w:rPr>
              <w:t>Measures the Company’s profitability and motivates the organization to</w:t>
            </w:r>
          </w:p>
        </w:tc>
      </w:tr>
      <w:tr>
        <w:trPr>
          <w:trHeight w:val="189"/>
        </w:trPr>
        <w:tc>
          <w:tcPr>
            <w:tcW w:w="5640" w:type="dxa"/>
            <w:vAlign w:val="bottom"/>
            <w:tcBorders>
              <w:left w:val="single" w:sz="8" w:color="732282"/>
              <w:right w:val="single" w:sz="8" w:color="732282"/>
            </w:tcBorders>
          </w:tcPr>
          <w:p>
            <w:pPr>
              <w:spacing w:after="0"/>
              <w:rPr>
                <w:sz w:val="16"/>
                <w:szCs w:val="16"/>
                <w:color w:val="auto"/>
              </w:rPr>
            </w:pPr>
          </w:p>
        </w:tc>
        <w:tc>
          <w:tcPr>
            <w:tcW w:w="5320" w:type="dxa"/>
            <w:vAlign w:val="bottom"/>
            <w:tcBorders>
              <w:right w:val="single" w:sz="8" w:color="732282"/>
            </w:tcBorders>
          </w:tcPr>
          <w:p>
            <w:pPr>
              <w:ind w:left="80"/>
              <w:spacing w:after="0"/>
              <w:rPr>
                <w:sz w:val="20"/>
                <w:szCs w:val="20"/>
                <w:color w:val="auto"/>
              </w:rPr>
            </w:pPr>
            <w:r>
              <w:rPr>
                <w:rFonts w:ascii="Arial" w:cs="Arial" w:eastAsia="Arial" w:hAnsi="Arial"/>
                <w:sz w:val="16"/>
                <w:szCs w:val="16"/>
                <w:color w:val="auto"/>
              </w:rPr>
              <w:t>focus on commercial execution and driving new product revenue,</w:t>
            </w:r>
          </w:p>
        </w:tc>
      </w:tr>
      <w:tr>
        <w:trPr>
          <w:trHeight w:val="189"/>
        </w:trPr>
        <w:tc>
          <w:tcPr>
            <w:tcW w:w="5640" w:type="dxa"/>
            <w:vAlign w:val="bottom"/>
            <w:tcBorders>
              <w:left w:val="single" w:sz="8" w:color="732282"/>
              <w:right w:val="single" w:sz="8" w:color="732282"/>
            </w:tcBorders>
          </w:tcPr>
          <w:p>
            <w:pPr>
              <w:spacing w:after="0"/>
              <w:rPr>
                <w:sz w:val="16"/>
                <w:szCs w:val="16"/>
                <w:color w:val="auto"/>
              </w:rPr>
            </w:pPr>
          </w:p>
        </w:tc>
        <w:tc>
          <w:tcPr>
            <w:tcW w:w="5320" w:type="dxa"/>
            <w:vAlign w:val="bottom"/>
            <w:tcBorders>
              <w:right w:val="single" w:sz="8" w:color="732282"/>
            </w:tcBorders>
          </w:tcPr>
          <w:p>
            <w:pPr>
              <w:ind w:left="80"/>
              <w:spacing w:after="0"/>
              <w:rPr>
                <w:sz w:val="20"/>
                <w:szCs w:val="20"/>
                <w:color w:val="auto"/>
              </w:rPr>
            </w:pPr>
            <w:r>
              <w:rPr>
                <w:rFonts w:ascii="Arial" w:cs="Arial" w:eastAsia="Arial" w:hAnsi="Arial"/>
                <w:sz w:val="16"/>
                <w:szCs w:val="16"/>
                <w:color w:val="auto"/>
              </w:rPr>
              <w:t>maintaining  efficiency  of  our  operations,  capturing  synergies,  and</w:t>
            </w:r>
          </w:p>
        </w:tc>
      </w:tr>
      <w:tr>
        <w:trPr>
          <w:trHeight w:val="187"/>
        </w:trPr>
        <w:tc>
          <w:tcPr>
            <w:tcW w:w="5640" w:type="dxa"/>
            <w:vAlign w:val="bottom"/>
            <w:tcBorders>
              <w:left w:val="single" w:sz="8" w:color="732282"/>
              <w:bottom w:val="single" w:sz="8" w:color="732282"/>
              <w:right w:val="single" w:sz="8" w:color="732282"/>
            </w:tcBorders>
          </w:tcPr>
          <w:p>
            <w:pPr>
              <w:spacing w:after="0"/>
              <w:rPr>
                <w:sz w:val="16"/>
                <w:szCs w:val="16"/>
                <w:color w:val="auto"/>
              </w:rPr>
            </w:pPr>
          </w:p>
        </w:tc>
        <w:tc>
          <w:tcPr>
            <w:tcW w:w="5320" w:type="dxa"/>
            <w:vAlign w:val="bottom"/>
            <w:tcBorders>
              <w:bottom w:val="single" w:sz="8" w:color="732282"/>
              <w:right w:val="single" w:sz="8" w:color="732282"/>
            </w:tcBorders>
          </w:tcPr>
          <w:p>
            <w:pPr>
              <w:ind w:left="80"/>
              <w:spacing w:after="0"/>
              <w:rPr>
                <w:sz w:val="20"/>
                <w:szCs w:val="20"/>
                <w:color w:val="auto"/>
              </w:rPr>
            </w:pPr>
            <w:r>
              <w:rPr>
                <w:rFonts w:ascii="Arial" w:cs="Arial" w:eastAsia="Arial" w:hAnsi="Arial"/>
                <w:sz w:val="16"/>
                <w:szCs w:val="16"/>
                <w:color w:val="auto"/>
              </w:rPr>
              <w:t>disciplined expense management</w:t>
            </w:r>
          </w:p>
        </w:tc>
      </w:tr>
      <w:tr>
        <w:trPr>
          <w:trHeight w:val="184"/>
        </w:trPr>
        <w:tc>
          <w:tcPr>
            <w:tcW w:w="5640" w:type="dxa"/>
            <w:vAlign w:val="bottom"/>
            <w:tcBorders>
              <w:left w:val="single" w:sz="8" w:color="732282"/>
              <w:right w:val="single" w:sz="8" w:color="732282"/>
            </w:tcBorders>
          </w:tcPr>
          <w:p>
            <w:pPr>
              <w:ind w:left="220"/>
              <w:spacing w:after="0"/>
              <w:rPr>
                <w:sz w:val="20"/>
                <w:szCs w:val="20"/>
                <w:color w:val="auto"/>
              </w:rPr>
            </w:pPr>
            <w:r>
              <w:rPr>
                <w:rFonts w:ascii="Arial" w:cs="Arial" w:eastAsia="Arial" w:hAnsi="Arial"/>
                <w:sz w:val="16"/>
                <w:szCs w:val="16"/>
                <w:b w:val="1"/>
                <w:bCs w:val="1"/>
                <w:color w:val="231161"/>
              </w:rPr>
              <w:t>Free Cash Flow*</w:t>
            </w:r>
          </w:p>
        </w:tc>
        <w:tc>
          <w:tcPr>
            <w:tcW w:w="5320" w:type="dxa"/>
            <w:vAlign w:val="bottom"/>
            <w:tcBorders>
              <w:right w:val="single" w:sz="8" w:color="732282"/>
            </w:tcBorders>
          </w:tcPr>
          <w:p>
            <w:pPr>
              <w:ind w:left="80"/>
              <w:spacing w:after="0"/>
              <w:rPr>
                <w:sz w:val="20"/>
                <w:szCs w:val="20"/>
                <w:color w:val="auto"/>
              </w:rPr>
            </w:pPr>
            <w:r>
              <w:rPr>
                <w:rFonts w:ascii="Arial" w:cs="Arial" w:eastAsia="Arial" w:hAnsi="Arial"/>
                <w:sz w:val="16"/>
                <w:szCs w:val="16"/>
                <w:color w:val="auto"/>
              </w:rPr>
              <w:t>Creates organizational emphasis and focus on cash through improved</w:t>
            </w:r>
          </w:p>
        </w:tc>
      </w:tr>
      <w:tr>
        <w:trPr>
          <w:trHeight w:val="189"/>
        </w:trPr>
        <w:tc>
          <w:tcPr>
            <w:tcW w:w="5640" w:type="dxa"/>
            <w:vAlign w:val="bottom"/>
            <w:tcBorders>
              <w:left w:val="single" w:sz="8" w:color="732282"/>
              <w:right w:val="single" w:sz="8" w:color="732282"/>
            </w:tcBorders>
          </w:tcPr>
          <w:p>
            <w:pPr>
              <w:spacing w:after="0"/>
              <w:rPr>
                <w:sz w:val="16"/>
                <w:szCs w:val="16"/>
                <w:color w:val="auto"/>
              </w:rPr>
            </w:pPr>
          </w:p>
        </w:tc>
        <w:tc>
          <w:tcPr>
            <w:tcW w:w="5320" w:type="dxa"/>
            <w:vAlign w:val="bottom"/>
            <w:tcBorders>
              <w:right w:val="single" w:sz="8" w:color="732282"/>
            </w:tcBorders>
          </w:tcPr>
          <w:p>
            <w:pPr>
              <w:ind w:left="80"/>
              <w:spacing w:after="0"/>
              <w:rPr>
                <w:sz w:val="20"/>
                <w:szCs w:val="20"/>
                <w:color w:val="auto"/>
              </w:rPr>
            </w:pPr>
            <w:r>
              <w:rPr>
                <w:rFonts w:ascii="Arial" w:cs="Arial" w:eastAsia="Arial" w:hAnsi="Arial"/>
                <w:sz w:val="16"/>
                <w:szCs w:val="16"/>
                <w:color w:val="auto"/>
              </w:rPr>
              <w:t>cash flow conversion, optimized working capital, and overall cash</w:t>
            </w:r>
          </w:p>
        </w:tc>
      </w:tr>
      <w:tr>
        <w:trPr>
          <w:trHeight w:val="187"/>
        </w:trPr>
        <w:tc>
          <w:tcPr>
            <w:tcW w:w="5640" w:type="dxa"/>
            <w:vAlign w:val="bottom"/>
            <w:tcBorders>
              <w:left w:val="single" w:sz="8" w:color="732282"/>
              <w:bottom w:val="single" w:sz="8" w:color="732282"/>
              <w:right w:val="single" w:sz="8" w:color="732282"/>
            </w:tcBorders>
          </w:tcPr>
          <w:p>
            <w:pPr>
              <w:spacing w:after="0"/>
              <w:rPr>
                <w:sz w:val="16"/>
                <w:szCs w:val="16"/>
                <w:color w:val="auto"/>
              </w:rPr>
            </w:pPr>
          </w:p>
        </w:tc>
        <w:tc>
          <w:tcPr>
            <w:tcW w:w="5320" w:type="dxa"/>
            <w:vAlign w:val="bottom"/>
            <w:tcBorders>
              <w:bottom w:val="single" w:sz="8" w:color="732282"/>
              <w:right w:val="single" w:sz="8" w:color="732282"/>
            </w:tcBorders>
          </w:tcPr>
          <w:p>
            <w:pPr>
              <w:ind w:left="80"/>
              <w:spacing w:after="0"/>
              <w:rPr>
                <w:sz w:val="20"/>
                <w:szCs w:val="20"/>
                <w:color w:val="auto"/>
              </w:rPr>
            </w:pPr>
            <w:r>
              <w:rPr>
                <w:rFonts w:ascii="Arial" w:cs="Arial" w:eastAsia="Arial" w:hAnsi="Arial"/>
                <w:sz w:val="16"/>
                <w:szCs w:val="16"/>
                <w:color w:val="auto"/>
              </w:rPr>
              <w:t>generation which can increase the return to shareholders</w:t>
            </w:r>
          </w:p>
        </w:tc>
      </w:tr>
      <w:tr>
        <w:trPr>
          <w:trHeight w:val="184"/>
        </w:trPr>
        <w:tc>
          <w:tcPr>
            <w:tcW w:w="5640" w:type="dxa"/>
            <w:vAlign w:val="bottom"/>
            <w:tcBorders>
              <w:left w:val="single" w:sz="8" w:color="732282"/>
              <w:right w:val="single" w:sz="8" w:color="732282"/>
            </w:tcBorders>
          </w:tcPr>
          <w:p>
            <w:pPr>
              <w:ind w:left="220"/>
              <w:spacing w:after="0"/>
              <w:rPr>
                <w:sz w:val="20"/>
                <w:szCs w:val="20"/>
                <w:color w:val="auto"/>
              </w:rPr>
            </w:pPr>
            <w:r>
              <w:rPr>
                <w:rFonts w:ascii="Arial" w:cs="Arial" w:eastAsia="Arial" w:hAnsi="Arial"/>
                <w:sz w:val="16"/>
                <w:szCs w:val="16"/>
                <w:b w:val="1"/>
                <w:bCs w:val="1"/>
                <w:color w:val="231161"/>
              </w:rPr>
              <w:t>Global Regulatory Submissions</w:t>
            </w:r>
          </w:p>
        </w:tc>
        <w:tc>
          <w:tcPr>
            <w:tcW w:w="5320" w:type="dxa"/>
            <w:vAlign w:val="bottom"/>
            <w:tcBorders>
              <w:right w:val="single" w:sz="8" w:color="732282"/>
            </w:tcBorders>
          </w:tcPr>
          <w:p>
            <w:pPr>
              <w:ind w:left="80"/>
              <w:spacing w:after="0"/>
              <w:rPr>
                <w:sz w:val="20"/>
                <w:szCs w:val="20"/>
                <w:color w:val="auto"/>
              </w:rPr>
            </w:pPr>
            <w:r>
              <w:rPr>
                <w:rFonts w:ascii="Arial" w:cs="Arial" w:eastAsia="Arial" w:hAnsi="Arial"/>
                <w:sz w:val="16"/>
                <w:szCs w:val="16"/>
                <w:color w:val="auto"/>
              </w:rPr>
              <w:t>Emphasizes  the  importance  of  developing  a  robust  pipeline  of</w:t>
            </w:r>
          </w:p>
        </w:tc>
      </w:tr>
      <w:tr>
        <w:trPr>
          <w:trHeight w:val="189"/>
        </w:trPr>
        <w:tc>
          <w:tcPr>
            <w:tcW w:w="5640" w:type="dxa"/>
            <w:vAlign w:val="bottom"/>
            <w:tcBorders>
              <w:left w:val="single" w:sz="8" w:color="732282"/>
              <w:right w:val="single" w:sz="8" w:color="732282"/>
            </w:tcBorders>
          </w:tcPr>
          <w:p>
            <w:pPr>
              <w:spacing w:after="0"/>
              <w:rPr>
                <w:sz w:val="16"/>
                <w:szCs w:val="16"/>
                <w:color w:val="auto"/>
              </w:rPr>
            </w:pPr>
          </w:p>
        </w:tc>
        <w:tc>
          <w:tcPr>
            <w:tcW w:w="5320" w:type="dxa"/>
            <w:vAlign w:val="bottom"/>
            <w:tcBorders>
              <w:right w:val="single" w:sz="8" w:color="732282"/>
            </w:tcBorders>
          </w:tcPr>
          <w:p>
            <w:pPr>
              <w:ind w:left="80"/>
              <w:spacing w:after="0"/>
              <w:rPr>
                <w:sz w:val="20"/>
                <w:szCs w:val="20"/>
                <w:color w:val="auto"/>
              </w:rPr>
            </w:pPr>
            <w:r>
              <w:rPr>
                <w:rFonts w:ascii="Arial" w:cs="Arial" w:eastAsia="Arial" w:hAnsi="Arial"/>
                <w:sz w:val="16"/>
                <w:szCs w:val="16"/>
                <w:color w:val="auto"/>
              </w:rPr>
              <w:t>molecules that Viatris could manufacture and sell over subsequent</w:t>
            </w:r>
          </w:p>
        </w:tc>
      </w:tr>
      <w:tr>
        <w:trPr>
          <w:trHeight w:val="189"/>
        </w:trPr>
        <w:tc>
          <w:tcPr>
            <w:tcW w:w="5640" w:type="dxa"/>
            <w:vAlign w:val="bottom"/>
            <w:tcBorders>
              <w:left w:val="single" w:sz="8" w:color="732282"/>
              <w:right w:val="single" w:sz="8" w:color="732282"/>
            </w:tcBorders>
          </w:tcPr>
          <w:p>
            <w:pPr>
              <w:spacing w:after="0"/>
              <w:rPr>
                <w:sz w:val="16"/>
                <w:szCs w:val="16"/>
                <w:color w:val="auto"/>
              </w:rPr>
            </w:pPr>
          </w:p>
        </w:tc>
        <w:tc>
          <w:tcPr>
            <w:tcW w:w="5320" w:type="dxa"/>
            <w:vAlign w:val="bottom"/>
            <w:tcBorders>
              <w:right w:val="single" w:sz="8" w:color="732282"/>
            </w:tcBorders>
          </w:tcPr>
          <w:p>
            <w:pPr>
              <w:ind w:left="80"/>
              <w:spacing w:after="0"/>
              <w:rPr>
                <w:sz w:val="20"/>
                <w:szCs w:val="20"/>
                <w:color w:val="auto"/>
              </w:rPr>
            </w:pPr>
            <w:r>
              <w:rPr>
                <w:rFonts w:ascii="Arial" w:cs="Arial" w:eastAsia="Arial" w:hAnsi="Arial"/>
                <w:sz w:val="16"/>
                <w:szCs w:val="16"/>
                <w:color w:val="auto"/>
              </w:rPr>
              <w:t>years. A robust product pipeline can help Viatris move its products up</w:t>
            </w:r>
          </w:p>
        </w:tc>
      </w:tr>
      <w:tr>
        <w:trPr>
          <w:trHeight w:val="189"/>
        </w:trPr>
        <w:tc>
          <w:tcPr>
            <w:tcW w:w="5640" w:type="dxa"/>
            <w:vAlign w:val="bottom"/>
            <w:tcBorders>
              <w:left w:val="single" w:sz="8" w:color="732282"/>
              <w:right w:val="single" w:sz="8" w:color="732282"/>
            </w:tcBorders>
          </w:tcPr>
          <w:p>
            <w:pPr>
              <w:spacing w:after="0"/>
              <w:rPr>
                <w:sz w:val="16"/>
                <w:szCs w:val="16"/>
                <w:color w:val="auto"/>
              </w:rPr>
            </w:pPr>
          </w:p>
        </w:tc>
        <w:tc>
          <w:tcPr>
            <w:tcW w:w="5320" w:type="dxa"/>
            <w:vAlign w:val="bottom"/>
            <w:tcBorders>
              <w:right w:val="single" w:sz="8" w:color="732282"/>
            </w:tcBorders>
          </w:tcPr>
          <w:p>
            <w:pPr>
              <w:ind w:left="80"/>
              <w:spacing w:after="0"/>
              <w:rPr>
                <w:sz w:val="20"/>
                <w:szCs w:val="20"/>
                <w:color w:val="auto"/>
              </w:rPr>
            </w:pPr>
            <w:r>
              <w:rPr>
                <w:rFonts w:ascii="Arial" w:cs="Arial" w:eastAsia="Arial" w:hAnsi="Arial"/>
                <w:sz w:val="16"/>
                <w:szCs w:val="16"/>
                <w:color w:val="auto"/>
              </w:rPr>
              <w:t>the value chain and also supports sustainability while serving Viatris’</w:t>
            </w:r>
          </w:p>
        </w:tc>
      </w:tr>
      <w:tr>
        <w:trPr>
          <w:trHeight w:val="189"/>
        </w:trPr>
        <w:tc>
          <w:tcPr>
            <w:tcW w:w="5640" w:type="dxa"/>
            <w:vAlign w:val="bottom"/>
            <w:tcBorders>
              <w:left w:val="single" w:sz="8" w:color="732282"/>
              <w:right w:val="single" w:sz="8" w:color="732282"/>
            </w:tcBorders>
          </w:tcPr>
          <w:p>
            <w:pPr>
              <w:spacing w:after="0"/>
              <w:rPr>
                <w:sz w:val="16"/>
                <w:szCs w:val="16"/>
                <w:color w:val="auto"/>
              </w:rPr>
            </w:pPr>
          </w:p>
        </w:tc>
        <w:tc>
          <w:tcPr>
            <w:tcW w:w="5320" w:type="dxa"/>
            <w:vAlign w:val="bottom"/>
            <w:tcBorders>
              <w:right w:val="single" w:sz="8" w:color="732282"/>
            </w:tcBorders>
          </w:tcPr>
          <w:p>
            <w:pPr>
              <w:ind w:left="80"/>
              <w:spacing w:after="0"/>
              <w:rPr>
                <w:sz w:val="20"/>
                <w:szCs w:val="20"/>
                <w:color w:val="auto"/>
              </w:rPr>
            </w:pPr>
            <w:r>
              <w:rPr>
                <w:rFonts w:ascii="Arial" w:cs="Arial" w:eastAsia="Arial" w:hAnsi="Arial"/>
                <w:sz w:val="16"/>
                <w:szCs w:val="16"/>
                <w:color w:val="auto"/>
              </w:rPr>
              <w:t>mission of providing access to high quality, affordable medications. In</w:t>
            </w:r>
          </w:p>
        </w:tc>
      </w:tr>
      <w:tr>
        <w:trPr>
          <w:trHeight w:val="189"/>
        </w:trPr>
        <w:tc>
          <w:tcPr>
            <w:tcW w:w="5640" w:type="dxa"/>
            <w:vAlign w:val="bottom"/>
            <w:tcBorders>
              <w:left w:val="single" w:sz="8" w:color="732282"/>
              <w:right w:val="single" w:sz="8" w:color="732282"/>
            </w:tcBorders>
          </w:tcPr>
          <w:p>
            <w:pPr>
              <w:spacing w:after="0"/>
              <w:rPr>
                <w:sz w:val="16"/>
                <w:szCs w:val="16"/>
                <w:color w:val="auto"/>
              </w:rPr>
            </w:pPr>
          </w:p>
        </w:tc>
        <w:tc>
          <w:tcPr>
            <w:tcW w:w="5320" w:type="dxa"/>
            <w:vAlign w:val="bottom"/>
            <w:tcBorders>
              <w:right w:val="single" w:sz="8" w:color="732282"/>
            </w:tcBorders>
          </w:tcPr>
          <w:p>
            <w:pPr>
              <w:ind w:left="80"/>
              <w:spacing w:after="0"/>
              <w:rPr>
                <w:sz w:val="20"/>
                <w:szCs w:val="20"/>
                <w:color w:val="auto"/>
              </w:rPr>
            </w:pPr>
            <w:r>
              <w:rPr>
                <w:rFonts w:ascii="Arial" w:cs="Arial" w:eastAsia="Arial" w:hAnsi="Arial"/>
                <w:sz w:val="16"/>
                <w:szCs w:val="16"/>
                <w:color w:val="auto"/>
              </w:rPr>
              <w:t>addition, we view this metric as a stepping stone to implementing ESG</w:t>
            </w:r>
          </w:p>
        </w:tc>
      </w:tr>
      <w:tr>
        <w:trPr>
          <w:trHeight w:val="187"/>
        </w:trPr>
        <w:tc>
          <w:tcPr>
            <w:tcW w:w="5640" w:type="dxa"/>
            <w:vAlign w:val="bottom"/>
            <w:tcBorders>
              <w:left w:val="single" w:sz="8" w:color="732282"/>
              <w:bottom w:val="single" w:sz="8" w:color="732282"/>
              <w:right w:val="single" w:sz="8" w:color="732282"/>
            </w:tcBorders>
          </w:tcPr>
          <w:p>
            <w:pPr>
              <w:spacing w:after="0"/>
              <w:rPr>
                <w:sz w:val="16"/>
                <w:szCs w:val="16"/>
                <w:color w:val="auto"/>
              </w:rPr>
            </w:pPr>
          </w:p>
        </w:tc>
        <w:tc>
          <w:tcPr>
            <w:tcW w:w="5320" w:type="dxa"/>
            <w:vAlign w:val="bottom"/>
            <w:tcBorders>
              <w:bottom w:val="single" w:sz="8" w:color="732282"/>
              <w:right w:val="single" w:sz="8" w:color="732282"/>
            </w:tcBorders>
          </w:tcPr>
          <w:p>
            <w:pPr>
              <w:ind w:left="80"/>
              <w:spacing w:after="0"/>
              <w:rPr>
                <w:sz w:val="20"/>
                <w:szCs w:val="20"/>
                <w:color w:val="auto"/>
              </w:rPr>
            </w:pPr>
            <w:r>
              <w:rPr>
                <w:rFonts w:ascii="Arial" w:cs="Arial" w:eastAsia="Arial" w:hAnsi="Arial"/>
                <w:sz w:val="16"/>
                <w:szCs w:val="16"/>
                <w:color w:val="auto"/>
              </w:rPr>
              <w:t>sustainability metrics in the future.</w:t>
            </w:r>
          </w:p>
        </w:tc>
      </w:tr>
      <w:tr>
        <w:trPr>
          <w:trHeight w:val="184"/>
        </w:trPr>
        <w:tc>
          <w:tcPr>
            <w:tcW w:w="5640" w:type="dxa"/>
            <w:vAlign w:val="bottom"/>
            <w:tcBorders>
              <w:left w:val="single" w:sz="8" w:color="732282"/>
              <w:right w:val="single" w:sz="8" w:color="732282"/>
            </w:tcBorders>
          </w:tcPr>
          <w:p>
            <w:pPr>
              <w:ind w:left="220"/>
              <w:spacing w:after="0"/>
              <w:rPr>
                <w:sz w:val="20"/>
                <w:szCs w:val="20"/>
                <w:color w:val="auto"/>
              </w:rPr>
            </w:pPr>
            <w:r>
              <w:rPr>
                <w:rFonts w:ascii="Arial" w:cs="Arial" w:eastAsia="Arial" w:hAnsi="Arial"/>
                <w:sz w:val="16"/>
                <w:szCs w:val="16"/>
                <w:b w:val="1"/>
                <w:bCs w:val="1"/>
                <w:color w:val="231161"/>
              </w:rPr>
              <w:t>Leverage*</w:t>
            </w:r>
          </w:p>
        </w:tc>
        <w:tc>
          <w:tcPr>
            <w:tcW w:w="5320" w:type="dxa"/>
            <w:vAlign w:val="bottom"/>
            <w:tcBorders>
              <w:right w:val="single" w:sz="8" w:color="732282"/>
            </w:tcBorders>
          </w:tcPr>
          <w:p>
            <w:pPr>
              <w:ind w:left="80"/>
              <w:spacing w:after="0"/>
              <w:rPr>
                <w:sz w:val="20"/>
                <w:szCs w:val="20"/>
                <w:color w:val="auto"/>
              </w:rPr>
            </w:pPr>
            <w:r>
              <w:rPr>
                <w:rFonts w:ascii="Arial" w:cs="Arial" w:eastAsia="Arial" w:hAnsi="Arial"/>
                <w:sz w:val="16"/>
                <w:szCs w:val="16"/>
                <w:color w:val="auto"/>
              </w:rPr>
              <w:t>Reinforces  commitment  to  investment  grade  rating,  overall  risk</w:t>
            </w:r>
          </w:p>
        </w:tc>
      </w:tr>
      <w:tr>
        <w:trPr>
          <w:trHeight w:val="189"/>
        </w:trPr>
        <w:tc>
          <w:tcPr>
            <w:tcW w:w="5640" w:type="dxa"/>
            <w:vAlign w:val="bottom"/>
            <w:tcBorders>
              <w:left w:val="single" w:sz="8" w:color="732282"/>
              <w:right w:val="single" w:sz="8" w:color="732282"/>
            </w:tcBorders>
          </w:tcPr>
          <w:p>
            <w:pPr>
              <w:spacing w:after="0"/>
              <w:rPr>
                <w:sz w:val="16"/>
                <w:szCs w:val="16"/>
                <w:color w:val="auto"/>
              </w:rPr>
            </w:pPr>
          </w:p>
        </w:tc>
        <w:tc>
          <w:tcPr>
            <w:tcW w:w="5320" w:type="dxa"/>
            <w:vAlign w:val="bottom"/>
            <w:tcBorders>
              <w:right w:val="single" w:sz="8" w:color="732282"/>
            </w:tcBorders>
          </w:tcPr>
          <w:p>
            <w:pPr>
              <w:ind w:left="80"/>
              <w:spacing w:after="0"/>
              <w:rPr>
                <w:sz w:val="20"/>
                <w:szCs w:val="20"/>
                <w:color w:val="auto"/>
              </w:rPr>
            </w:pPr>
            <w:r>
              <w:rPr>
                <w:rFonts w:ascii="Arial" w:cs="Arial" w:eastAsia="Arial" w:hAnsi="Arial"/>
                <w:sz w:val="16"/>
                <w:szCs w:val="16"/>
                <w:color w:val="auto"/>
              </w:rPr>
              <w:t>reduction,  reducing  interest  expense,  and  delivering  on  financial</w:t>
            </w:r>
          </w:p>
        </w:tc>
      </w:tr>
      <w:tr>
        <w:trPr>
          <w:trHeight w:val="187"/>
        </w:trPr>
        <w:tc>
          <w:tcPr>
            <w:tcW w:w="5640" w:type="dxa"/>
            <w:vAlign w:val="bottom"/>
            <w:tcBorders>
              <w:left w:val="single" w:sz="8" w:color="732282"/>
              <w:bottom w:val="single" w:sz="8" w:color="732282"/>
              <w:right w:val="single" w:sz="8" w:color="732282"/>
            </w:tcBorders>
          </w:tcPr>
          <w:p>
            <w:pPr>
              <w:spacing w:after="0"/>
              <w:rPr>
                <w:sz w:val="16"/>
                <w:szCs w:val="16"/>
                <w:color w:val="auto"/>
              </w:rPr>
            </w:pPr>
          </w:p>
        </w:tc>
        <w:tc>
          <w:tcPr>
            <w:tcW w:w="5320" w:type="dxa"/>
            <w:vAlign w:val="bottom"/>
            <w:tcBorders>
              <w:bottom w:val="single" w:sz="8" w:color="732282"/>
              <w:right w:val="single" w:sz="8" w:color="732282"/>
            </w:tcBorders>
          </w:tcPr>
          <w:p>
            <w:pPr>
              <w:ind w:left="80"/>
              <w:spacing w:after="0"/>
              <w:rPr>
                <w:sz w:val="20"/>
                <w:szCs w:val="20"/>
                <w:color w:val="auto"/>
              </w:rPr>
            </w:pPr>
            <w:r>
              <w:rPr>
                <w:rFonts w:ascii="Arial" w:cs="Arial" w:eastAsia="Arial" w:hAnsi="Arial"/>
                <w:sz w:val="16"/>
                <w:szCs w:val="16"/>
                <w:color w:val="auto"/>
              </w:rPr>
              <w:t>commitments</w:t>
            </w:r>
          </w:p>
        </w:tc>
      </w:tr>
      <w:tr>
        <w:trPr>
          <w:trHeight w:val="184"/>
        </w:trPr>
        <w:tc>
          <w:tcPr>
            <w:tcW w:w="5640" w:type="dxa"/>
            <w:vAlign w:val="bottom"/>
            <w:tcBorders>
              <w:left w:val="single" w:sz="8" w:color="732282"/>
              <w:right w:val="single" w:sz="8" w:color="732282"/>
            </w:tcBorders>
          </w:tcPr>
          <w:p>
            <w:pPr>
              <w:ind w:left="220"/>
              <w:spacing w:after="0"/>
              <w:rPr>
                <w:sz w:val="20"/>
                <w:szCs w:val="20"/>
                <w:color w:val="auto"/>
              </w:rPr>
            </w:pPr>
            <w:r>
              <w:rPr>
                <w:rFonts w:ascii="Arial" w:cs="Arial" w:eastAsia="Arial" w:hAnsi="Arial"/>
                <w:sz w:val="16"/>
                <w:szCs w:val="16"/>
                <w:b w:val="1"/>
                <w:bCs w:val="1"/>
                <w:color w:val="231161"/>
              </w:rPr>
              <w:t>Relative Total Shareholder Return (“TSR”)</w:t>
            </w:r>
          </w:p>
        </w:tc>
        <w:tc>
          <w:tcPr>
            <w:tcW w:w="5320" w:type="dxa"/>
            <w:vAlign w:val="bottom"/>
            <w:tcBorders>
              <w:right w:val="single" w:sz="8" w:color="732282"/>
            </w:tcBorders>
          </w:tcPr>
          <w:p>
            <w:pPr>
              <w:ind w:left="80"/>
              <w:spacing w:after="0"/>
              <w:rPr>
                <w:sz w:val="20"/>
                <w:szCs w:val="20"/>
                <w:color w:val="auto"/>
              </w:rPr>
            </w:pPr>
            <w:r>
              <w:rPr>
                <w:rFonts w:ascii="Arial" w:cs="Arial" w:eastAsia="Arial" w:hAnsi="Arial"/>
                <w:sz w:val="16"/>
                <w:szCs w:val="16"/>
                <w:color w:val="auto"/>
              </w:rPr>
              <w:t>A relative market performance metric to modify final payout percentages</w:t>
            </w:r>
          </w:p>
        </w:tc>
      </w:tr>
      <w:tr>
        <w:trPr>
          <w:trHeight w:val="189"/>
        </w:trPr>
        <w:tc>
          <w:tcPr>
            <w:tcW w:w="5640" w:type="dxa"/>
            <w:vAlign w:val="bottom"/>
            <w:tcBorders>
              <w:left w:val="single" w:sz="8" w:color="732282"/>
              <w:right w:val="single" w:sz="8" w:color="732282"/>
            </w:tcBorders>
          </w:tcPr>
          <w:p>
            <w:pPr>
              <w:spacing w:after="0"/>
              <w:rPr>
                <w:sz w:val="16"/>
                <w:szCs w:val="16"/>
                <w:color w:val="auto"/>
              </w:rPr>
            </w:pPr>
          </w:p>
        </w:tc>
        <w:tc>
          <w:tcPr>
            <w:tcW w:w="5320" w:type="dxa"/>
            <w:vAlign w:val="bottom"/>
            <w:tcBorders>
              <w:right w:val="single" w:sz="8" w:color="732282"/>
            </w:tcBorders>
          </w:tcPr>
          <w:p>
            <w:pPr>
              <w:ind w:left="80"/>
              <w:spacing w:after="0"/>
              <w:rPr>
                <w:sz w:val="20"/>
                <w:szCs w:val="20"/>
                <w:color w:val="auto"/>
              </w:rPr>
            </w:pPr>
            <w:r>
              <w:rPr>
                <w:rFonts w:ascii="Arial" w:cs="Arial" w:eastAsia="Arial" w:hAnsi="Arial"/>
                <w:sz w:val="16"/>
                <w:szCs w:val="16"/>
                <w:color w:val="auto"/>
              </w:rPr>
              <w:t>for performance restricted stock units (“PRSUs”) and further align with</w:t>
            </w:r>
          </w:p>
        </w:tc>
      </w:tr>
      <w:tr>
        <w:trPr>
          <w:trHeight w:val="187"/>
        </w:trPr>
        <w:tc>
          <w:tcPr>
            <w:tcW w:w="5640" w:type="dxa"/>
            <w:vAlign w:val="bottom"/>
            <w:tcBorders>
              <w:left w:val="single" w:sz="8" w:color="732282"/>
              <w:bottom w:val="single" w:sz="8" w:color="732282"/>
              <w:right w:val="single" w:sz="8" w:color="732282"/>
            </w:tcBorders>
          </w:tcPr>
          <w:p>
            <w:pPr>
              <w:spacing w:after="0"/>
              <w:rPr>
                <w:sz w:val="16"/>
                <w:szCs w:val="16"/>
                <w:color w:val="auto"/>
              </w:rPr>
            </w:pPr>
          </w:p>
        </w:tc>
        <w:tc>
          <w:tcPr>
            <w:tcW w:w="5320" w:type="dxa"/>
            <w:vAlign w:val="bottom"/>
            <w:tcBorders>
              <w:bottom w:val="single" w:sz="8" w:color="732282"/>
              <w:right w:val="single" w:sz="8" w:color="732282"/>
            </w:tcBorders>
          </w:tcPr>
          <w:p>
            <w:pPr>
              <w:ind w:left="80"/>
              <w:spacing w:after="0"/>
              <w:rPr>
                <w:sz w:val="20"/>
                <w:szCs w:val="20"/>
                <w:color w:val="auto"/>
              </w:rPr>
            </w:pPr>
            <w:r>
              <w:rPr>
                <w:rFonts w:ascii="Arial" w:cs="Arial" w:eastAsia="Arial" w:hAnsi="Arial"/>
                <w:sz w:val="16"/>
                <w:szCs w:val="16"/>
                <w:color w:val="auto"/>
              </w:rPr>
              <w:t>shareholders</w:t>
            </w:r>
          </w:p>
        </w:tc>
      </w:tr>
    </w:tbl>
    <w:p>
      <w:pPr>
        <w:spacing w:after="0" w:line="2" w:lineRule="exact"/>
        <w:rPr>
          <w:sz w:val="20"/>
          <w:szCs w:val="20"/>
          <w:color w:val="auto"/>
        </w:rPr>
      </w:pPr>
    </w:p>
    <w:p>
      <w:pPr>
        <w:ind w:left="540" w:hanging="424"/>
        <w:spacing w:after="0"/>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Adjusted EBITDA, free cash flow and leverage are calculated from Viatris’ audited financial statements in the manner described in Appendix A.</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Pay-For-Performance Philosophy: 2021 Incentive Compensation Summary</w:t>
      </w:r>
    </w:p>
    <w:p>
      <w:pPr>
        <w:spacing w:after="0" w:line="108"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b w:val="1"/>
          <w:bCs w:val="1"/>
          <w:color w:val="auto"/>
        </w:rPr>
        <w:t xml:space="preserve">Short-term incentive compensation </w:t>
      </w:r>
      <w:r>
        <w:rPr>
          <w:rFonts w:ascii="Arial" w:cs="Arial" w:eastAsia="Arial" w:hAnsi="Arial"/>
          <w:sz w:val="16"/>
          <w:szCs w:val="16"/>
          <w:color w:val="auto"/>
        </w:rPr>
        <w:t>comprised approximately 17% of 2021 NEO target total compensation. In 2021, our management team’s</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operational execution resulted in short-term incentive payouts above target. Drivers of our 2021 short-term incentive results included:</w:t>
      </w:r>
    </w:p>
    <w:p>
      <w:pPr>
        <w:spacing w:after="0" w:line="81" w:lineRule="exact"/>
        <w:rPr>
          <w:sz w:val="20"/>
          <w:szCs w:val="20"/>
          <w:color w:val="auto"/>
        </w:rPr>
      </w:pPr>
    </w:p>
    <w:p>
      <w:pPr>
        <w:jc w:val="both"/>
        <w:ind w:left="540" w:hanging="316"/>
        <w:spacing w:after="0" w:line="248"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Above target adjusted EBITDA and free cash flow for short-term incentive compensation purposes, driven by the focus and efforts of the Company’s management, success of the Company’s cash optimization efforts, and synergy capture of approximately $500 million in 2021. The Company’s 2021 publicly reported results for adjusted EBITDA and free cash flow also exceeded the upper end of the initial guidance ranges provided in February 2021 and were within the upper ends of the updated guidance ranges provided in November 2021. For more information on and the differences between how adjusted EBITDA and free cash flow are calculated for purposes of the Company’s 2021 performance metrics and public reporting purposes, see “Elements of 2021 Compensation – 2021 Annual Incentive Compensation Program – Annual Incentive Compensation Payouts for 2021” on pages 28 to 29 and “Elements of 2021 Compensation – 2021 Long-Term Incentive Compensation Programs – 2021 Three-Year PRSU Performance Metrics” on pages 29 to 30.</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86"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540" w:right="20" w:hanging="316"/>
        <w:spacing w:after="0" w:line="260"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also achieved above target global product submissions, across six product areas, because it was able to accelerate certain additional submissions due to the strength of its development programs.</w:t>
      </w:r>
    </w:p>
    <w:p>
      <w:pPr>
        <w:spacing w:after="0" w:line="175" w:lineRule="exact"/>
        <w:rPr>
          <w:sz w:val="20"/>
          <w:szCs w:val="20"/>
          <w:color w:val="auto"/>
        </w:rPr>
      </w:pPr>
    </w:p>
    <w:p>
      <w:pPr>
        <w:jc w:val="both"/>
        <w:ind w:left="120"/>
        <w:spacing w:after="0" w:line="256" w:lineRule="auto"/>
        <w:rPr>
          <w:sz w:val="20"/>
          <w:szCs w:val="20"/>
          <w:color w:val="auto"/>
        </w:rPr>
      </w:pPr>
      <w:r>
        <w:rPr>
          <w:rFonts w:ascii="Arial" w:cs="Arial" w:eastAsia="Arial" w:hAnsi="Arial"/>
          <w:sz w:val="16"/>
          <w:szCs w:val="16"/>
          <w:b w:val="1"/>
          <w:bCs w:val="1"/>
          <w:color w:val="auto"/>
        </w:rPr>
        <w:t xml:space="preserve">Long-term incentive compensation </w:t>
      </w:r>
      <w:r>
        <w:rPr>
          <w:rFonts w:ascii="Arial" w:cs="Arial" w:eastAsia="Arial" w:hAnsi="Arial"/>
          <w:sz w:val="16"/>
          <w:szCs w:val="16"/>
          <w:color w:val="auto"/>
        </w:rPr>
        <w:t>comprised approximately 70% of 2021 NEO target total compensation. Our short-term incentive compensation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long-term incentive compensation comprised approximately 87% of 2021 NEO target total compensation. Despite our strong 2021 operational performance, based on our TSR applicable to long-term incentive modifiers, our executives would experience significantly reduced realizable pay, particularly if the price of the Company’s stock remains at or around levels as of April 25, 2022 demonstrating the robustness of our pay-for-performance philosophy and the linkage of our compensation programs to TSR.</w:t>
      </w:r>
    </w:p>
    <w:p>
      <w:pPr>
        <w:spacing w:after="0" w:line="105" w:lineRule="exact"/>
        <w:rPr>
          <w:sz w:val="20"/>
          <w:szCs w:val="20"/>
          <w:color w:val="auto"/>
        </w:rPr>
      </w:pPr>
    </w:p>
    <w:p>
      <w:pPr>
        <w:ind w:left="540" w:right="20" w:hanging="316"/>
        <w:spacing w:after="0" w:line="260" w:lineRule="auto"/>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Approximately 70% of target NEO total compensation is in the form of long-term equity grants, the value of which is directly correlated with the price of the Company’s stock.</w:t>
      </w:r>
    </w:p>
    <w:p>
      <w:pPr>
        <w:spacing w:after="0" w:line="100" w:lineRule="exact"/>
        <w:rPr>
          <w:rFonts w:ascii="Arial" w:cs="Arial" w:eastAsia="Arial" w:hAnsi="Arial"/>
          <w:sz w:val="16"/>
          <w:szCs w:val="16"/>
          <w:color w:val="auto"/>
        </w:rPr>
      </w:pPr>
    </w:p>
    <w:p>
      <w:pPr>
        <w:jc w:val="both"/>
        <w:ind w:left="540" w:hanging="316"/>
        <w:spacing w:after="0" w:line="250" w:lineRule="auto"/>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60% of NEO equity awards are subject to leverage ratio and free cash flow metrics measured over a three-year time period. These equity awards are also subject to a relative market performance metric (relative TSR), which we included after discussions with shareholders to maximize alignment of executive and shareholder interests. Although we believe that Viatris stock is significantly undervalued and this modifier is measured on a three-year time frame, at the relevant stock price on the close of business April 25, 2022, any payouts of PRSUs would be automatically reduced by 30%, as described in more detail on pages 29 to 30.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666666"/>
        </w:rPr>
        <w:t>Selected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jc w:val="both"/>
        <w:ind w:left="120"/>
        <w:spacing w:after="0" w:line="251" w:lineRule="auto"/>
        <w:rPr>
          <w:sz w:val="20"/>
          <w:szCs w:val="20"/>
          <w:color w:val="auto"/>
        </w:rPr>
      </w:pPr>
      <w:r>
        <w:rPr>
          <w:rFonts w:ascii="Arial" w:cs="Arial" w:eastAsia="Arial" w:hAnsi="Arial"/>
          <w:sz w:val="16"/>
          <w:szCs w:val="16"/>
          <w:color w:val="auto"/>
        </w:rPr>
        <w:t>Viatris’ first year focused on its initial priorities of defining and delivering on clear financial goals, including achieving approximately $500 million in cost synergies by 2021 and at least $1 billion by 2023, paying down $6.5 billion in debt by 2023, and initiating and growing a quarterly dividend. In just a short time, we believe we have made substantial progress on our initial priorities, while advancing patient access, organizational efficiencies and delivering strong financial results for the full year 2021. Our key accomplishments for 2021 include: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Creating a New Kind of Healthcare Company</w:t>
      </w:r>
    </w:p>
    <w:p>
      <w:pPr>
        <w:spacing w:after="0" w:line="128"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Since November 2020, Viatris’ new but seasoned management team has been leading the Company’s integration efforts, restructuring the business, and ensuring continued robust visibility and transparency in our financial reporting.</w:t>
      </w:r>
    </w:p>
    <w:p>
      <w:pPr>
        <w:spacing w:after="0" w:line="19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We are executing on our internal roadmap, which focuses on enhancing our processes and systems to drive the discipline necessary to further maximize our one-of-a-kind global platform. A few of our key accomplishments to date — which have been achieved while also maintaining business continuity and strong customer service levels — include:</w:t>
      </w:r>
    </w:p>
    <w:p>
      <w:pPr>
        <w:spacing w:after="0" w:line="107" w:lineRule="exact"/>
        <w:rPr>
          <w:sz w:val="20"/>
          <w:szCs w:val="20"/>
          <w:color w:val="auto"/>
        </w:rPr>
      </w:pPr>
    </w:p>
    <w:p>
      <w:pPr>
        <w:ind w:left="540" w:hanging="316"/>
        <w:spacing w:after="0"/>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Uniting Upjohn and Mylan colleagues located in 59 markets globally into Viatris’ Human Relations management system;</w:t>
      </w:r>
    </w:p>
    <w:p>
      <w:pPr>
        <w:spacing w:after="0" w:line="126" w:lineRule="exact"/>
        <w:rPr>
          <w:rFonts w:ascii="Arial" w:cs="Arial" w:eastAsia="Arial" w:hAnsi="Arial"/>
          <w:sz w:val="16"/>
          <w:szCs w:val="16"/>
          <w:color w:val="auto"/>
        </w:rPr>
      </w:pPr>
    </w:p>
    <w:p>
      <w:pPr>
        <w:ind w:left="540" w:right="20" w:hanging="316"/>
        <w:spacing w:after="0" w:line="260" w:lineRule="auto"/>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Reaching our year 1 synergy target (approximately $500 million in cost synergies) through actions focused on cost of goods, selling, general and administrative expenses, cost avoidance, and restructuring;</w:t>
      </w:r>
    </w:p>
    <w:p>
      <w:pPr>
        <w:spacing w:after="0" w:line="100" w:lineRule="exact"/>
        <w:rPr>
          <w:rFonts w:ascii="Arial" w:cs="Arial" w:eastAsia="Arial" w:hAnsi="Arial"/>
          <w:sz w:val="16"/>
          <w:szCs w:val="16"/>
          <w:color w:val="auto"/>
        </w:rPr>
      </w:pPr>
    </w:p>
    <w:p>
      <w:pPr>
        <w:ind w:left="540" w:hanging="316"/>
        <w:spacing w:after="0"/>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Developing a comprehensive Transition Service Agreements (TSA) exit strategy relating to the Combination; and</w:t>
      </w:r>
    </w:p>
    <w:p>
      <w:pPr>
        <w:spacing w:after="0" w:line="126" w:lineRule="exact"/>
        <w:rPr>
          <w:rFonts w:ascii="Arial" w:cs="Arial" w:eastAsia="Arial" w:hAnsi="Arial"/>
          <w:sz w:val="16"/>
          <w:szCs w:val="16"/>
          <w:color w:val="auto"/>
        </w:rPr>
      </w:pPr>
    </w:p>
    <w:p>
      <w:pPr>
        <w:ind w:left="540" w:right="20" w:hanging="316"/>
        <w:spacing w:after="0" w:line="260" w:lineRule="auto"/>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Beginning to implement an integrated management reporting system and Enterprise Resource Planning (ERP) capabilities that will enable the Company to combine and enhance insights in support of our new business model and will, we believe, provide for a smooth ERP TSA exit.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86"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Performance</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Since launch, Viatris has delivered four quarters of consistent, solid performance. In 2021, Viatris:</w:t>
      </w:r>
    </w:p>
    <w:p>
      <w:pPr>
        <w:spacing w:after="0" w:line="127" w:lineRule="exact"/>
        <w:rPr>
          <w:sz w:val="20"/>
          <w:szCs w:val="20"/>
          <w:color w:val="auto"/>
        </w:rPr>
      </w:pPr>
    </w:p>
    <w:p>
      <w:pPr>
        <w:ind w:left="540" w:hanging="316"/>
        <w:spacing w:after="0"/>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Met or exceeded its initial financial guidance announced in February 2021 for Total Revenues, Adjusted EBITDA and Free Cash Flow</w:t>
      </w:r>
      <w:r>
        <w:rPr>
          <w:rFonts w:ascii="Arial" w:cs="Arial" w:eastAsia="Arial" w:hAnsi="Arial"/>
          <w:sz w:val="22"/>
          <w:szCs w:val="22"/>
          <w:color w:val="auto"/>
          <w:vertAlign w:val="superscript"/>
        </w:rPr>
        <w:t>2</w:t>
      </w:r>
      <w:r>
        <w:rPr>
          <w:rFonts w:ascii="Arial" w:cs="Arial" w:eastAsia="Arial" w:hAnsi="Arial"/>
          <w:sz w:val="16"/>
          <w:szCs w:val="16"/>
          <w:color w:val="auto"/>
        </w:rPr>
        <w:t>.</w:t>
      </w:r>
    </w:p>
    <w:p>
      <w:pPr>
        <w:spacing w:after="0" w:line="57" w:lineRule="exact"/>
        <w:rPr>
          <w:rFonts w:ascii="Arial" w:cs="Arial" w:eastAsia="Arial" w:hAnsi="Arial"/>
          <w:sz w:val="16"/>
          <w:szCs w:val="16"/>
          <w:color w:val="auto"/>
        </w:rPr>
      </w:pPr>
    </w:p>
    <w:p>
      <w:pPr>
        <w:ind w:left="540" w:hanging="316"/>
        <w:spacing w:after="0"/>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Achieved over $500 million in cost synergies.</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Paid down $2.1 billion of debt.</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Science and Regulatory Achievements</w:t>
      </w:r>
    </w:p>
    <w:p>
      <w:pPr>
        <w:spacing w:after="0" w:line="128" w:lineRule="exact"/>
        <w:rPr>
          <w:sz w:val="20"/>
          <w:szCs w:val="20"/>
          <w:color w:val="auto"/>
        </w:rPr>
      </w:pPr>
    </w:p>
    <w:p>
      <w:pPr>
        <w:ind w:left="120"/>
        <w:spacing w:after="0" w:line="260" w:lineRule="auto"/>
        <w:rPr>
          <w:sz w:val="20"/>
          <w:szCs w:val="20"/>
          <w:color w:val="auto"/>
        </w:rPr>
      </w:pPr>
      <w:r>
        <w:rPr>
          <w:rFonts w:ascii="Arial" w:cs="Arial" w:eastAsia="Arial" w:hAnsi="Arial"/>
          <w:sz w:val="16"/>
          <w:szCs w:val="16"/>
          <w:color w:val="auto"/>
        </w:rPr>
        <w:t>The Company’s science and regulatory teams, comprised of more than 3,000 scientists and medical professionals working across 12 development centers globally, led Viatris to some groundbreaking accomplishments, including:</w:t>
      </w:r>
    </w:p>
    <w:p>
      <w:pPr>
        <w:spacing w:after="0" w:line="101" w:lineRule="exact"/>
        <w:rPr>
          <w:sz w:val="20"/>
          <w:szCs w:val="20"/>
          <w:color w:val="auto"/>
        </w:rPr>
      </w:pPr>
    </w:p>
    <w:p>
      <w:pPr>
        <w:ind w:left="540" w:hanging="316"/>
        <w:spacing w:after="0" w:line="210" w:lineRule="auto"/>
        <w:tabs>
          <w:tab w:leader="none" w:pos="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first U.S. Food and Drug Administration (“FDA”) approval for the first interchangeable biosimilar Semglee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injections for the treatment of diabetes.</w:t>
      </w:r>
    </w:p>
    <w:p>
      <w:pPr>
        <w:spacing w:after="0" w:line="117" w:lineRule="exact"/>
        <w:rPr>
          <w:rFonts w:ascii="Arial" w:cs="Arial" w:eastAsia="Arial" w:hAnsi="Arial"/>
          <w:sz w:val="16"/>
          <w:szCs w:val="16"/>
          <w:color w:val="auto"/>
        </w:rPr>
      </w:pPr>
    </w:p>
    <w:p>
      <w:pPr>
        <w:ind w:left="540" w:hanging="316"/>
        <w:spacing w:after="0"/>
        <w:tabs>
          <w:tab w:leader="none" w:pos="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first FDA approval for a generic to Restasis</w:t>
      </w:r>
      <w:r>
        <w:rPr>
          <w:rFonts w:ascii="Arial" w:cs="Arial" w:eastAsia="Arial" w:hAnsi="Arial"/>
          <w:sz w:val="22"/>
          <w:szCs w:val="22"/>
          <w:color w:val="auto"/>
          <w:vertAlign w:val="superscript"/>
        </w:rPr>
        <w:t>®</w:t>
      </w:r>
      <w:r>
        <w:rPr>
          <w:rFonts w:ascii="Arial" w:cs="Arial" w:eastAsia="Arial" w:hAnsi="Arial"/>
          <w:sz w:val="16"/>
          <w:szCs w:val="16"/>
          <w:color w:val="auto"/>
        </w:rPr>
        <w:t>, a treatment for Chronic Dry Eye Syndrome.</w:t>
      </w:r>
    </w:p>
    <w:p>
      <w:pPr>
        <w:spacing w:after="0" w:line="57" w:lineRule="exact"/>
        <w:rPr>
          <w:rFonts w:ascii="Arial" w:cs="Arial" w:eastAsia="Arial" w:hAnsi="Arial"/>
          <w:sz w:val="16"/>
          <w:szCs w:val="16"/>
          <w:color w:val="auto"/>
        </w:rPr>
      </w:pPr>
    </w:p>
    <w:p>
      <w:pPr>
        <w:ind w:left="540" w:hanging="316"/>
        <w:spacing w:after="0"/>
        <w:tabs>
          <w:tab w:leader="none" w:pos="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first FDA-approved generic version of Symbicort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called Breyna</w:t>
      </w:r>
      <w:r>
        <w:rPr>
          <w:rFonts w:ascii="Arial" w:cs="Arial" w:eastAsia="Arial" w:hAnsi="Arial"/>
          <w:sz w:val="22"/>
          <w:szCs w:val="22"/>
          <w:color w:val="auto"/>
          <w:vertAlign w:val="superscript"/>
        </w:rPr>
        <w:t>™</w:t>
      </w:r>
      <w:r>
        <w:rPr>
          <w:rFonts w:ascii="Arial" w:cs="Arial" w:eastAsia="Arial" w:hAnsi="Arial"/>
          <w:sz w:val="16"/>
          <w:szCs w:val="16"/>
          <w:color w:val="auto"/>
        </w:rPr>
        <w:t>.</w:t>
      </w:r>
    </w:p>
    <w:p>
      <w:pPr>
        <w:spacing w:after="0" w:line="57" w:lineRule="exact"/>
        <w:rPr>
          <w:rFonts w:ascii="Arial" w:cs="Arial" w:eastAsia="Arial" w:hAnsi="Arial"/>
          <w:sz w:val="16"/>
          <w:szCs w:val="16"/>
          <w:color w:val="auto"/>
        </w:rPr>
      </w:pPr>
    </w:p>
    <w:p>
      <w:pPr>
        <w:jc w:val="both"/>
        <w:ind w:left="540" w:hanging="316"/>
        <w:spacing w:after="0" w:line="251" w:lineRule="auto"/>
        <w:tabs>
          <w:tab w:leader="none" w:pos="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2021, Viatris was the first to bring to market the much-anticipated 10 mg, dispersible, scored, strawberry-flavored, pediatric formulation of dolutegravir. This was made possible through a partnership between Unitaid, the Clinton Health Access Initiative, ViiV Healthcare Limited and Viatris, which resulted in the fastest regulatory approval under the U.S. President’s Emergency Plan For AIDS Relief of a generic pediatric HIV drug to date. The approval allows the treatment to be offered outside of the U.S.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External Recognition</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Viatris was also recognized externally by the following:</w:t>
      </w:r>
    </w:p>
    <w:p>
      <w:pPr>
        <w:spacing w:after="0" w:line="107" w:lineRule="exact"/>
        <w:rPr>
          <w:sz w:val="20"/>
          <w:szCs w:val="20"/>
          <w:color w:val="auto"/>
        </w:rPr>
      </w:pPr>
    </w:p>
    <w:p>
      <w:pPr>
        <w:ind w:left="540" w:hanging="316"/>
        <w:spacing w:after="0"/>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Fortune </w:t>
      </w:r>
      <w:r>
        <w:rPr>
          <w:rFonts w:ascii="Arial" w:cs="Arial" w:eastAsia="Arial" w:hAnsi="Arial"/>
          <w:sz w:val="16"/>
          <w:szCs w:val="16"/>
          <w:color w:val="auto"/>
        </w:rPr>
        <w:t>as one of the top 5 companies on its “Companies that Change the World List”.</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Forbes </w:t>
      </w:r>
      <w:r>
        <w:rPr>
          <w:rFonts w:ascii="Arial" w:cs="Arial" w:eastAsia="Arial" w:hAnsi="Arial"/>
          <w:sz w:val="16"/>
          <w:szCs w:val="16"/>
          <w:color w:val="auto"/>
        </w:rPr>
        <w:t>as one of the “World’s Best Employers”.</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Newsweek </w:t>
      </w:r>
      <w:r>
        <w:rPr>
          <w:rFonts w:ascii="Arial" w:cs="Arial" w:eastAsia="Arial" w:hAnsi="Arial"/>
          <w:sz w:val="16"/>
          <w:szCs w:val="16"/>
          <w:color w:val="auto"/>
        </w:rPr>
        <w:t>as one of “America’s Most Responsible Companies”.</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Fast Company </w:t>
      </w:r>
      <w:r>
        <w:rPr>
          <w:rFonts w:ascii="Arial" w:cs="Arial" w:eastAsia="Arial" w:hAnsi="Arial"/>
          <w:sz w:val="16"/>
          <w:szCs w:val="16"/>
          <w:color w:val="auto"/>
        </w:rPr>
        <w:t>as one of the “Most Innovative Companies”.</w:t>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CSR Accomplishments</w:t>
      </w:r>
    </w:p>
    <w:p>
      <w:pPr>
        <w:spacing w:after="0" w:line="142" w:lineRule="exact"/>
        <w:rPr>
          <w:sz w:val="20"/>
          <w:szCs w:val="20"/>
          <w:color w:val="auto"/>
        </w:rPr>
      </w:pPr>
    </w:p>
    <w:p>
      <w:pPr>
        <w:ind w:left="540" w:hanging="316"/>
        <w:spacing w:after="0"/>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Published our first Sustainability Report.</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Signed on to the UN Global Compact’s Water Mandate and Women’s Empowerment Principles.</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Joined the Pharmaceutical Supply Chain Initiative.</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Committed to science-based climate targets.</w:t>
      </w:r>
    </w:p>
    <w:p>
      <w:pPr>
        <w:spacing w:after="0" w:line="126" w:lineRule="exact"/>
        <w:rPr>
          <w:rFonts w:ascii="Arial" w:cs="Arial" w:eastAsia="Arial" w:hAnsi="Arial"/>
          <w:sz w:val="16"/>
          <w:szCs w:val="16"/>
          <w:color w:val="auto"/>
        </w:rPr>
      </w:pPr>
    </w:p>
    <w:p>
      <w:pPr>
        <w:ind w:left="540" w:hanging="316"/>
        <w:spacing w:after="0"/>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Donated ~ 500 million doses of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87630</wp:posOffset>
            </wp:positionV>
            <wp:extent cx="77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4" w:lineRule="exact"/>
        <w:rPr>
          <w:sz w:val="20"/>
          <w:szCs w:val="20"/>
          <w:color w:val="auto"/>
        </w:rPr>
      </w:pPr>
    </w:p>
    <w:p>
      <w:pPr>
        <w:jc w:val="both"/>
        <w:ind w:left="540" w:hanging="424"/>
        <w:spacing w:after="0" w:line="217" w:lineRule="auto"/>
        <w:tabs>
          <w:tab w:leader="none" w:pos="540" w:val="left"/>
        </w:tabs>
        <w:numPr>
          <w:ilvl w:val="0"/>
          <w:numId w:val="31"/>
        </w:numPr>
        <w:rPr>
          <w:rFonts w:ascii="Arial" w:cs="Arial" w:eastAsia="Arial" w:hAnsi="Arial"/>
          <w:sz w:val="23"/>
          <w:szCs w:val="23"/>
          <w:color w:val="auto"/>
          <w:vertAlign w:val="superscript"/>
        </w:rPr>
      </w:pPr>
      <w:r>
        <w:rPr>
          <w:rFonts w:ascii="Arial" w:cs="Arial" w:eastAsia="Arial" w:hAnsi="Arial"/>
          <w:sz w:val="16"/>
          <w:szCs w:val="16"/>
          <w:color w:val="auto"/>
        </w:rPr>
        <w:t>Viatris was not providing forward-looking guidance for U.S. GAAP net earnings (loss) or a quantitative reconciliation of its 2021 adjusted EBITDA guidance and provided a quantitative reconciliation of its 2021 free cash flow guidance. See “Non-GAAP Financial Measures” and Appendix A for additional information.</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86"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Strategic Planning to Further Unlock Shareholder Value</w:t>
      </w:r>
    </w:p>
    <w:p>
      <w:pPr>
        <w:spacing w:after="0" w:line="128"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In 2021, the Company significantly advanced its strategic plan, which is focused on unlocking shareholder value. Through these efforts, the Company expects to significantly enhance its financial flexibility, achieve its financial commitments, return capital to shareholders, and invest in the future. These efforts culminated in several announcements in February 2022:</w:t>
      </w:r>
    </w:p>
    <w:p>
      <w:pPr>
        <w:spacing w:after="0" w:line="107" w:lineRule="exact"/>
        <w:rPr>
          <w:sz w:val="20"/>
          <w:szCs w:val="20"/>
          <w:color w:val="auto"/>
        </w:rPr>
      </w:pPr>
    </w:p>
    <w:p>
      <w:pPr>
        <w:jc w:val="both"/>
        <w:ind w:left="540" w:right="20" w:hanging="316"/>
        <w:spacing w:after="0" w:line="257"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Announcement of the Biocon Biologics Transaction, which we believe will create a uniquely positioned, vertically integrated global biosimilars leader. Upon closing, the transaction is expected to provide Viatris with immediate, enhanced financial flexibility, and accelerate its financial commitments.</w:t>
      </w:r>
    </w:p>
    <w:p>
      <w:pPr>
        <w:spacing w:after="0" w:line="294" w:lineRule="exact"/>
        <w:rPr>
          <w:rFonts w:ascii="Arial" w:cs="Arial" w:eastAsia="Arial" w:hAnsi="Arial"/>
          <w:sz w:val="16"/>
          <w:szCs w:val="16"/>
          <w:color w:val="auto"/>
        </w:rPr>
      </w:pPr>
    </w:p>
    <w:p>
      <w:pPr>
        <w:ind w:left="540" w:hanging="316"/>
        <w:spacing w:after="0" w:line="250"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Announcement of an increase of 9% in the Company’s dividend to be paid in March 2022 over the per share dividend amounts paid in the prior year.</w:t>
      </w:r>
    </w:p>
    <w:p>
      <w:pPr>
        <w:spacing w:after="0" w:line="307" w:lineRule="exact"/>
        <w:rPr>
          <w:rFonts w:ascii="Arial" w:cs="Arial" w:eastAsia="Arial" w:hAnsi="Arial"/>
          <w:sz w:val="16"/>
          <w:szCs w:val="16"/>
          <w:color w:val="auto"/>
        </w:rPr>
      </w:pPr>
    </w:p>
    <w:p>
      <w:pPr>
        <w:ind w:left="540" w:right="20" w:hanging="316"/>
        <w:spacing w:after="0" w:line="260"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Authorization of a share repurchase program of up to $1 billion. The Company expects share buybacks to be an important benchmark as it makes future capital allocation decisions and decides how best to invest in its future.</w:t>
      </w:r>
    </w:p>
    <w:p>
      <w:pPr>
        <w:spacing w:after="0" w:line="100" w:lineRule="exact"/>
        <w:rPr>
          <w:rFonts w:ascii="Arial" w:cs="Arial" w:eastAsia="Arial" w:hAnsi="Arial"/>
          <w:sz w:val="16"/>
          <w:szCs w:val="16"/>
          <w:color w:val="auto"/>
        </w:rPr>
      </w:pPr>
    </w:p>
    <w:p>
      <w:pPr>
        <w:jc w:val="both"/>
        <w:ind w:left="540" w:right="20" w:hanging="316"/>
        <w:spacing w:after="0" w:line="227"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 recently announced that it has entered its first Global Healthcare Gateway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transaction focused on ophthalmology, acquiring an exclusive license for Pimecrolimus ophthalmic ointment for the treatment of Blepharitis, a common type of eye irritation. Blepharitis affects approximately 6.5 million patients in the United States alone—where there is no product specifically indicated for chronic Blepharitis. We expect that this product will contribute to the Company’s ophthalmology franchise while we continue to search for an anchor asset in this area.</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5"/>
          <w:szCs w:val="25"/>
          <w:color w:val="666666"/>
        </w:rPr>
        <w:t>Executive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39370</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8"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auto"/>
        </w:rPr>
        <w:t>The Compensation Committee’s and Board’s compensation philosophy for 2021 reflects the Company’s focus on a performance-based, shareholder-value-focused business model and is intended to help ensure that Viatris continues to attract and retain high-performing executives given the highly competitive market for executive talent. The compensation program has the following key objectives, among others:</w:t>
      </w:r>
    </w:p>
    <w:p>
      <w:pPr>
        <w:spacing w:after="0" w:line="87" w:lineRule="exact"/>
        <w:rPr>
          <w:sz w:val="20"/>
          <w:szCs w:val="20"/>
          <w:color w:val="auto"/>
        </w:rPr>
      </w:pPr>
    </w:p>
    <w:p>
      <w:pPr>
        <w:jc w:val="both"/>
        <w:ind w:left="540" w:right="20" w:hanging="316"/>
        <w:spacing w:after="0" w:line="259"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732282"/>
        </w:rPr>
        <w:t xml:space="preserve">Attract, Motivate, and Retain Highly-Skilled Executives. </w:t>
      </w:r>
      <w:r>
        <w:rPr>
          <w:rFonts w:ascii="Arial" w:cs="Arial" w:eastAsia="Arial" w:hAnsi="Arial"/>
          <w:sz w:val="16"/>
          <w:szCs w:val="16"/>
          <w:color w:val="000000"/>
        </w:rPr>
        <w:t>In order to attract and retain the leaders needed to drive execution of our ambitious</w:t>
      </w:r>
      <w:r>
        <w:rPr>
          <w:rFonts w:ascii="Arial" w:cs="Arial" w:eastAsia="Arial" w:hAnsi="Arial"/>
          <w:sz w:val="16"/>
          <w:szCs w:val="16"/>
          <w:b w:val="1"/>
          <w:bCs w:val="1"/>
          <w:color w:val="732282"/>
        </w:rPr>
        <w:t xml:space="preserve"> </w:t>
      </w:r>
      <w:r>
        <w:rPr>
          <w:rFonts w:ascii="Arial" w:cs="Arial" w:eastAsia="Arial" w:hAnsi="Arial"/>
          <w:sz w:val="16"/>
          <w:szCs w:val="16"/>
          <w:color w:val="000000"/>
        </w:rPr>
        <w:t>goals, we provided market competitive compensation with an emphasis on performance-based, long-term incentives. We designed our compensation program to help ensure that the Company, shareholders, and other stakeholders continue to benefit from the talents of our leadership team and global workforce, while also recruiting new talent on an on-going basis in a highly competitive market for talent.</w:t>
      </w:r>
    </w:p>
    <w:p>
      <w:pPr>
        <w:spacing w:after="0" w:line="83" w:lineRule="exact"/>
        <w:rPr>
          <w:rFonts w:ascii="Arial" w:cs="Arial" w:eastAsia="Arial" w:hAnsi="Arial"/>
          <w:sz w:val="16"/>
          <w:szCs w:val="16"/>
          <w:color w:val="auto"/>
        </w:rPr>
      </w:pPr>
    </w:p>
    <w:p>
      <w:pPr>
        <w:jc w:val="both"/>
        <w:ind w:left="540" w:hanging="316"/>
        <w:spacing w:after="0" w:line="259"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732282"/>
        </w:rPr>
        <w:t xml:space="preserve">Align with Shareholder Interests. </w:t>
      </w:r>
      <w:r>
        <w:rPr>
          <w:rFonts w:ascii="Arial" w:cs="Arial" w:eastAsia="Arial" w:hAnsi="Arial"/>
          <w:sz w:val="16"/>
          <w:szCs w:val="16"/>
          <w:color w:val="000000"/>
        </w:rPr>
        <w:t>We aligned executive compensation with shareholder interests by linking pay to the Company’s stated strategic</w:t>
      </w:r>
      <w:r>
        <w:rPr>
          <w:rFonts w:ascii="Arial" w:cs="Arial" w:eastAsia="Arial" w:hAnsi="Arial"/>
          <w:sz w:val="16"/>
          <w:szCs w:val="16"/>
          <w:b w:val="1"/>
          <w:bCs w:val="1"/>
          <w:color w:val="732282"/>
        </w:rPr>
        <w:t xml:space="preserve"> </w:t>
      </w:r>
      <w:r>
        <w:rPr>
          <w:rFonts w:ascii="Arial" w:cs="Arial" w:eastAsia="Arial" w:hAnsi="Arial"/>
          <w:sz w:val="16"/>
          <w:szCs w:val="16"/>
          <w:color w:val="000000"/>
        </w:rPr>
        <w:t>priorities, long-term performance, and share price appreciation, including through the use of a relative TSR modifier for PRSUs in our long-term incentive plan and robust share ownership requirements (See “Viatris 2021 Share Ownership Requirements” on page 32). We believe this linkage helps drive long-term performance and encourages decision making to foster share price appreciation.</w:t>
      </w:r>
    </w:p>
    <w:p>
      <w:pPr>
        <w:spacing w:after="0" w:line="83" w:lineRule="exact"/>
        <w:rPr>
          <w:rFonts w:ascii="Arial" w:cs="Arial" w:eastAsia="Arial" w:hAnsi="Arial"/>
          <w:sz w:val="16"/>
          <w:szCs w:val="16"/>
          <w:color w:val="auto"/>
        </w:rPr>
      </w:pPr>
    </w:p>
    <w:p>
      <w:pPr>
        <w:jc w:val="both"/>
        <w:ind w:left="540" w:right="20" w:hanging="316"/>
        <w:spacing w:after="0" w:line="266"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732282"/>
        </w:rPr>
        <w:t xml:space="preserve">Drive Company Performance. </w:t>
      </w:r>
      <w:r>
        <w:rPr>
          <w:rFonts w:ascii="Arial" w:cs="Arial" w:eastAsia="Arial" w:hAnsi="Arial"/>
          <w:sz w:val="16"/>
          <w:szCs w:val="16"/>
          <w:color w:val="000000"/>
        </w:rPr>
        <w:t>As described in more detail on pages 20 to 22, our 2021 compensation program was designed with metrics</w:t>
      </w:r>
      <w:r>
        <w:rPr>
          <w:rFonts w:ascii="Arial" w:cs="Arial" w:eastAsia="Arial" w:hAnsi="Arial"/>
          <w:sz w:val="16"/>
          <w:szCs w:val="16"/>
          <w:b w:val="1"/>
          <w:bCs w:val="1"/>
          <w:color w:val="732282"/>
        </w:rPr>
        <w:t xml:space="preserve"> </w:t>
      </w:r>
      <w:r>
        <w:rPr>
          <w:rFonts w:ascii="Arial" w:cs="Arial" w:eastAsia="Arial" w:hAnsi="Arial"/>
          <w:sz w:val="16"/>
          <w:szCs w:val="16"/>
          <w:color w:val="000000"/>
        </w:rPr>
        <w:t>carefully linked to our business strategies and financial goals. If the Company does not meet its short and long-term objectives, executive pay is meaningfully impacted. See the chart on page 21 for more information about how our metrics tie to our strategy.</w:t>
      </w:r>
    </w:p>
    <w:p>
      <w:pPr>
        <w:spacing w:after="0" w:line="8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Additional details regarding our 2021 compensation program are on pages 25 to 30.</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86"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666666"/>
        </w:rPr>
        <w:t>2021 Performance-Based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Compensation Structure for NEOs</w:t>
      </w:r>
    </w:p>
    <w:p>
      <w:pPr>
        <w:spacing w:after="0" w:line="128"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auto"/>
        </w:rPr>
        <w:t>The table below shows the compensation structure for NEOs in 2021. The program is heavily weighted toward a performance-based annual incentive and performance-based long-term incentive awards.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352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732282"/>
              </w:rPr>
              <w:t>Base</w:t>
            </w:r>
          </w:p>
        </w:tc>
        <w:tc>
          <w:tcPr>
            <w:tcW w:w="2040" w:type="dxa"/>
            <w:vAlign w:val="bottom"/>
          </w:tcPr>
          <w:p>
            <w:pPr>
              <w:jc w:val="right"/>
              <w:ind w:right="262"/>
              <w:spacing w:after="0"/>
              <w:rPr>
                <w:sz w:val="20"/>
                <w:szCs w:val="20"/>
                <w:color w:val="auto"/>
              </w:rPr>
            </w:pPr>
            <w:r>
              <w:rPr>
                <w:rFonts w:ascii="Arial" w:cs="Arial" w:eastAsia="Arial" w:hAnsi="Arial"/>
                <w:sz w:val="14"/>
                <w:szCs w:val="14"/>
                <w:b w:val="1"/>
                <w:bCs w:val="1"/>
                <w:color w:val="732282"/>
              </w:rPr>
              <w:t>Target Annual</w:t>
            </w: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3520" w:type="dxa"/>
            <w:vAlign w:val="bottom"/>
            <w:vMerge w:val="continue"/>
          </w:tcPr>
          <w:p>
            <w:pPr>
              <w:spacing w:after="0"/>
              <w:rPr>
                <w:sz w:val="12"/>
                <w:szCs w:val="12"/>
                <w:color w:val="auto"/>
              </w:rPr>
            </w:pPr>
          </w:p>
        </w:tc>
        <w:tc>
          <w:tcPr>
            <w:tcW w:w="2040" w:type="dxa"/>
            <w:vAlign w:val="bottom"/>
          </w:tcPr>
          <w:p>
            <w:pPr>
              <w:jc w:val="right"/>
              <w:ind w:right="262"/>
              <w:spacing w:after="0" w:line="149" w:lineRule="exact"/>
              <w:rPr>
                <w:sz w:val="20"/>
                <w:szCs w:val="20"/>
                <w:color w:val="auto"/>
              </w:rPr>
            </w:pPr>
            <w:r>
              <w:rPr>
                <w:rFonts w:ascii="Arial" w:cs="Arial" w:eastAsia="Arial" w:hAnsi="Arial"/>
                <w:sz w:val="14"/>
                <w:szCs w:val="14"/>
                <w:b w:val="1"/>
                <w:bCs w:val="1"/>
                <w:color w:val="732282"/>
              </w:rPr>
              <w:t>Incentive (as % of</w:t>
            </w:r>
          </w:p>
        </w:tc>
        <w:tc>
          <w:tcPr>
            <w:tcW w:w="2000" w:type="dxa"/>
            <w:vAlign w:val="bottom"/>
          </w:tcPr>
          <w:p>
            <w:pPr>
              <w:jc w:val="right"/>
              <w:ind w:right="302"/>
              <w:spacing w:after="0" w:line="149" w:lineRule="exact"/>
              <w:rPr>
                <w:sz w:val="20"/>
                <w:szCs w:val="20"/>
                <w:color w:val="auto"/>
              </w:rPr>
            </w:pPr>
            <w:r>
              <w:rPr>
                <w:rFonts w:ascii="Arial" w:cs="Arial" w:eastAsia="Arial" w:hAnsi="Arial"/>
                <w:sz w:val="14"/>
                <w:szCs w:val="14"/>
                <w:b w:val="1"/>
                <w:bCs w:val="1"/>
                <w:color w:val="732282"/>
              </w:rPr>
              <w:t>Target LTI (as % of</w:t>
            </w:r>
          </w:p>
        </w:tc>
        <w:tc>
          <w:tcPr>
            <w:tcW w:w="0" w:type="dxa"/>
            <w:vAlign w:val="bottom"/>
          </w:tcPr>
          <w:p>
            <w:pPr>
              <w:spacing w:after="0"/>
              <w:rPr>
                <w:sz w:val="1"/>
                <w:szCs w:val="1"/>
                <w:color w:val="auto"/>
              </w:rPr>
            </w:pPr>
          </w:p>
        </w:tc>
      </w:tr>
      <w:tr>
        <w:trPr>
          <w:trHeight w:val="189"/>
        </w:trPr>
        <w:tc>
          <w:tcPr>
            <w:tcW w:w="3460" w:type="dxa"/>
            <w:vAlign w:val="bottom"/>
            <w:tcBorders>
              <w:bottom w:val="single" w:sz="8" w:color="732282"/>
            </w:tcBorders>
          </w:tcPr>
          <w:p>
            <w:pPr>
              <w:ind w:left="60"/>
              <w:spacing w:after="0"/>
              <w:rPr>
                <w:sz w:val="20"/>
                <w:szCs w:val="20"/>
                <w:color w:val="auto"/>
              </w:rPr>
            </w:pPr>
            <w:r>
              <w:rPr>
                <w:rFonts w:ascii="Arial" w:cs="Arial" w:eastAsia="Arial" w:hAnsi="Arial"/>
                <w:sz w:val="14"/>
                <w:szCs w:val="14"/>
                <w:b w:val="1"/>
                <w:bCs w:val="1"/>
                <w:color w:val="732282"/>
              </w:rPr>
              <w:t>NEO</w:t>
            </w:r>
          </w:p>
        </w:tc>
        <w:tc>
          <w:tcPr>
            <w:tcW w:w="3520" w:type="dxa"/>
            <w:vAlign w:val="bottom"/>
            <w:tcBorders>
              <w:bottom w:val="single" w:sz="8" w:color="732282"/>
            </w:tcBorders>
          </w:tcPr>
          <w:p>
            <w:pPr>
              <w:jc w:val="right"/>
              <w:ind w:right="422"/>
              <w:spacing w:after="0"/>
              <w:rPr>
                <w:sz w:val="20"/>
                <w:szCs w:val="20"/>
                <w:color w:val="auto"/>
              </w:rPr>
            </w:pPr>
            <w:r>
              <w:rPr>
                <w:rFonts w:ascii="Arial" w:cs="Arial" w:eastAsia="Arial" w:hAnsi="Arial"/>
                <w:sz w:val="14"/>
                <w:szCs w:val="14"/>
                <w:b w:val="1"/>
                <w:bCs w:val="1"/>
                <w:color w:val="732282"/>
              </w:rPr>
              <w:t>Salary</w:t>
            </w:r>
          </w:p>
        </w:tc>
        <w:tc>
          <w:tcPr>
            <w:tcW w:w="2040" w:type="dxa"/>
            <w:vAlign w:val="bottom"/>
            <w:tcBorders>
              <w:bottom w:val="single" w:sz="8" w:color="732282"/>
            </w:tcBorders>
          </w:tcPr>
          <w:p>
            <w:pPr>
              <w:jc w:val="right"/>
              <w:ind w:right="262"/>
              <w:spacing w:after="0"/>
              <w:rPr>
                <w:sz w:val="20"/>
                <w:szCs w:val="20"/>
                <w:color w:val="auto"/>
              </w:rPr>
            </w:pPr>
            <w:r>
              <w:rPr>
                <w:rFonts w:ascii="Arial" w:cs="Arial" w:eastAsia="Arial" w:hAnsi="Arial"/>
                <w:sz w:val="14"/>
                <w:szCs w:val="14"/>
                <w:b w:val="1"/>
                <w:bCs w:val="1"/>
                <w:color w:val="732282"/>
              </w:rPr>
              <w:t>Base Salary)</w:t>
            </w:r>
          </w:p>
        </w:tc>
        <w:tc>
          <w:tcPr>
            <w:tcW w:w="2000" w:type="dxa"/>
            <w:vAlign w:val="bottom"/>
            <w:tcBorders>
              <w:bottom w:val="single" w:sz="8" w:color="732282"/>
            </w:tcBorders>
          </w:tcPr>
          <w:p>
            <w:pPr>
              <w:jc w:val="right"/>
              <w:ind w:right="302"/>
              <w:spacing w:after="0"/>
              <w:rPr>
                <w:sz w:val="20"/>
                <w:szCs w:val="20"/>
                <w:color w:val="auto"/>
              </w:rPr>
            </w:pPr>
            <w:r>
              <w:rPr>
                <w:rFonts w:ascii="Arial" w:cs="Arial" w:eastAsia="Arial" w:hAnsi="Arial"/>
                <w:sz w:val="14"/>
                <w:szCs w:val="14"/>
                <w:b w:val="1"/>
                <w:bCs w:val="1"/>
                <w:color w:val="732282"/>
              </w:rPr>
              <w:t>Base Salary)</w:t>
            </w:r>
          </w:p>
        </w:tc>
        <w:tc>
          <w:tcPr>
            <w:tcW w:w="0" w:type="dxa"/>
            <w:vAlign w:val="bottom"/>
          </w:tcPr>
          <w:p>
            <w:pPr>
              <w:spacing w:after="0"/>
              <w:rPr>
                <w:sz w:val="1"/>
                <w:szCs w:val="1"/>
                <w:color w:val="auto"/>
              </w:rPr>
            </w:pPr>
          </w:p>
        </w:tc>
      </w:tr>
      <w:tr>
        <w:trPr>
          <w:trHeight w:val="183"/>
        </w:trPr>
        <w:tc>
          <w:tcPr>
            <w:tcW w:w="3460" w:type="dxa"/>
            <w:vAlign w:val="bottom"/>
            <w:shd w:val="clear" w:color="auto" w:fill="E5E5E5"/>
          </w:tcPr>
          <w:p>
            <w:pPr>
              <w:ind w:left="60"/>
              <w:spacing w:after="0" w:line="183" w:lineRule="exact"/>
              <w:rPr>
                <w:sz w:val="20"/>
                <w:szCs w:val="20"/>
                <w:color w:val="auto"/>
              </w:rPr>
            </w:pPr>
            <w:r>
              <w:rPr>
                <w:rFonts w:ascii="Arial" w:cs="Arial" w:eastAsia="Arial" w:hAnsi="Arial"/>
                <w:sz w:val="16"/>
                <w:szCs w:val="16"/>
                <w:color w:val="auto"/>
              </w:rPr>
              <w:t>Michael Goettler</w:t>
            </w:r>
          </w:p>
        </w:tc>
        <w:tc>
          <w:tcPr>
            <w:tcW w:w="3520" w:type="dxa"/>
            <w:vAlign w:val="bottom"/>
            <w:shd w:val="clear" w:color="auto" w:fill="E5E5E5"/>
          </w:tcPr>
          <w:p>
            <w:pPr>
              <w:jc w:val="right"/>
              <w:ind w:right="422"/>
              <w:spacing w:after="0" w:line="183" w:lineRule="exact"/>
              <w:rPr>
                <w:sz w:val="20"/>
                <w:szCs w:val="20"/>
                <w:color w:val="auto"/>
              </w:rPr>
            </w:pPr>
            <w:r>
              <w:rPr>
                <w:rFonts w:ascii="Arial" w:cs="Arial" w:eastAsia="Arial" w:hAnsi="Arial"/>
                <w:sz w:val="16"/>
                <w:szCs w:val="16"/>
                <w:color w:val="auto"/>
              </w:rPr>
              <w:t>$1,300,000</w:t>
            </w:r>
          </w:p>
        </w:tc>
        <w:tc>
          <w:tcPr>
            <w:tcW w:w="2040" w:type="dxa"/>
            <w:vAlign w:val="bottom"/>
            <w:shd w:val="clear" w:color="auto" w:fill="E5E5E5"/>
          </w:tcPr>
          <w:p>
            <w:pPr>
              <w:jc w:val="right"/>
              <w:ind w:right="262"/>
              <w:spacing w:after="0" w:line="183" w:lineRule="exact"/>
              <w:rPr>
                <w:sz w:val="20"/>
                <w:szCs w:val="20"/>
                <w:color w:val="auto"/>
              </w:rPr>
            </w:pPr>
            <w:r>
              <w:rPr>
                <w:rFonts w:ascii="Arial" w:cs="Arial" w:eastAsia="Arial" w:hAnsi="Arial"/>
                <w:sz w:val="16"/>
                <w:szCs w:val="16"/>
                <w:color w:val="auto"/>
              </w:rPr>
              <w:t>150%</w:t>
            </w:r>
          </w:p>
        </w:tc>
        <w:tc>
          <w:tcPr>
            <w:tcW w:w="2000" w:type="dxa"/>
            <w:vAlign w:val="bottom"/>
            <w:shd w:val="clear" w:color="auto" w:fill="E5E5E5"/>
          </w:tcPr>
          <w:p>
            <w:pPr>
              <w:jc w:val="right"/>
              <w:ind w:right="302"/>
              <w:spacing w:after="0" w:line="183" w:lineRule="exact"/>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189"/>
        </w:trPr>
        <w:tc>
          <w:tcPr>
            <w:tcW w:w="3460" w:type="dxa"/>
            <w:vAlign w:val="bottom"/>
          </w:tcPr>
          <w:p>
            <w:pPr>
              <w:ind w:left="60"/>
              <w:spacing w:after="0"/>
              <w:rPr>
                <w:sz w:val="20"/>
                <w:szCs w:val="20"/>
                <w:color w:val="auto"/>
              </w:rPr>
            </w:pPr>
            <w:r>
              <w:rPr>
                <w:rFonts w:ascii="Arial" w:cs="Arial" w:eastAsia="Arial" w:hAnsi="Arial"/>
                <w:sz w:val="16"/>
                <w:szCs w:val="16"/>
                <w:color w:val="auto"/>
              </w:rPr>
              <w:t>Rajiv Malik</w:t>
            </w:r>
          </w:p>
        </w:tc>
        <w:tc>
          <w:tcPr>
            <w:tcW w:w="3520" w:type="dxa"/>
            <w:vAlign w:val="bottom"/>
          </w:tcPr>
          <w:p>
            <w:pPr>
              <w:jc w:val="right"/>
              <w:ind w:right="422"/>
              <w:spacing w:after="0"/>
              <w:rPr>
                <w:sz w:val="20"/>
                <w:szCs w:val="20"/>
                <w:color w:val="auto"/>
              </w:rPr>
            </w:pPr>
            <w:r>
              <w:rPr>
                <w:rFonts w:ascii="Arial" w:cs="Arial" w:eastAsia="Arial" w:hAnsi="Arial"/>
                <w:sz w:val="16"/>
                <w:szCs w:val="16"/>
                <w:color w:val="auto"/>
              </w:rPr>
              <w:t>$1,200,000</w:t>
            </w:r>
          </w:p>
        </w:tc>
        <w:tc>
          <w:tcPr>
            <w:tcW w:w="2040" w:type="dxa"/>
            <w:vAlign w:val="bottom"/>
          </w:tcPr>
          <w:p>
            <w:pPr>
              <w:jc w:val="right"/>
              <w:ind w:right="262"/>
              <w:spacing w:after="0"/>
              <w:rPr>
                <w:sz w:val="20"/>
                <w:szCs w:val="20"/>
                <w:color w:val="auto"/>
              </w:rPr>
            </w:pPr>
            <w:r>
              <w:rPr>
                <w:rFonts w:ascii="Arial" w:cs="Arial" w:eastAsia="Arial" w:hAnsi="Arial"/>
                <w:sz w:val="16"/>
                <w:szCs w:val="16"/>
                <w:color w:val="auto"/>
              </w:rPr>
              <w:t>125%</w:t>
            </w:r>
          </w:p>
        </w:tc>
        <w:tc>
          <w:tcPr>
            <w:tcW w:w="2000" w:type="dxa"/>
            <w:vAlign w:val="bottom"/>
          </w:tcPr>
          <w:p>
            <w:pPr>
              <w:jc w:val="right"/>
              <w:ind w:right="302"/>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189"/>
        </w:trPr>
        <w:tc>
          <w:tcPr>
            <w:tcW w:w="3460" w:type="dxa"/>
            <w:vAlign w:val="bottom"/>
            <w:shd w:val="clear" w:color="auto" w:fill="E5E5E5"/>
          </w:tcPr>
          <w:p>
            <w:pPr>
              <w:ind w:left="60"/>
              <w:spacing w:after="0"/>
              <w:rPr>
                <w:sz w:val="20"/>
                <w:szCs w:val="20"/>
                <w:color w:val="auto"/>
              </w:rPr>
            </w:pPr>
            <w:r>
              <w:rPr>
                <w:rFonts w:ascii="Arial" w:cs="Arial" w:eastAsia="Arial" w:hAnsi="Arial"/>
                <w:sz w:val="16"/>
                <w:szCs w:val="16"/>
                <w:color w:val="auto"/>
              </w:rPr>
              <w:t>Sanjeev Narula</w:t>
            </w:r>
          </w:p>
        </w:tc>
        <w:tc>
          <w:tcPr>
            <w:tcW w:w="3520" w:type="dxa"/>
            <w:vAlign w:val="bottom"/>
            <w:shd w:val="clear" w:color="auto" w:fill="E5E5E5"/>
          </w:tcPr>
          <w:p>
            <w:pPr>
              <w:jc w:val="right"/>
              <w:ind w:right="422"/>
              <w:spacing w:after="0"/>
              <w:rPr>
                <w:sz w:val="20"/>
                <w:szCs w:val="20"/>
                <w:color w:val="auto"/>
              </w:rPr>
            </w:pPr>
            <w:r>
              <w:rPr>
                <w:rFonts w:ascii="Arial" w:cs="Arial" w:eastAsia="Arial" w:hAnsi="Arial"/>
                <w:sz w:val="16"/>
                <w:szCs w:val="16"/>
                <w:color w:val="auto"/>
              </w:rPr>
              <w:t>$800,000</w:t>
            </w:r>
          </w:p>
        </w:tc>
        <w:tc>
          <w:tcPr>
            <w:tcW w:w="2040" w:type="dxa"/>
            <w:vAlign w:val="bottom"/>
            <w:shd w:val="clear" w:color="auto" w:fill="E5E5E5"/>
          </w:tcPr>
          <w:p>
            <w:pPr>
              <w:jc w:val="right"/>
              <w:ind w:right="262"/>
              <w:spacing w:after="0"/>
              <w:rPr>
                <w:sz w:val="20"/>
                <w:szCs w:val="20"/>
                <w:color w:val="auto"/>
              </w:rPr>
            </w:pPr>
            <w:r>
              <w:rPr>
                <w:rFonts w:ascii="Arial" w:cs="Arial" w:eastAsia="Arial" w:hAnsi="Arial"/>
                <w:sz w:val="16"/>
                <w:szCs w:val="16"/>
                <w:color w:val="auto"/>
              </w:rPr>
              <w:t>100%</w:t>
            </w:r>
          </w:p>
        </w:tc>
        <w:tc>
          <w:tcPr>
            <w:tcW w:w="2000" w:type="dxa"/>
            <w:vAlign w:val="bottom"/>
            <w:shd w:val="clear" w:color="auto" w:fill="E5E5E5"/>
          </w:tcPr>
          <w:p>
            <w:pPr>
              <w:jc w:val="right"/>
              <w:ind w:right="302"/>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189"/>
        </w:trPr>
        <w:tc>
          <w:tcPr>
            <w:tcW w:w="3460" w:type="dxa"/>
            <w:vAlign w:val="bottom"/>
          </w:tcPr>
          <w:p>
            <w:pPr>
              <w:ind w:left="60"/>
              <w:spacing w:after="0"/>
              <w:rPr>
                <w:sz w:val="20"/>
                <w:szCs w:val="20"/>
                <w:color w:val="auto"/>
              </w:rPr>
            </w:pPr>
            <w:r>
              <w:rPr>
                <w:rFonts w:ascii="Arial" w:cs="Arial" w:eastAsia="Arial" w:hAnsi="Arial"/>
                <w:sz w:val="16"/>
                <w:szCs w:val="16"/>
                <w:color w:val="auto"/>
              </w:rPr>
              <w:t>Anthony Mauro</w:t>
            </w:r>
          </w:p>
        </w:tc>
        <w:tc>
          <w:tcPr>
            <w:tcW w:w="3520" w:type="dxa"/>
            <w:vAlign w:val="bottom"/>
          </w:tcPr>
          <w:p>
            <w:pPr>
              <w:jc w:val="right"/>
              <w:ind w:right="422"/>
              <w:spacing w:after="0"/>
              <w:rPr>
                <w:sz w:val="20"/>
                <w:szCs w:val="20"/>
                <w:color w:val="auto"/>
              </w:rPr>
            </w:pPr>
            <w:r>
              <w:rPr>
                <w:rFonts w:ascii="Arial" w:cs="Arial" w:eastAsia="Arial" w:hAnsi="Arial"/>
                <w:sz w:val="16"/>
                <w:szCs w:val="16"/>
                <w:color w:val="auto"/>
              </w:rPr>
              <w:t>$800,000</w:t>
            </w:r>
          </w:p>
        </w:tc>
        <w:tc>
          <w:tcPr>
            <w:tcW w:w="2040" w:type="dxa"/>
            <w:vAlign w:val="bottom"/>
          </w:tcPr>
          <w:p>
            <w:pPr>
              <w:jc w:val="right"/>
              <w:ind w:right="262"/>
              <w:spacing w:after="0"/>
              <w:rPr>
                <w:sz w:val="20"/>
                <w:szCs w:val="20"/>
                <w:color w:val="auto"/>
              </w:rPr>
            </w:pPr>
            <w:r>
              <w:rPr>
                <w:rFonts w:ascii="Arial" w:cs="Arial" w:eastAsia="Arial" w:hAnsi="Arial"/>
                <w:sz w:val="16"/>
                <w:szCs w:val="16"/>
                <w:color w:val="auto"/>
              </w:rPr>
              <w:t>115%</w:t>
            </w:r>
          </w:p>
        </w:tc>
        <w:tc>
          <w:tcPr>
            <w:tcW w:w="2000" w:type="dxa"/>
            <w:vAlign w:val="bottom"/>
          </w:tcPr>
          <w:p>
            <w:pPr>
              <w:jc w:val="right"/>
              <w:ind w:right="302"/>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89"/>
        </w:trPr>
        <w:tc>
          <w:tcPr>
            <w:tcW w:w="346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color w:val="auto"/>
              </w:rPr>
              <w:t>Robert J. Coury</w:t>
            </w:r>
          </w:p>
        </w:tc>
        <w:tc>
          <w:tcPr>
            <w:tcW w:w="3520" w:type="dxa"/>
            <w:vAlign w:val="bottom"/>
            <w:tcBorders>
              <w:bottom w:val="single" w:sz="8" w:color="732282"/>
            </w:tcBorders>
            <w:shd w:val="clear" w:color="auto" w:fill="E5E5E5"/>
          </w:tcPr>
          <w:p>
            <w:pPr>
              <w:jc w:val="right"/>
              <w:ind w:right="422"/>
              <w:spacing w:after="0"/>
              <w:rPr>
                <w:sz w:val="20"/>
                <w:szCs w:val="20"/>
                <w:color w:val="auto"/>
              </w:rPr>
            </w:pPr>
            <w:r>
              <w:rPr>
                <w:rFonts w:ascii="Arial" w:cs="Arial" w:eastAsia="Arial" w:hAnsi="Arial"/>
                <w:sz w:val="16"/>
                <w:szCs w:val="16"/>
                <w:color w:val="auto"/>
              </w:rPr>
              <w:t>$1,800,000</w:t>
            </w:r>
          </w:p>
        </w:tc>
        <w:tc>
          <w:tcPr>
            <w:tcW w:w="2040" w:type="dxa"/>
            <w:vAlign w:val="bottom"/>
            <w:tcBorders>
              <w:bottom w:val="single" w:sz="8" w:color="732282"/>
            </w:tcBorders>
            <w:shd w:val="clear" w:color="auto" w:fill="E5E5E5"/>
          </w:tcPr>
          <w:p>
            <w:pPr>
              <w:jc w:val="right"/>
              <w:ind w:right="262"/>
              <w:spacing w:after="0"/>
              <w:rPr>
                <w:sz w:val="20"/>
                <w:szCs w:val="20"/>
                <w:color w:val="auto"/>
              </w:rPr>
            </w:pPr>
            <w:r>
              <w:rPr>
                <w:rFonts w:ascii="Arial" w:cs="Arial" w:eastAsia="Arial" w:hAnsi="Arial"/>
                <w:sz w:val="16"/>
                <w:szCs w:val="16"/>
                <w:color w:val="auto"/>
              </w:rPr>
              <w:t>150%</w:t>
            </w:r>
          </w:p>
        </w:tc>
        <w:tc>
          <w:tcPr>
            <w:tcW w:w="2000" w:type="dxa"/>
            <w:vAlign w:val="bottom"/>
            <w:tcBorders>
              <w:bottom w:val="single" w:sz="8" w:color="732282"/>
            </w:tcBorders>
            <w:shd w:val="clear" w:color="auto" w:fill="E5E5E5"/>
          </w:tcPr>
          <w:p>
            <w:pPr>
              <w:jc w:val="right"/>
              <w:ind w:right="302"/>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152400</wp:posOffset>
            </wp:positionV>
            <wp:extent cx="6998970" cy="2184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218440"/>
                    </a:xfrm>
                    <a:prstGeom prst="rect">
                      <a:avLst/>
                    </a:prstGeom>
                    <a:noFill/>
                  </pic:spPr>
                </pic:pic>
              </a:graphicData>
            </a:graphic>
          </wp:anchor>
        </w:drawing>
      </w: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732282"/>
        </w:rPr>
        <w:t>In 2021, approximately 60% of CEO and 58% of other NEO compensation was performance-based.</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Shareholder-Aligned Performance-Based Metrics For Annual and Long-Term Incentives</w:t>
      </w:r>
    </w:p>
    <w:p>
      <w:pPr>
        <w:spacing w:after="0" w:line="122" w:lineRule="exact"/>
        <w:rPr>
          <w:sz w:val="20"/>
          <w:szCs w:val="20"/>
          <w:color w:val="auto"/>
        </w:rPr>
      </w:pPr>
    </w:p>
    <w:p>
      <w:pPr>
        <w:jc w:val="both"/>
        <w:ind w:left="540" w:right="20" w:hanging="316"/>
        <w:spacing w:after="0" w:line="229"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732282"/>
        </w:rPr>
        <w:t xml:space="preserve">Annual incentive metrics: </w:t>
      </w:r>
      <w:r>
        <w:rPr>
          <w:rFonts w:ascii="Arial" w:cs="Arial" w:eastAsia="Arial" w:hAnsi="Arial"/>
          <w:sz w:val="16"/>
          <w:szCs w:val="16"/>
          <w:color w:val="000000"/>
        </w:rPr>
        <w:t>Our 2021 annual incentive plan includes adjusted EBITDA</w:t>
      </w:r>
      <w:r>
        <w:rPr>
          <w:rFonts w:ascii="Arial" w:cs="Arial" w:eastAsia="Arial" w:hAnsi="Arial"/>
          <w:sz w:val="22"/>
          <w:szCs w:val="22"/>
          <w:color w:val="000000"/>
          <w:vertAlign w:val="superscript"/>
        </w:rPr>
        <w:t>(1)</w:t>
      </w:r>
      <w:r>
        <w:rPr>
          <w:rFonts w:ascii="Arial" w:cs="Arial" w:eastAsia="Arial" w:hAnsi="Arial"/>
          <w:sz w:val="16"/>
          <w:szCs w:val="16"/>
          <w:b w:val="1"/>
          <w:bCs w:val="1"/>
          <w:color w:val="732282"/>
        </w:rPr>
        <w:t xml:space="preserve"> </w:t>
      </w:r>
      <w:r>
        <w:rPr>
          <w:rFonts w:ascii="Arial" w:cs="Arial" w:eastAsia="Arial" w:hAnsi="Arial"/>
          <w:sz w:val="16"/>
          <w:szCs w:val="16"/>
          <w:color w:val="000000"/>
        </w:rPr>
        <w:t>(40% weighting), free cash flow</w:t>
      </w:r>
      <w:r>
        <w:rPr>
          <w:rFonts w:ascii="Arial" w:cs="Arial" w:eastAsia="Arial" w:hAnsi="Arial"/>
          <w:sz w:val="22"/>
          <w:szCs w:val="22"/>
          <w:color w:val="000000"/>
          <w:vertAlign w:val="superscript"/>
        </w:rPr>
        <w:t>(1)</w:t>
      </w:r>
      <w:r>
        <w:rPr>
          <w:rFonts w:ascii="Arial" w:cs="Arial" w:eastAsia="Arial" w:hAnsi="Arial"/>
          <w:sz w:val="16"/>
          <w:szCs w:val="16"/>
          <w:b w:val="1"/>
          <w:bCs w:val="1"/>
          <w:color w:val="732282"/>
        </w:rPr>
        <w:t xml:space="preserve"> </w:t>
      </w:r>
      <w:r>
        <w:rPr>
          <w:rFonts w:ascii="Arial" w:cs="Arial" w:eastAsia="Arial" w:hAnsi="Arial"/>
          <w:sz w:val="16"/>
          <w:szCs w:val="16"/>
          <w:color w:val="000000"/>
        </w:rPr>
        <w:t>(40% weighting), and</w:t>
      </w:r>
      <w:r>
        <w:rPr>
          <w:rFonts w:ascii="Arial" w:cs="Arial" w:eastAsia="Arial" w:hAnsi="Arial"/>
          <w:sz w:val="16"/>
          <w:szCs w:val="16"/>
          <w:b w:val="1"/>
          <w:bCs w:val="1"/>
          <w:color w:val="732282"/>
        </w:rPr>
        <w:t xml:space="preserve"> </w:t>
      </w:r>
      <w:r>
        <w:rPr>
          <w:rFonts w:ascii="Arial" w:cs="Arial" w:eastAsia="Arial" w:hAnsi="Arial"/>
          <w:sz w:val="16"/>
          <w:szCs w:val="16"/>
          <w:color w:val="000000"/>
        </w:rPr>
        <w:t>global regulatory submissions (20% weighting) metrics, each of which is designed to incentivize executives toward achievement of important and challenging financial and sustainability objectives. See pages 27 to 29 for a detailed discussion of 2021 annual incentive metrics and payouts.</w:t>
      </w:r>
    </w:p>
    <w:p>
      <w:pPr>
        <w:spacing w:after="0" w:line="96" w:lineRule="exact"/>
        <w:rPr>
          <w:rFonts w:ascii="Arial" w:cs="Arial" w:eastAsia="Arial" w:hAnsi="Arial"/>
          <w:sz w:val="16"/>
          <w:szCs w:val="16"/>
          <w:color w:val="auto"/>
        </w:rPr>
      </w:pPr>
    </w:p>
    <w:p>
      <w:pPr>
        <w:jc w:val="both"/>
        <w:ind w:left="540" w:hanging="316"/>
        <w:spacing w:after="0" w:line="235"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732282"/>
        </w:rPr>
        <w:t xml:space="preserve">Long-term incentive metrics: </w:t>
      </w:r>
      <w:r>
        <w:rPr>
          <w:rFonts w:ascii="Arial" w:cs="Arial" w:eastAsia="Arial" w:hAnsi="Arial"/>
          <w:sz w:val="16"/>
          <w:szCs w:val="16"/>
          <w:color w:val="000000"/>
        </w:rPr>
        <w:t>Long-term incentive awards for 2021 were predominantly performance-based, with 60% of each NEO’s award in the</w:t>
      </w:r>
      <w:r>
        <w:rPr>
          <w:rFonts w:ascii="Arial" w:cs="Arial" w:eastAsia="Arial" w:hAnsi="Arial"/>
          <w:sz w:val="16"/>
          <w:szCs w:val="16"/>
          <w:b w:val="1"/>
          <w:bCs w:val="1"/>
          <w:color w:val="732282"/>
        </w:rPr>
        <w:t xml:space="preserve"> </w:t>
      </w:r>
      <w:r>
        <w:rPr>
          <w:rFonts w:ascii="Arial" w:cs="Arial" w:eastAsia="Arial" w:hAnsi="Arial"/>
          <w:sz w:val="16"/>
          <w:szCs w:val="16"/>
          <w:color w:val="000000"/>
        </w:rPr>
        <w:t>form of PRSUs and 40% in the form of RSUs. The 2021 PRSU grants include free cash flow</w:t>
      </w:r>
      <w:r>
        <w:rPr>
          <w:rFonts w:ascii="Arial" w:cs="Arial" w:eastAsia="Arial" w:hAnsi="Arial"/>
          <w:sz w:val="22"/>
          <w:szCs w:val="22"/>
          <w:color w:val="000000"/>
          <w:vertAlign w:val="superscript"/>
        </w:rPr>
        <w:t>(1)</w:t>
      </w:r>
      <w:r>
        <w:rPr>
          <w:rFonts w:ascii="Arial" w:cs="Arial" w:eastAsia="Arial" w:hAnsi="Arial"/>
          <w:sz w:val="16"/>
          <w:szCs w:val="16"/>
          <w:color w:val="000000"/>
        </w:rPr>
        <w:t xml:space="preserve"> and leverage metrics</w:t>
      </w:r>
      <w:r>
        <w:rPr>
          <w:rFonts w:ascii="Arial" w:cs="Arial" w:eastAsia="Arial" w:hAnsi="Arial"/>
          <w:sz w:val="22"/>
          <w:szCs w:val="22"/>
          <w:color w:val="000000"/>
          <w:vertAlign w:val="superscript"/>
        </w:rPr>
        <w:t>(1)</w:t>
      </w:r>
      <w:r>
        <w:rPr>
          <w:rFonts w:ascii="Arial" w:cs="Arial" w:eastAsia="Arial" w:hAnsi="Arial"/>
          <w:sz w:val="16"/>
          <w:szCs w:val="16"/>
          <w:color w:val="000000"/>
        </w:rPr>
        <w:t>, as well as a relative market performance metric (relative TSR), which is used as a shareholder-aligned modifier to determine the final payout percentage. Each metric is measured over a three-year performance period. These metrics align with and further our strategies of de-levering, returning capital to shareholders, and delivering shareholder returns,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149225</wp:posOffset>
            </wp:positionV>
            <wp:extent cx="6998970" cy="4667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466725"/>
                    </a:xfrm>
                    <a:prstGeom prst="rect">
                      <a:avLst/>
                    </a:prstGeom>
                    <a:noFill/>
                  </pic:spPr>
                </pic:pic>
              </a:graphicData>
            </a:graphic>
          </wp:anchor>
        </w:drawing>
      </w:r>
    </w:p>
    <w:p>
      <w:pPr>
        <w:spacing w:after="0" w:line="249" w:lineRule="exact"/>
        <w:rPr>
          <w:sz w:val="20"/>
          <w:szCs w:val="20"/>
          <w:color w:val="auto"/>
        </w:rPr>
      </w:pPr>
    </w:p>
    <w:p>
      <w:pPr>
        <w:jc w:val="center"/>
        <w:ind w:left="440" w:right="280"/>
        <w:spacing w:after="0" w:line="253" w:lineRule="auto"/>
        <w:rPr>
          <w:sz w:val="20"/>
          <w:szCs w:val="20"/>
          <w:color w:val="auto"/>
        </w:rPr>
      </w:pPr>
      <w:r>
        <w:rPr>
          <w:rFonts w:ascii="Arial" w:cs="Arial" w:eastAsia="Arial" w:hAnsi="Arial"/>
          <w:sz w:val="18"/>
          <w:szCs w:val="18"/>
          <w:b w:val="1"/>
          <w:bCs w:val="1"/>
          <w:color w:val="732282"/>
        </w:rPr>
        <w:t>In 2022, we further increased the percentage of performance-based awards so that 65% of NEO equity-based awards granted in 2022 were PRSUs. We also continued to use a relative TSR modifier to align compensation with performance relative to market peer group.</w:t>
      </w:r>
    </w:p>
    <w:p>
      <w:pPr>
        <w:spacing w:after="0" w:line="159" w:lineRule="exact"/>
        <w:rPr>
          <w:sz w:val="20"/>
          <w:szCs w:val="20"/>
          <w:color w:val="auto"/>
        </w:rPr>
      </w:pPr>
    </w:p>
    <w:p>
      <w:pPr>
        <w:ind w:left="440" w:hanging="324"/>
        <w:spacing w:after="0"/>
        <w:tabs>
          <w:tab w:leader="none" w:pos="4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Adjusted EBITDA, free cash flow and leverage metrics are calculated from Viatris’ audited financial statements in the manner described in Appendix A.</w:t>
      </w:r>
    </w:p>
    <w:p>
      <w:pPr>
        <w:spacing w:after="0" w:line="209" w:lineRule="exact"/>
        <w:rPr>
          <w:sz w:val="20"/>
          <w:szCs w:val="20"/>
          <w:color w:val="auto"/>
        </w:rPr>
      </w:pPr>
    </w:p>
    <w:p>
      <w:pPr>
        <w:jc w:val="both"/>
        <w:ind w:left="120"/>
        <w:spacing w:after="0" w:line="249" w:lineRule="auto"/>
        <w:rPr>
          <w:sz w:val="20"/>
          <w:szCs w:val="20"/>
          <w:color w:val="auto"/>
        </w:rPr>
      </w:pPr>
      <w:r>
        <w:rPr>
          <w:rFonts w:ascii="Arial" w:cs="Arial" w:eastAsia="Arial" w:hAnsi="Arial"/>
          <w:sz w:val="16"/>
          <w:szCs w:val="16"/>
          <w:color w:val="auto"/>
        </w:rPr>
        <w:t>In setting performance goals, the Compensation Committee considered a broad variety of data, including industry forecasts, internal projections, demographic data, advice from outside advisors, benchmarking data, and the Company’s annual operating plan and strategies. The Compensation Committee also considered the variability and cyclicality of the business, noting that targets may increase or decrease from year to year due to factors impacting the business, such as market conditions, the regulatory environment, timing of product approvals, and both immediate and long-term strategic priorities of the business. Although the targets may vary from year-to-year, the Compensation Committee is committed to maintaining high levels of rigor and motivational impact on the executive team and aligning with the Company’s long-</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86"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term strategy for sustainable business development and its goal of creating value for shareholders. Consistent with our philosophy of driving long-term company performance, the Compensation Committee, with the advice of its independent compensation consultant, will annually consider potential alternative performance metrics that link to our strategy and align with shareholder interests in long-term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141605</wp:posOffset>
            </wp:positionV>
            <wp:extent cx="6998970" cy="3467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346710"/>
                    </a:xfrm>
                    <a:prstGeom prst="rect">
                      <a:avLst/>
                    </a:prstGeom>
                    <a:noFill/>
                  </pic:spPr>
                </pic:pic>
              </a:graphicData>
            </a:graphic>
          </wp:anchor>
        </w:drawing>
      </w: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732282"/>
        </w:rPr>
        <w:t>The 2021 compensation year reflects the first full year of Viatris’ simplified</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732282"/>
        </w:rPr>
        <w:t>compensation program and reflects comments that we received from shareholders during extensive engagement.</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Total Target Compensation</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chart below shows the target total direct compensation opportunity for each of our NEOs in 2021.</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20" w:type="dxa"/>
            <w:vAlign w:val="bottom"/>
          </w:tcPr>
          <w:p>
            <w:pPr>
              <w:jc w:val="right"/>
              <w:ind w:right="262"/>
              <w:spacing w:after="0"/>
              <w:rPr>
                <w:sz w:val="20"/>
                <w:szCs w:val="20"/>
                <w:color w:val="auto"/>
              </w:rPr>
            </w:pPr>
            <w:r>
              <w:rPr>
                <w:rFonts w:ascii="Arial" w:cs="Arial" w:eastAsia="Arial" w:hAnsi="Arial"/>
                <w:sz w:val="14"/>
                <w:szCs w:val="14"/>
                <w:b w:val="1"/>
                <w:bCs w:val="1"/>
                <w:color w:val="732282"/>
              </w:rPr>
              <w:t>Target Annual</w:t>
            </w:r>
          </w:p>
        </w:tc>
        <w:tc>
          <w:tcPr>
            <w:tcW w:w="1880" w:type="dxa"/>
            <w:vAlign w:val="bottom"/>
          </w:tcPr>
          <w:p>
            <w:pPr>
              <w:jc w:val="right"/>
              <w:ind w:right="262"/>
              <w:spacing w:after="0"/>
              <w:rPr>
                <w:sz w:val="20"/>
                <w:szCs w:val="20"/>
                <w:color w:val="auto"/>
              </w:rPr>
            </w:pPr>
            <w:r>
              <w:rPr>
                <w:rFonts w:ascii="Arial" w:cs="Arial" w:eastAsia="Arial" w:hAnsi="Arial"/>
                <w:sz w:val="14"/>
                <w:szCs w:val="14"/>
                <w:b w:val="1"/>
                <w:bCs w:val="1"/>
                <w:color w:val="732282"/>
              </w:rPr>
              <w:t>Target Long-Term</w:t>
            </w:r>
          </w:p>
        </w:tc>
        <w:tc>
          <w:tcPr>
            <w:tcW w:w="1740" w:type="dxa"/>
            <w:vAlign w:val="bottom"/>
          </w:tcPr>
          <w:p>
            <w:pPr>
              <w:jc w:val="right"/>
              <w:ind w:right="142"/>
              <w:spacing w:after="0"/>
              <w:rPr>
                <w:sz w:val="20"/>
                <w:szCs w:val="20"/>
                <w:color w:val="auto"/>
              </w:rPr>
            </w:pPr>
            <w:r>
              <w:rPr>
                <w:rFonts w:ascii="Arial" w:cs="Arial" w:eastAsia="Arial" w:hAnsi="Arial"/>
                <w:sz w:val="14"/>
                <w:szCs w:val="14"/>
                <w:b w:val="1"/>
                <w:bCs w:val="1"/>
                <w:color w:val="732282"/>
              </w:rPr>
              <w:t>2021 Total Target</w:t>
            </w:r>
          </w:p>
        </w:tc>
      </w:tr>
      <w:tr>
        <w:trPr>
          <w:trHeight w:val="175"/>
        </w:trPr>
        <w:tc>
          <w:tcPr>
            <w:tcW w:w="2940" w:type="dxa"/>
            <w:vAlign w:val="bottom"/>
            <w:tcBorders>
              <w:bottom w:val="single" w:sz="8" w:color="732282"/>
            </w:tcBorders>
          </w:tcPr>
          <w:p>
            <w:pPr>
              <w:ind w:left="60"/>
              <w:spacing w:after="0"/>
              <w:rPr>
                <w:sz w:val="20"/>
                <w:szCs w:val="20"/>
                <w:color w:val="auto"/>
              </w:rPr>
            </w:pPr>
            <w:r>
              <w:rPr>
                <w:rFonts w:ascii="Arial" w:cs="Arial" w:eastAsia="Arial" w:hAnsi="Arial"/>
                <w:sz w:val="14"/>
                <w:szCs w:val="14"/>
                <w:b w:val="1"/>
                <w:bCs w:val="1"/>
                <w:color w:val="732282"/>
              </w:rPr>
              <w:t>NEO</w:t>
            </w:r>
          </w:p>
        </w:tc>
        <w:tc>
          <w:tcPr>
            <w:tcW w:w="2840" w:type="dxa"/>
            <w:vAlign w:val="bottom"/>
            <w:tcBorders>
              <w:bottom w:val="single" w:sz="8" w:color="732282"/>
            </w:tcBorders>
          </w:tcPr>
          <w:p>
            <w:pPr>
              <w:jc w:val="right"/>
              <w:ind w:right="241"/>
              <w:spacing w:after="0"/>
              <w:rPr>
                <w:sz w:val="20"/>
                <w:szCs w:val="20"/>
                <w:color w:val="auto"/>
              </w:rPr>
            </w:pPr>
            <w:r>
              <w:rPr>
                <w:rFonts w:ascii="Arial" w:cs="Arial" w:eastAsia="Arial" w:hAnsi="Arial"/>
                <w:sz w:val="14"/>
                <w:szCs w:val="14"/>
                <w:b w:val="1"/>
                <w:bCs w:val="1"/>
                <w:color w:val="732282"/>
              </w:rPr>
              <w:t>Base Salary</w:t>
            </w:r>
          </w:p>
        </w:tc>
        <w:tc>
          <w:tcPr>
            <w:tcW w:w="1620" w:type="dxa"/>
            <w:vAlign w:val="bottom"/>
            <w:tcBorders>
              <w:bottom w:val="single" w:sz="8" w:color="732282"/>
            </w:tcBorders>
          </w:tcPr>
          <w:p>
            <w:pPr>
              <w:jc w:val="right"/>
              <w:ind w:right="262"/>
              <w:spacing w:after="0"/>
              <w:rPr>
                <w:sz w:val="20"/>
                <w:szCs w:val="20"/>
                <w:color w:val="auto"/>
              </w:rPr>
            </w:pPr>
            <w:r>
              <w:rPr>
                <w:rFonts w:ascii="Arial" w:cs="Arial" w:eastAsia="Arial" w:hAnsi="Arial"/>
                <w:sz w:val="14"/>
                <w:szCs w:val="14"/>
                <w:b w:val="1"/>
                <w:bCs w:val="1"/>
                <w:color w:val="732282"/>
              </w:rPr>
              <w:t>Incentive</w:t>
            </w:r>
          </w:p>
        </w:tc>
        <w:tc>
          <w:tcPr>
            <w:tcW w:w="1880" w:type="dxa"/>
            <w:vAlign w:val="bottom"/>
            <w:tcBorders>
              <w:bottom w:val="single" w:sz="8" w:color="732282"/>
            </w:tcBorders>
          </w:tcPr>
          <w:p>
            <w:pPr>
              <w:jc w:val="right"/>
              <w:ind w:right="262"/>
              <w:spacing w:after="0"/>
              <w:rPr>
                <w:sz w:val="20"/>
                <w:szCs w:val="20"/>
                <w:color w:val="auto"/>
              </w:rPr>
            </w:pPr>
            <w:r>
              <w:rPr>
                <w:rFonts w:ascii="Arial" w:cs="Arial" w:eastAsia="Arial" w:hAnsi="Arial"/>
                <w:sz w:val="14"/>
                <w:szCs w:val="14"/>
                <w:b w:val="1"/>
                <w:bCs w:val="1"/>
                <w:color w:val="732282"/>
              </w:rPr>
              <w:t>Incentive</w:t>
            </w:r>
          </w:p>
        </w:tc>
        <w:tc>
          <w:tcPr>
            <w:tcW w:w="1740" w:type="dxa"/>
            <w:vAlign w:val="bottom"/>
            <w:tcBorders>
              <w:bottom w:val="single" w:sz="8" w:color="732282"/>
            </w:tcBorders>
          </w:tcPr>
          <w:p>
            <w:pPr>
              <w:jc w:val="right"/>
              <w:ind w:right="142"/>
              <w:spacing w:after="0" w:line="175" w:lineRule="exact"/>
              <w:rPr>
                <w:sz w:val="20"/>
                <w:szCs w:val="20"/>
                <w:color w:val="auto"/>
              </w:rPr>
            </w:pPr>
            <w:r>
              <w:rPr>
                <w:rFonts w:ascii="Arial" w:cs="Arial" w:eastAsia="Arial" w:hAnsi="Arial"/>
                <w:sz w:val="14"/>
                <w:szCs w:val="14"/>
                <w:b w:val="1"/>
                <w:bCs w:val="1"/>
                <w:color w:val="732282"/>
              </w:rPr>
              <w:t>Compensation</w:t>
            </w:r>
            <w:r>
              <w:rPr>
                <w:rFonts w:ascii="Arial" w:cs="Arial" w:eastAsia="Arial" w:hAnsi="Arial"/>
                <w:sz w:val="20"/>
                <w:szCs w:val="20"/>
                <w:b w:val="1"/>
                <w:bCs w:val="1"/>
                <w:color w:val="732282"/>
                <w:vertAlign w:val="superscript"/>
              </w:rPr>
              <w:t>(1)</w:t>
            </w:r>
          </w:p>
        </w:tc>
      </w:tr>
      <w:tr>
        <w:trPr>
          <w:trHeight w:val="183"/>
        </w:trPr>
        <w:tc>
          <w:tcPr>
            <w:tcW w:w="2940" w:type="dxa"/>
            <w:vAlign w:val="bottom"/>
            <w:shd w:val="clear" w:color="auto" w:fill="E5E5E5"/>
          </w:tcPr>
          <w:p>
            <w:pPr>
              <w:ind w:left="60"/>
              <w:spacing w:after="0" w:line="183" w:lineRule="exact"/>
              <w:rPr>
                <w:sz w:val="20"/>
                <w:szCs w:val="20"/>
                <w:color w:val="auto"/>
              </w:rPr>
            </w:pPr>
            <w:r>
              <w:rPr>
                <w:rFonts w:ascii="Arial" w:cs="Arial" w:eastAsia="Arial" w:hAnsi="Arial"/>
                <w:sz w:val="16"/>
                <w:szCs w:val="16"/>
                <w:color w:val="auto"/>
              </w:rPr>
              <w:t>Michael Goettler</w:t>
            </w:r>
          </w:p>
        </w:tc>
        <w:tc>
          <w:tcPr>
            <w:tcW w:w="2840" w:type="dxa"/>
            <w:vAlign w:val="bottom"/>
            <w:shd w:val="clear" w:color="auto" w:fill="E5E5E5"/>
          </w:tcPr>
          <w:p>
            <w:pPr>
              <w:jc w:val="right"/>
              <w:ind w:right="241"/>
              <w:spacing w:after="0" w:line="183" w:lineRule="exact"/>
              <w:rPr>
                <w:sz w:val="20"/>
                <w:szCs w:val="20"/>
                <w:color w:val="auto"/>
              </w:rPr>
            </w:pPr>
            <w:r>
              <w:rPr>
                <w:rFonts w:ascii="Arial" w:cs="Arial" w:eastAsia="Arial" w:hAnsi="Arial"/>
                <w:sz w:val="16"/>
                <w:szCs w:val="16"/>
                <w:color w:val="auto"/>
              </w:rPr>
              <w:t>$1,300,000</w:t>
            </w:r>
          </w:p>
        </w:tc>
        <w:tc>
          <w:tcPr>
            <w:tcW w:w="1620" w:type="dxa"/>
            <w:vAlign w:val="bottom"/>
            <w:shd w:val="clear" w:color="auto" w:fill="E5E5E5"/>
          </w:tcPr>
          <w:p>
            <w:pPr>
              <w:jc w:val="right"/>
              <w:ind w:right="262"/>
              <w:spacing w:after="0" w:line="183" w:lineRule="exact"/>
              <w:rPr>
                <w:sz w:val="20"/>
                <w:szCs w:val="20"/>
                <w:color w:val="auto"/>
              </w:rPr>
            </w:pPr>
            <w:r>
              <w:rPr>
                <w:rFonts w:ascii="Arial" w:cs="Arial" w:eastAsia="Arial" w:hAnsi="Arial"/>
                <w:sz w:val="16"/>
                <w:szCs w:val="16"/>
                <w:color w:val="auto"/>
              </w:rPr>
              <w:t>$1,950,000</w:t>
            </w:r>
          </w:p>
        </w:tc>
        <w:tc>
          <w:tcPr>
            <w:tcW w:w="1880" w:type="dxa"/>
            <w:vAlign w:val="bottom"/>
            <w:shd w:val="clear" w:color="auto" w:fill="E5E5E5"/>
          </w:tcPr>
          <w:p>
            <w:pPr>
              <w:jc w:val="right"/>
              <w:ind w:right="262"/>
              <w:spacing w:after="0" w:line="183" w:lineRule="exact"/>
              <w:rPr>
                <w:sz w:val="20"/>
                <w:szCs w:val="20"/>
                <w:color w:val="auto"/>
              </w:rPr>
            </w:pPr>
            <w:r>
              <w:rPr>
                <w:rFonts w:ascii="Arial" w:cs="Arial" w:eastAsia="Arial" w:hAnsi="Arial"/>
                <w:sz w:val="16"/>
                <w:szCs w:val="16"/>
                <w:color w:val="auto"/>
              </w:rPr>
              <w:t>$9,100,000</w:t>
            </w:r>
          </w:p>
        </w:tc>
        <w:tc>
          <w:tcPr>
            <w:tcW w:w="1740" w:type="dxa"/>
            <w:vAlign w:val="bottom"/>
            <w:shd w:val="clear" w:color="auto" w:fill="E5E5E5"/>
          </w:tcPr>
          <w:p>
            <w:pPr>
              <w:jc w:val="right"/>
              <w:ind w:right="142"/>
              <w:spacing w:after="0" w:line="183" w:lineRule="exact"/>
              <w:rPr>
                <w:sz w:val="20"/>
                <w:szCs w:val="20"/>
                <w:color w:val="auto"/>
              </w:rPr>
            </w:pPr>
            <w:r>
              <w:rPr>
                <w:rFonts w:ascii="Arial" w:cs="Arial" w:eastAsia="Arial" w:hAnsi="Arial"/>
                <w:sz w:val="16"/>
                <w:szCs w:val="16"/>
                <w:color w:val="auto"/>
              </w:rPr>
              <w:t>$12,350,000</w:t>
            </w:r>
          </w:p>
        </w:tc>
      </w:tr>
      <w:tr>
        <w:trPr>
          <w:trHeight w:val="189"/>
        </w:trPr>
        <w:tc>
          <w:tcPr>
            <w:tcW w:w="2940" w:type="dxa"/>
            <w:vAlign w:val="bottom"/>
          </w:tcPr>
          <w:p>
            <w:pPr>
              <w:ind w:left="60"/>
              <w:spacing w:after="0"/>
              <w:rPr>
                <w:sz w:val="20"/>
                <w:szCs w:val="20"/>
                <w:color w:val="auto"/>
              </w:rPr>
            </w:pPr>
            <w:r>
              <w:rPr>
                <w:rFonts w:ascii="Arial" w:cs="Arial" w:eastAsia="Arial" w:hAnsi="Arial"/>
                <w:sz w:val="16"/>
                <w:szCs w:val="16"/>
                <w:color w:val="auto"/>
              </w:rPr>
              <w:t>Rajiv Malik</w:t>
            </w:r>
          </w:p>
        </w:tc>
        <w:tc>
          <w:tcPr>
            <w:tcW w:w="2840" w:type="dxa"/>
            <w:vAlign w:val="bottom"/>
          </w:tcPr>
          <w:p>
            <w:pPr>
              <w:jc w:val="right"/>
              <w:ind w:right="241"/>
              <w:spacing w:after="0"/>
              <w:rPr>
                <w:sz w:val="20"/>
                <w:szCs w:val="20"/>
                <w:color w:val="auto"/>
              </w:rPr>
            </w:pPr>
            <w:r>
              <w:rPr>
                <w:rFonts w:ascii="Arial" w:cs="Arial" w:eastAsia="Arial" w:hAnsi="Arial"/>
                <w:sz w:val="16"/>
                <w:szCs w:val="16"/>
                <w:color w:val="auto"/>
              </w:rPr>
              <w:t>$1,200,000</w:t>
            </w:r>
          </w:p>
        </w:tc>
        <w:tc>
          <w:tcPr>
            <w:tcW w:w="1620" w:type="dxa"/>
            <w:vAlign w:val="bottom"/>
          </w:tcPr>
          <w:p>
            <w:pPr>
              <w:jc w:val="right"/>
              <w:ind w:right="262"/>
              <w:spacing w:after="0"/>
              <w:rPr>
                <w:sz w:val="20"/>
                <w:szCs w:val="20"/>
                <w:color w:val="auto"/>
              </w:rPr>
            </w:pPr>
            <w:r>
              <w:rPr>
                <w:rFonts w:ascii="Arial" w:cs="Arial" w:eastAsia="Arial" w:hAnsi="Arial"/>
                <w:sz w:val="16"/>
                <w:szCs w:val="16"/>
                <w:color w:val="auto"/>
              </w:rPr>
              <w:t>$1,500,000</w:t>
            </w:r>
          </w:p>
        </w:tc>
        <w:tc>
          <w:tcPr>
            <w:tcW w:w="1880" w:type="dxa"/>
            <w:vAlign w:val="bottom"/>
          </w:tcPr>
          <w:p>
            <w:pPr>
              <w:jc w:val="right"/>
              <w:ind w:right="262"/>
              <w:spacing w:after="0"/>
              <w:rPr>
                <w:sz w:val="20"/>
                <w:szCs w:val="20"/>
                <w:color w:val="auto"/>
              </w:rPr>
            </w:pPr>
            <w:r>
              <w:rPr>
                <w:rFonts w:ascii="Arial" w:cs="Arial" w:eastAsia="Arial" w:hAnsi="Arial"/>
                <w:sz w:val="16"/>
                <w:szCs w:val="16"/>
                <w:color w:val="auto"/>
              </w:rPr>
              <w:t>$7,200,000</w:t>
            </w:r>
          </w:p>
        </w:tc>
        <w:tc>
          <w:tcPr>
            <w:tcW w:w="1740" w:type="dxa"/>
            <w:vAlign w:val="bottom"/>
          </w:tcPr>
          <w:p>
            <w:pPr>
              <w:jc w:val="right"/>
              <w:ind w:right="142"/>
              <w:spacing w:after="0"/>
              <w:rPr>
                <w:sz w:val="20"/>
                <w:szCs w:val="20"/>
                <w:color w:val="auto"/>
              </w:rPr>
            </w:pPr>
            <w:r>
              <w:rPr>
                <w:rFonts w:ascii="Arial" w:cs="Arial" w:eastAsia="Arial" w:hAnsi="Arial"/>
                <w:sz w:val="16"/>
                <w:szCs w:val="16"/>
                <w:color w:val="auto"/>
              </w:rPr>
              <w:t>$9,900,000</w:t>
            </w:r>
          </w:p>
        </w:tc>
      </w:tr>
      <w:tr>
        <w:trPr>
          <w:trHeight w:val="189"/>
        </w:trPr>
        <w:tc>
          <w:tcPr>
            <w:tcW w:w="2940" w:type="dxa"/>
            <w:vAlign w:val="bottom"/>
            <w:shd w:val="clear" w:color="auto" w:fill="E5E5E5"/>
          </w:tcPr>
          <w:p>
            <w:pPr>
              <w:ind w:left="60"/>
              <w:spacing w:after="0"/>
              <w:rPr>
                <w:sz w:val="20"/>
                <w:szCs w:val="20"/>
                <w:color w:val="auto"/>
              </w:rPr>
            </w:pPr>
            <w:r>
              <w:rPr>
                <w:rFonts w:ascii="Arial" w:cs="Arial" w:eastAsia="Arial" w:hAnsi="Arial"/>
                <w:sz w:val="16"/>
                <w:szCs w:val="16"/>
                <w:color w:val="auto"/>
              </w:rPr>
              <w:t>Sanjeev Narula</w:t>
            </w:r>
          </w:p>
        </w:tc>
        <w:tc>
          <w:tcPr>
            <w:tcW w:w="2840" w:type="dxa"/>
            <w:vAlign w:val="bottom"/>
            <w:shd w:val="clear" w:color="auto" w:fill="E5E5E5"/>
          </w:tcPr>
          <w:p>
            <w:pPr>
              <w:jc w:val="right"/>
              <w:ind w:right="241"/>
              <w:spacing w:after="0"/>
              <w:rPr>
                <w:sz w:val="20"/>
                <w:szCs w:val="20"/>
                <w:color w:val="auto"/>
              </w:rPr>
            </w:pPr>
            <w:r>
              <w:rPr>
                <w:rFonts w:ascii="Arial" w:cs="Arial" w:eastAsia="Arial" w:hAnsi="Arial"/>
                <w:sz w:val="16"/>
                <w:szCs w:val="16"/>
                <w:color w:val="auto"/>
              </w:rPr>
              <w:t>$800,000</w:t>
            </w:r>
          </w:p>
        </w:tc>
        <w:tc>
          <w:tcPr>
            <w:tcW w:w="1620" w:type="dxa"/>
            <w:vAlign w:val="bottom"/>
            <w:shd w:val="clear" w:color="auto" w:fill="E5E5E5"/>
          </w:tcPr>
          <w:p>
            <w:pPr>
              <w:jc w:val="right"/>
              <w:ind w:right="262"/>
              <w:spacing w:after="0"/>
              <w:rPr>
                <w:sz w:val="20"/>
                <w:szCs w:val="20"/>
                <w:color w:val="auto"/>
              </w:rPr>
            </w:pPr>
            <w:r>
              <w:rPr>
                <w:rFonts w:ascii="Arial" w:cs="Arial" w:eastAsia="Arial" w:hAnsi="Arial"/>
                <w:sz w:val="16"/>
                <w:szCs w:val="16"/>
                <w:color w:val="auto"/>
              </w:rPr>
              <w:t>$800,000</w:t>
            </w:r>
          </w:p>
        </w:tc>
        <w:tc>
          <w:tcPr>
            <w:tcW w:w="1880" w:type="dxa"/>
            <w:vAlign w:val="bottom"/>
            <w:shd w:val="clear" w:color="auto" w:fill="E5E5E5"/>
          </w:tcPr>
          <w:p>
            <w:pPr>
              <w:jc w:val="right"/>
              <w:ind w:right="262"/>
              <w:spacing w:after="0"/>
              <w:rPr>
                <w:sz w:val="20"/>
                <w:szCs w:val="20"/>
                <w:color w:val="auto"/>
              </w:rPr>
            </w:pPr>
            <w:r>
              <w:rPr>
                <w:rFonts w:ascii="Arial" w:cs="Arial" w:eastAsia="Arial" w:hAnsi="Arial"/>
                <w:sz w:val="16"/>
                <w:szCs w:val="16"/>
                <w:color w:val="auto"/>
              </w:rPr>
              <w:t>$2,800,000</w:t>
            </w:r>
          </w:p>
        </w:tc>
        <w:tc>
          <w:tcPr>
            <w:tcW w:w="1740" w:type="dxa"/>
            <w:vAlign w:val="bottom"/>
            <w:shd w:val="clear" w:color="auto" w:fill="E5E5E5"/>
          </w:tcPr>
          <w:p>
            <w:pPr>
              <w:jc w:val="right"/>
              <w:ind w:right="142"/>
              <w:spacing w:after="0"/>
              <w:rPr>
                <w:sz w:val="20"/>
                <w:szCs w:val="20"/>
                <w:color w:val="auto"/>
              </w:rPr>
            </w:pPr>
            <w:r>
              <w:rPr>
                <w:rFonts w:ascii="Arial" w:cs="Arial" w:eastAsia="Arial" w:hAnsi="Arial"/>
                <w:sz w:val="16"/>
                <w:szCs w:val="16"/>
                <w:color w:val="auto"/>
              </w:rPr>
              <w:t>$4,400,000</w:t>
            </w:r>
          </w:p>
        </w:tc>
      </w:tr>
      <w:tr>
        <w:trPr>
          <w:trHeight w:val="189"/>
        </w:trPr>
        <w:tc>
          <w:tcPr>
            <w:tcW w:w="2940" w:type="dxa"/>
            <w:vAlign w:val="bottom"/>
          </w:tcPr>
          <w:p>
            <w:pPr>
              <w:ind w:left="60"/>
              <w:spacing w:after="0"/>
              <w:rPr>
                <w:sz w:val="20"/>
                <w:szCs w:val="20"/>
                <w:color w:val="auto"/>
              </w:rPr>
            </w:pPr>
            <w:r>
              <w:rPr>
                <w:rFonts w:ascii="Arial" w:cs="Arial" w:eastAsia="Arial" w:hAnsi="Arial"/>
                <w:sz w:val="16"/>
                <w:szCs w:val="16"/>
                <w:color w:val="auto"/>
              </w:rPr>
              <w:t>Anthony Mauro</w:t>
            </w:r>
          </w:p>
        </w:tc>
        <w:tc>
          <w:tcPr>
            <w:tcW w:w="2840" w:type="dxa"/>
            <w:vAlign w:val="bottom"/>
          </w:tcPr>
          <w:p>
            <w:pPr>
              <w:jc w:val="right"/>
              <w:ind w:right="241"/>
              <w:spacing w:after="0"/>
              <w:rPr>
                <w:sz w:val="20"/>
                <w:szCs w:val="20"/>
                <w:color w:val="auto"/>
              </w:rPr>
            </w:pPr>
            <w:r>
              <w:rPr>
                <w:rFonts w:ascii="Arial" w:cs="Arial" w:eastAsia="Arial" w:hAnsi="Arial"/>
                <w:sz w:val="16"/>
                <w:szCs w:val="16"/>
                <w:color w:val="auto"/>
              </w:rPr>
              <w:t>$800,000</w:t>
            </w:r>
          </w:p>
        </w:tc>
        <w:tc>
          <w:tcPr>
            <w:tcW w:w="1620" w:type="dxa"/>
            <w:vAlign w:val="bottom"/>
          </w:tcPr>
          <w:p>
            <w:pPr>
              <w:jc w:val="right"/>
              <w:ind w:right="262"/>
              <w:spacing w:after="0"/>
              <w:rPr>
                <w:sz w:val="20"/>
                <w:szCs w:val="20"/>
                <w:color w:val="auto"/>
              </w:rPr>
            </w:pPr>
            <w:r>
              <w:rPr>
                <w:rFonts w:ascii="Arial" w:cs="Arial" w:eastAsia="Arial" w:hAnsi="Arial"/>
                <w:sz w:val="16"/>
                <w:szCs w:val="16"/>
                <w:color w:val="auto"/>
              </w:rPr>
              <w:t>$920,000</w:t>
            </w:r>
          </w:p>
        </w:tc>
        <w:tc>
          <w:tcPr>
            <w:tcW w:w="1880" w:type="dxa"/>
            <w:vAlign w:val="bottom"/>
          </w:tcPr>
          <w:p>
            <w:pPr>
              <w:jc w:val="right"/>
              <w:ind w:right="262"/>
              <w:spacing w:after="0"/>
              <w:rPr>
                <w:sz w:val="20"/>
                <w:szCs w:val="20"/>
                <w:color w:val="auto"/>
              </w:rPr>
            </w:pPr>
            <w:r>
              <w:rPr>
                <w:rFonts w:ascii="Arial" w:cs="Arial" w:eastAsia="Arial" w:hAnsi="Arial"/>
                <w:sz w:val="16"/>
                <w:szCs w:val="16"/>
                <w:color w:val="auto"/>
              </w:rPr>
              <w:t>$3,200,000</w:t>
            </w:r>
          </w:p>
        </w:tc>
        <w:tc>
          <w:tcPr>
            <w:tcW w:w="1740" w:type="dxa"/>
            <w:vAlign w:val="bottom"/>
          </w:tcPr>
          <w:p>
            <w:pPr>
              <w:jc w:val="right"/>
              <w:ind w:right="142"/>
              <w:spacing w:after="0"/>
              <w:rPr>
                <w:sz w:val="20"/>
                <w:szCs w:val="20"/>
                <w:color w:val="auto"/>
              </w:rPr>
            </w:pPr>
            <w:r>
              <w:rPr>
                <w:rFonts w:ascii="Arial" w:cs="Arial" w:eastAsia="Arial" w:hAnsi="Arial"/>
                <w:sz w:val="16"/>
                <w:szCs w:val="16"/>
                <w:color w:val="auto"/>
              </w:rPr>
              <w:t>$4,920,000</w:t>
            </w:r>
          </w:p>
        </w:tc>
      </w:tr>
      <w:tr>
        <w:trPr>
          <w:trHeight w:val="189"/>
        </w:trPr>
        <w:tc>
          <w:tcPr>
            <w:tcW w:w="2940" w:type="dxa"/>
            <w:vAlign w:val="bottom"/>
            <w:shd w:val="clear" w:color="auto" w:fill="E5E5E5"/>
          </w:tcPr>
          <w:p>
            <w:pPr>
              <w:ind w:left="60"/>
              <w:spacing w:after="0"/>
              <w:rPr>
                <w:sz w:val="20"/>
                <w:szCs w:val="20"/>
                <w:color w:val="auto"/>
              </w:rPr>
            </w:pPr>
            <w:r>
              <w:rPr>
                <w:rFonts w:ascii="Arial" w:cs="Arial" w:eastAsia="Arial" w:hAnsi="Arial"/>
                <w:sz w:val="16"/>
                <w:szCs w:val="16"/>
                <w:color w:val="auto"/>
              </w:rPr>
              <w:t>Robert J. Coury</w:t>
            </w:r>
          </w:p>
        </w:tc>
        <w:tc>
          <w:tcPr>
            <w:tcW w:w="2840" w:type="dxa"/>
            <w:vAlign w:val="bottom"/>
            <w:shd w:val="clear" w:color="auto" w:fill="E5E5E5"/>
          </w:tcPr>
          <w:p>
            <w:pPr>
              <w:jc w:val="right"/>
              <w:ind w:right="241"/>
              <w:spacing w:after="0"/>
              <w:rPr>
                <w:sz w:val="20"/>
                <w:szCs w:val="20"/>
                <w:color w:val="auto"/>
              </w:rPr>
            </w:pPr>
            <w:r>
              <w:rPr>
                <w:rFonts w:ascii="Arial" w:cs="Arial" w:eastAsia="Arial" w:hAnsi="Arial"/>
                <w:sz w:val="16"/>
                <w:szCs w:val="16"/>
                <w:color w:val="auto"/>
              </w:rPr>
              <w:t>$1,800,000</w:t>
            </w:r>
          </w:p>
        </w:tc>
        <w:tc>
          <w:tcPr>
            <w:tcW w:w="1620" w:type="dxa"/>
            <w:vAlign w:val="bottom"/>
            <w:shd w:val="clear" w:color="auto" w:fill="E5E5E5"/>
          </w:tcPr>
          <w:p>
            <w:pPr>
              <w:jc w:val="right"/>
              <w:ind w:right="262"/>
              <w:spacing w:after="0"/>
              <w:rPr>
                <w:sz w:val="20"/>
                <w:szCs w:val="20"/>
                <w:color w:val="auto"/>
              </w:rPr>
            </w:pPr>
            <w:r>
              <w:rPr>
                <w:rFonts w:ascii="Arial" w:cs="Arial" w:eastAsia="Arial" w:hAnsi="Arial"/>
                <w:sz w:val="16"/>
                <w:szCs w:val="16"/>
                <w:color w:val="auto"/>
              </w:rPr>
              <w:t>$2,700,000</w:t>
            </w:r>
          </w:p>
        </w:tc>
        <w:tc>
          <w:tcPr>
            <w:tcW w:w="1880" w:type="dxa"/>
            <w:vAlign w:val="bottom"/>
            <w:shd w:val="clear" w:color="auto" w:fill="E5E5E5"/>
          </w:tcPr>
          <w:p>
            <w:pPr>
              <w:jc w:val="right"/>
              <w:ind w:right="262"/>
              <w:spacing w:after="0"/>
              <w:rPr>
                <w:sz w:val="20"/>
                <w:szCs w:val="20"/>
                <w:color w:val="auto"/>
              </w:rPr>
            </w:pPr>
            <w:r>
              <w:rPr>
                <w:rFonts w:ascii="Arial" w:cs="Arial" w:eastAsia="Arial" w:hAnsi="Arial"/>
                <w:sz w:val="16"/>
                <w:szCs w:val="16"/>
                <w:color w:val="auto"/>
              </w:rPr>
              <w:t>$10,800,000</w:t>
            </w:r>
          </w:p>
        </w:tc>
        <w:tc>
          <w:tcPr>
            <w:tcW w:w="1740" w:type="dxa"/>
            <w:vAlign w:val="bottom"/>
            <w:shd w:val="clear" w:color="auto" w:fill="E5E5E5"/>
          </w:tcPr>
          <w:p>
            <w:pPr>
              <w:jc w:val="right"/>
              <w:ind w:right="142"/>
              <w:spacing w:after="0"/>
              <w:rPr>
                <w:sz w:val="20"/>
                <w:szCs w:val="20"/>
                <w:color w:val="auto"/>
              </w:rPr>
            </w:pPr>
            <w:r>
              <w:rPr>
                <w:rFonts w:ascii="Arial" w:cs="Arial" w:eastAsia="Arial" w:hAnsi="Arial"/>
                <w:sz w:val="16"/>
                <w:szCs w:val="16"/>
                <w:color w:val="auto"/>
              </w:rPr>
              <w:t>$15,300,000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440" w:hanging="324"/>
        <w:spacing w:after="0"/>
        <w:tabs>
          <w:tab w:leader="none" w:pos="4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Total target compensation is defined as the sum of base salary, target annual incentive, and target long-term incentive.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Peer Group</w:t>
      </w:r>
    </w:p>
    <w:p>
      <w:pPr>
        <w:spacing w:after="0" w:line="128" w:lineRule="exact"/>
        <w:rPr>
          <w:sz w:val="20"/>
          <w:szCs w:val="20"/>
          <w:color w:val="auto"/>
        </w:rPr>
      </w:pPr>
    </w:p>
    <w:p>
      <w:pPr>
        <w:jc w:val="both"/>
        <w:ind w:left="120" w:right="20"/>
        <w:spacing w:after="0" w:line="251" w:lineRule="auto"/>
        <w:rPr>
          <w:sz w:val="20"/>
          <w:szCs w:val="20"/>
          <w:color w:val="auto"/>
        </w:rPr>
      </w:pPr>
      <w:r>
        <w:rPr>
          <w:rFonts w:ascii="Arial" w:cs="Arial" w:eastAsia="Arial" w:hAnsi="Arial"/>
          <w:sz w:val="16"/>
          <w:szCs w:val="16"/>
          <w:color w:val="auto"/>
        </w:rPr>
        <w:t>The peer group is used as one of several reference points for determining executive compensation and includes Viatris’ business competitors and companies that Viatris competes with for executive talent. Although the competitive market for our executives is one factor the Compensation Committee considers when making compensation decisions, the Committee does not target the compensation of NEOs within a specific percentile of any set of peer companies and considers peer group and industry data along with many other factors when determining compensation.</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Below is the peer group selected by the Compensation Committee, with the advice of the Committee’s independent compensation consultant.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3640" w:type="dxa"/>
            <w:vAlign w:val="bottom"/>
            <w:shd w:val="clear" w:color="auto" w:fill="EAEAEA"/>
          </w:tcPr>
          <w:p>
            <w:pPr>
              <w:spacing w:after="0"/>
              <w:rPr>
                <w:sz w:val="20"/>
                <w:szCs w:val="20"/>
                <w:color w:val="auto"/>
              </w:rPr>
            </w:pPr>
            <w:r>
              <w:rPr>
                <w:rFonts w:ascii="Arial" w:cs="Arial" w:eastAsia="Arial" w:hAnsi="Arial"/>
                <w:sz w:val="16"/>
                <w:szCs w:val="16"/>
                <w:b w:val="1"/>
                <w:bCs w:val="1"/>
                <w:color w:val="auto"/>
              </w:rPr>
              <w:t>Abbott Laboratories</w:t>
            </w:r>
          </w:p>
        </w:tc>
        <w:tc>
          <w:tcPr>
            <w:tcW w:w="3180" w:type="dxa"/>
            <w:vAlign w:val="bottom"/>
            <w:shd w:val="clear" w:color="auto" w:fill="EAEAEA"/>
          </w:tcPr>
          <w:p>
            <w:pPr>
              <w:ind w:left="100"/>
              <w:spacing w:after="0"/>
              <w:rPr>
                <w:sz w:val="20"/>
                <w:szCs w:val="20"/>
                <w:color w:val="auto"/>
              </w:rPr>
            </w:pPr>
            <w:r>
              <w:rPr>
                <w:rFonts w:ascii="Arial" w:cs="Arial" w:eastAsia="Arial" w:hAnsi="Arial"/>
                <w:sz w:val="16"/>
                <w:szCs w:val="16"/>
                <w:b w:val="1"/>
                <w:bCs w:val="1"/>
                <w:color w:val="auto"/>
              </w:rPr>
              <w:t>Biogen Inc.</w:t>
            </w:r>
          </w:p>
        </w:tc>
        <w:tc>
          <w:tcPr>
            <w:tcW w:w="4200" w:type="dxa"/>
            <w:vAlign w:val="bottom"/>
            <w:shd w:val="clear" w:color="auto" w:fill="EAEAEA"/>
          </w:tcPr>
          <w:p>
            <w:pPr>
              <w:ind w:left="660"/>
              <w:spacing w:after="0"/>
              <w:rPr>
                <w:sz w:val="20"/>
                <w:szCs w:val="20"/>
                <w:color w:val="auto"/>
              </w:rPr>
            </w:pPr>
            <w:r>
              <w:rPr>
                <w:rFonts w:ascii="Arial" w:cs="Arial" w:eastAsia="Arial" w:hAnsi="Arial"/>
                <w:sz w:val="16"/>
                <w:szCs w:val="16"/>
                <w:b w:val="1"/>
                <w:bCs w:val="1"/>
                <w:color w:val="auto"/>
              </w:rPr>
              <w:t>Novartis AG</w:t>
            </w:r>
          </w:p>
        </w:tc>
      </w:tr>
      <w:tr>
        <w:trPr>
          <w:trHeight w:val="243"/>
        </w:trPr>
        <w:tc>
          <w:tcPr>
            <w:tcW w:w="3640" w:type="dxa"/>
            <w:vAlign w:val="bottom"/>
          </w:tcPr>
          <w:p>
            <w:pPr>
              <w:spacing w:after="0"/>
              <w:rPr>
                <w:sz w:val="20"/>
                <w:szCs w:val="20"/>
                <w:color w:val="auto"/>
              </w:rPr>
            </w:pPr>
            <w:r>
              <w:rPr>
                <w:rFonts w:ascii="Arial" w:cs="Arial" w:eastAsia="Arial" w:hAnsi="Arial"/>
                <w:sz w:val="16"/>
                <w:szCs w:val="16"/>
                <w:b w:val="1"/>
                <w:bCs w:val="1"/>
                <w:color w:val="auto"/>
              </w:rPr>
              <w:t>Abbvie Inc.</w:t>
            </w:r>
          </w:p>
        </w:tc>
        <w:tc>
          <w:tcPr>
            <w:tcW w:w="3180" w:type="dxa"/>
            <w:vAlign w:val="bottom"/>
          </w:tcPr>
          <w:p>
            <w:pPr>
              <w:ind w:left="100"/>
              <w:spacing w:after="0"/>
              <w:rPr>
                <w:sz w:val="20"/>
                <w:szCs w:val="20"/>
                <w:color w:val="auto"/>
              </w:rPr>
            </w:pPr>
            <w:r>
              <w:rPr>
                <w:rFonts w:ascii="Arial" w:cs="Arial" w:eastAsia="Arial" w:hAnsi="Arial"/>
                <w:sz w:val="16"/>
                <w:szCs w:val="16"/>
                <w:b w:val="1"/>
                <w:bCs w:val="1"/>
                <w:color w:val="auto"/>
              </w:rPr>
              <w:t>Bristol-Myers Squibb Company</w:t>
            </w:r>
          </w:p>
        </w:tc>
        <w:tc>
          <w:tcPr>
            <w:tcW w:w="4200" w:type="dxa"/>
            <w:vAlign w:val="bottom"/>
          </w:tcPr>
          <w:p>
            <w:pPr>
              <w:ind w:left="660"/>
              <w:spacing w:after="0"/>
              <w:rPr>
                <w:sz w:val="20"/>
                <w:szCs w:val="20"/>
                <w:color w:val="auto"/>
              </w:rPr>
            </w:pPr>
            <w:r>
              <w:rPr>
                <w:rFonts w:ascii="Arial" w:cs="Arial" w:eastAsia="Arial" w:hAnsi="Arial"/>
                <w:sz w:val="16"/>
                <w:szCs w:val="16"/>
                <w:b w:val="1"/>
                <w:bCs w:val="1"/>
                <w:color w:val="auto"/>
              </w:rPr>
              <w:t>Pfizer Inc.</w:t>
            </w:r>
          </w:p>
        </w:tc>
      </w:tr>
      <w:tr>
        <w:trPr>
          <w:trHeight w:val="243"/>
        </w:trPr>
        <w:tc>
          <w:tcPr>
            <w:tcW w:w="3640" w:type="dxa"/>
            <w:vAlign w:val="bottom"/>
            <w:shd w:val="clear" w:color="auto" w:fill="EAEAEA"/>
          </w:tcPr>
          <w:p>
            <w:pPr>
              <w:spacing w:after="0"/>
              <w:rPr>
                <w:sz w:val="20"/>
                <w:szCs w:val="20"/>
                <w:color w:val="auto"/>
              </w:rPr>
            </w:pPr>
            <w:r>
              <w:rPr>
                <w:rFonts w:ascii="Arial" w:cs="Arial" w:eastAsia="Arial" w:hAnsi="Arial"/>
                <w:sz w:val="16"/>
                <w:szCs w:val="16"/>
                <w:b w:val="1"/>
                <w:bCs w:val="1"/>
                <w:color w:val="auto"/>
              </w:rPr>
              <w:t>Amgen Inc.</w:t>
            </w:r>
          </w:p>
        </w:tc>
        <w:tc>
          <w:tcPr>
            <w:tcW w:w="3180" w:type="dxa"/>
            <w:vAlign w:val="bottom"/>
            <w:shd w:val="clear" w:color="auto" w:fill="EAEAEA"/>
          </w:tcPr>
          <w:p>
            <w:pPr>
              <w:ind w:left="100"/>
              <w:spacing w:after="0"/>
              <w:rPr>
                <w:sz w:val="20"/>
                <w:szCs w:val="20"/>
                <w:color w:val="auto"/>
              </w:rPr>
            </w:pPr>
            <w:r>
              <w:rPr>
                <w:rFonts w:ascii="Arial" w:cs="Arial" w:eastAsia="Arial" w:hAnsi="Arial"/>
                <w:sz w:val="16"/>
                <w:szCs w:val="16"/>
                <w:b w:val="1"/>
                <w:bCs w:val="1"/>
                <w:color w:val="auto"/>
              </w:rPr>
              <w:t>Eli Lilly and Company</w:t>
            </w:r>
          </w:p>
        </w:tc>
        <w:tc>
          <w:tcPr>
            <w:tcW w:w="4200" w:type="dxa"/>
            <w:vAlign w:val="bottom"/>
            <w:shd w:val="clear" w:color="auto" w:fill="EAEAEA"/>
          </w:tcPr>
          <w:p>
            <w:pPr>
              <w:ind w:left="660"/>
              <w:spacing w:after="0"/>
              <w:rPr>
                <w:sz w:val="20"/>
                <w:szCs w:val="20"/>
                <w:color w:val="auto"/>
              </w:rPr>
            </w:pPr>
            <w:r>
              <w:rPr>
                <w:rFonts w:ascii="Arial" w:cs="Arial" w:eastAsia="Arial" w:hAnsi="Arial"/>
                <w:sz w:val="16"/>
                <w:szCs w:val="16"/>
                <w:b w:val="1"/>
                <w:bCs w:val="1"/>
                <w:color w:val="auto"/>
              </w:rPr>
              <w:t>Regeneron Pharmaceuticals, Inc.</w:t>
            </w:r>
          </w:p>
        </w:tc>
      </w:tr>
      <w:tr>
        <w:trPr>
          <w:trHeight w:val="243"/>
        </w:trPr>
        <w:tc>
          <w:tcPr>
            <w:tcW w:w="3640" w:type="dxa"/>
            <w:vAlign w:val="bottom"/>
          </w:tcPr>
          <w:p>
            <w:pPr>
              <w:spacing w:after="0"/>
              <w:rPr>
                <w:sz w:val="20"/>
                <w:szCs w:val="20"/>
                <w:color w:val="auto"/>
              </w:rPr>
            </w:pPr>
            <w:r>
              <w:rPr>
                <w:rFonts w:ascii="Arial" w:cs="Arial" w:eastAsia="Arial" w:hAnsi="Arial"/>
                <w:sz w:val="16"/>
                <w:szCs w:val="16"/>
                <w:b w:val="1"/>
                <w:bCs w:val="1"/>
                <w:color w:val="auto"/>
              </w:rPr>
              <w:t>Bausch Health Companies Inc.</w:t>
            </w:r>
          </w:p>
        </w:tc>
        <w:tc>
          <w:tcPr>
            <w:tcW w:w="3180" w:type="dxa"/>
            <w:vAlign w:val="bottom"/>
          </w:tcPr>
          <w:p>
            <w:pPr>
              <w:ind w:left="100"/>
              <w:spacing w:after="0"/>
              <w:rPr>
                <w:sz w:val="20"/>
                <w:szCs w:val="20"/>
                <w:color w:val="auto"/>
              </w:rPr>
            </w:pPr>
            <w:r>
              <w:rPr>
                <w:rFonts w:ascii="Arial" w:cs="Arial" w:eastAsia="Arial" w:hAnsi="Arial"/>
                <w:sz w:val="16"/>
                <w:szCs w:val="16"/>
                <w:b w:val="1"/>
                <w:bCs w:val="1"/>
                <w:color w:val="auto"/>
              </w:rPr>
              <w:t>Gilead Sciences, Inc.</w:t>
            </w:r>
          </w:p>
        </w:tc>
        <w:tc>
          <w:tcPr>
            <w:tcW w:w="4200" w:type="dxa"/>
            <w:vAlign w:val="bottom"/>
          </w:tcPr>
          <w:p>
            <w:pPr>
              <w:ind w:left="660"/>
              <w:spacing w:after="0"/>
              <w:rPr>
                <w:sz w:val="20"/>
                <w:szCs w:val="20"/>
                <w:color w:val="auto"/>
              </w:rPr>
            </w:pPr>
            <w:r>
              <w:rPr>
                <w:rFonts w:ascii="Arial" w:cs="Arial" w:eastAsia="Arial" w:hAnsi="Arial"/>
                <w:sz w:val="16"/>
                <w:szCs w:val="16"/>
                <w:b w:val="1"/>
                <w:bCs w:val="1"/>
                <w:color w:val="auto"/>
              </w:rPr>
              <w:t>Sanofi SA</w:t>
            </w:r>
          </w:p>
        </w:tc>
      </w:tr>
      <w:tr>
        <w:trPr>
          <w:trHeight w:val="243"/>
        </w:trPr>
        <w:tc>
          <w:tcPr>
            <w:tcW w:w="3640" w:type="dxa"/>
            <w:vAlign w:val="bottom"/>
            <w:shd w:val="clear" w:color="auto" w:fill="EAEAEA"/>
          </w:tcPr>
          <w:p>
            <w:pPr>
              <w:spacing w:after="0"/>
              <w:rPr>
                <w:sz w:val="20"/>
                <w:szCs w:val="20"/>
                <w:color w:val="auto"/>
              </w:rPr>
            </w:pPr>
            <w:r>
              <w:rPr>
                <w:rFonts w:ascii="Arial" w:cs="Arial" w:eastAsia="Arial" w:hAnsi="Arial"/>
                <w:sz w:val="16"/>
                <w:szCs w:val="16"/>
                <w:b w:val="1"/>
                <w:bCs w:val="1"/>
                <w:color w:val="auto"/>
              </w:rPr>
              <w:t>Baxter International Inc.</w:t>
            </w:r>
          </w:p>
        </w:tc>
        <w:tc>
          <w:tcPr>
            <w:tcW w:w="3180" w:type="dxa"/>
            <w:vAlign w:val="bottom"/>
            <w:shd w:val="clear" w:color="auto" w:fill="EAEAEA"/>
          </w:tcPr>
          <w:p>
            <w:pPr>
              <w:ind w:left="100"/>
              <w:spacing w:after="0"/>
              <w:rPr>
                <w:sz w:val="20"/>
                <w:szCs w:val="20"/>
                <w:color w:val="auto"/>
              </w:rPr>
            </w:pPr>
            <w:r>
              <w:rPr>
                <w:rFonts w:ascii="Arial" w:cs="Arial" w:eastAsia="Arial" w:hAnsi="Arial"/>
                <w:sz w:val="16"/>
                <w:szCs w:val="16"/>
                <w:b w:val="1"/>
                <w:bCs w:val="1"/>
                <w:color w:val="auto"/>
              </w:rPr>
              <w:t>Merck &amp; Co., Inc.</w:t>
            </w:r>
          </w:p>
        </w:tc>
        <w:tc>
          <w:tcPr>
            <w:tcW w:w="4200" w:type="dxa"/>
            <w:vAlign w:val="bottom"/>
            <w:shd w:val="clear" w:color="auto" w:fill="EAEAEA"/>
          </w:tcPr>
          <w:p>
            <w:pPr>
              <w:ind w:left="660"/>
              <w:spacing w:after="0"/>
              <w:rPr>
                <w:sz w:val="20"/>
                <w:szCs w:val="20"/>
                <w:color w:val="auto"/>
              </w:rPr>
            </w:pPr>
            <w:r>
              <w:rPr>
                <w:rFonts w:ascii="Arial" w:cs="Arial" w:eastAsia="Arial" w:hAnsi="Arial"/>
                <w:sz w:val="16"/>
                <w:szCs w:val="16"/>
                <w:b w:val="1"/>
                <w:bCs w:val="1"/>
                <w:color w:val="auto"/>
              </w:rPr>
              <w:t>Teva Pharmaceutical Limited</w:t>
            </w: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86"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666666"/>
        </w:rPr>
        <w:t>Elements of 2021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Base Salaries</w:t>
      </w:r>
    </w:p>
    <w:p>
      <w:pPr>
        <w:spacing w:after="0" w:line="128"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6"/>
          <w:szCs w:val="16"/>
          <w:color w:val="auto"/>
        </w:rPr>
        <w:t>The Compensation Committee considers a variety of factors in deciding base salary, including, among others: individual performance, responsibilities, and expected future performance; Company performance; management structure; marketplace practices (including external benchmarks prepared by an independent compensation consultant); internal pay equity considerations; competitive recruitment for outstanding talent; and the executive’s experience, tenure, and leadership. The Compensation Committee also considers, among other factors, what the marketplace would require in terms of the costs to hire a similarly qualified and experienced individual externally.</w:t>
      </w:r>
    </w:p>
    <w:p>
      <w:pPr>
        <w:spacing w:after="0" w:line="95"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The Compensation Committee, with the advice of an independent compensation consultant, established the following 2021 base salaries for the NEOs commensurate with their new roles with Viatris.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137795</wp:posOffset>
            </wp:positionV>
            <wp:extent cx="6998970" cy="2184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218440"/>
                    </a:xfrm>
                    <a:prstGeom prst="rect">
                      <a:avLst/>
                    </a:prstGeom>
                    <a:noFill/>
                  </pic:spPr>
                </pic:pic>
              </a:graphicData>
            </a:graphic>
          </wp:anchor>
        </w:drawing>
      </w: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732282"/>
        </w:rPr>
        <w:t>None of our NEOs received a base salary increase in 2021.</w:t>
      </w:r>
    </w:p>
    <w:p>
      <w:pPr>
        <w:spacing w:after="0" w:line="32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4780" w:type="dxa"/>
            <w:vAlign w:val="bottom"/>
          </w:tcPr>
          <w:p>
            <w:pPr>
              <w:jc w:val="right"/>
              <w:ind w:right="182"/>
              <w:spacing w:after="0"/>
              <w:rPr>
                <w:sz w:val="20"/>
                <w:szCs w:val="20"/>
                <w:color w:val="auto"/>
              </w:rPr>
            </w:pPr>
            <w:r>
              <w:rPr>
                <w:rFonts w:ascii="Arial" w:cs="Arial" w:eastAsia="Arial" w:hAnsi="Arial"/>
                <w:sz w:val="14"/>
                <w:szCs w:val="14"/>
                <w:b w:val="1"/>
                <w:bCs w:val="1"/>
                <w:color w:val="732282"/>
              </w:rPr>
              <w:t>Annualized</w:t>
            </w:r>
          </w:p>
        </w:tc>
        <w:tc>
          <w:tcPr>
            <w:tcW w:w="1300" w:type="dxa"/>
            <w:vAlign w:val="bottom"/>
          </w:tcPr>
          <w:p>
            <w:pPr>
              <w:jc w:val="right"/>
              <w:ind w:right="142"/>
              <w:spacing w:after="0"/>
              <w:rPr>
                <w:sz w:val="20"/>
                <w:szCs w:val="20"/>
                <w:color w:val="auto"/>
              </w:rPr>
            </w:pPr>
            <w:r>
              <w:rPr>
                <w:rFonts w:ascii="Arial" w:cs="Arial" w:eastAsia="Arial" w:hAnsi="Arial"/>
                <w:sz w:val="14"/>
                <w:szCs w:val="14"/>
                <w:b w:val="1"/>
                <w:bCs w:val="1"/>
                <w:color w:val="732282"/>
              </w:rPr>
              <w:t>Viatris</w:t>
            </w:r>
          </w:p>
        </w:tc>
      </w:tr>
      <w:tr>
        <w:trPr>
          <w:trHeight w:val="175"/>
        </w:trPr>
        <w:tc>
          <w:tcPr>
            <w:tcW w:w="4940" w:type="dxa"/>
            <w:vAlign w:val="bottom"/>
            <w:tcBorders>
              <w:bottom w:val="single" w:sz="8" w:color="732282"/>
            </w:tcBorders>
          </w:tcPr>
          <w:p>
            <w:pPr>
              <w:ind w:left="60"/>
              <w:spacing w:after="0"/>
              <w:rPr>
                <w:sz w:val="20"/>
                <w:szCs w:val="20"/>
                <w:color w:val="auto"/>
              </w:rPr>
            </w:pPr>
            <w:r>
              <w:rPr>
                <w:rFonts w:ascii="Arial" w:cs="Arial" w:eastAsia="Arial" w:hAnsi="Arial"/>
                <w:sz w:val="14"/>
                <w:szCs w:val="14"/>
                <w:b w:val="1"/>
                <w:bCs w:val="1"/>
                <w:color w:val="732282"/>
              </w:rPr>
              <w:t>NEO</w:t>
            </w:r>
          </w:p>
        </w:tc>
        <w:tc>
          <w:tcPr>
            <w:tcW w:w="4780" w:type="dxa"/>
            <w:vAlign w:val="bottom"/>
            <w:tcBorders>
              <w:bottom w:val="single" w:sz="8" w:color="732282"/>
            </w:tcBorders>
          </w:tcPr>
          <w:p>
            <w:pPr>
              <w:jc w:val="right"/>
              <w:ind w:right="182"/>
              <w:spacing w:after="0"/>
              <w:rPr>
                <w:sz w:val="20"/>
                <w:szCs w:val="20"/>
                <w:color w:val="auto"/>
              </w:rPr>
            </w:pPr>
            <w:r>
              <w:rPr>
                <w:rFonts w:ascii="Arial" w:cs="Arial" w:eastAsia="Arial" w:hAnsi="Arial"/>
                <w:sz w:val="14"/>
                <w:szCs w:val="14"/>
                <w:b w:val="1"/>
                <w:bCs w:val="1"/>
                <w:color w:val="732282"/>
              </w:rPr>
              <w:t>Viatris 2020</w:t>
            </w:r>
          </w:p>
        </w:tc>
        <w:tc>
          <w:tcPr>
            <w:tcW w:w="1300" w:type="dxa"/>
            <w:vAlign w:val="bottom"/>
            <w:tcBorders>
              <w:bottom w:val="single" w:sz="8" w:color="732282"/>
            </w:tcBorders>
          </w:tcPr>
          <w:p>
            <w:pPr>
              <w:jc w:val="right"/>
              <w:ind w:right="142"/>
              <w:spacing w:after="0"/>
              <w:rPr>
                <w:sz w:val="20"/>
                <w:szCs w:val="20"/>
                <w:color w:val="auto"/>
              </w:rPr>
            </w:pPr>
            <w:r>
              <w:rPr>
                <w:rFonts w:ascii="Arial" w:cs="Arial" w:eastAsia="Arial" w:hAnsi="Arial"/>
                <w:sz w:val="14"/>
                <w:szCs w:val="14"/>
                <w:b w:val="1"/>
                <w:bCs w:val="1"/>
                <w:color w:val="732282"/>
              </w:rPr>
              <w:t>2021</w:t>
            </w:r>
          </w:p>
        </w:tc>
      </w:tr>
      <w:tr>
        <w:trPr>
          <w:trHeight w:val="183"/>
        </w:trPr>
        <w:tc>
          <w:tcPr>
            <w:tcW w:w="4940" w:type="dxa"/>
            <w:vAlign w:val="bottom"/>
            <w:shd w:val="clear" w:color="auto" w:fill="E5E5E5"/>
          </w:tcPr>
          <w:p>
            <w:pPr>
              <w:ind w:left="60"/>
              <w:spacing w:after="0" w:line="183" w:lineRule="exact"/>
              <w:rPr>
                <w:sz w:val="20"/>
                <w:szCs w:val="20"/>
                <w:color w:val="auto"/>
              </w:rPr>
            </w:pPr>
            <w:r>
              <w:rPr>
                <w:rFonts w:ascii="Arial" w:cs="Arial" w:eastAsia="Arial" w:hAnsi="Arial"/>
                <w:sz w:val="16"/>
                <w:szCs w:val="16"/>
                <w:color w:val="auto"/>
              </w:rPr>
              <w:t>Michael Goettler</w:t>
            </w:r>
          </w:p>
        </w:tc>
        <w:tc>
          <w:tcPr>
            <w:tcW w:w="4780" w:type="dxa"/>
            <w:vAlign w:val="bottom"/>
            <w:shd w:val="clear" w:color="auto" w:fill="E5E5E5"/>
          </w:tcPr>
          <w:p>
            <w:pPr>
              <w:jc w:val="right"/>
              <w:ind w:right="182"/>
              <w:spacing w:after="0" w:line="183" w:lineRule="exact"/>
              <w:rPr>
                <w:sz w:val="20"/>
                <w:szCs w:val="20"/>
                <w:color w:val="auto"/>
              </w:rPr>
            </w:pPr>
            <w:r>
              <w:rPr>
                <w:rFonts w:ascii="Arial" w:cs="Arial" w:eastAsia="Arial" w:hAnsi="Arial"/>
                <w:sz w:val="16"/>
                <w:szCs w:val="16"/>
                <w:color w:val="auto"/>
              </w:rPr>
              <w:t>$1,300,000</w:t>
            </w:r>
          </w:p>
        </w:tc>
        <w:tc>
          <w:tcPr>
            <w:tcW w:w="1300" w:type="dxa"/>
            <w:vAlign w:val="bottom"/>
            <w:shd w:val="clear" w:color="auto" w:fill="E5E5E5"/>
          </w:tcPr>
          <w:p>
            <w:pPr>
              <w:jc w:val="right"/>
              <w:ind w:right="142"/>
              <w:spacing w:after="0" w:line="183" w:lineRule="exact"/>
              <w:rPr>
                <w:sz w:val="20"/>
                <w:szCs w:val="20"/>
                <w:color w:val="auto"/>
              </w:rPr>
            </w:pPr>
            <w:r>
              <w:rPr>
                <w:rFonts w:ascii="Arial" w:cs="Arial" w:eastAsia="Arial" w:hAnsi="Arial"/>
                <w:sz w:val="16"/>
                <w:szCs w:val="16"/>
                <w:color w:val="auto"/>
              </w:rPr>
              <w:t>$1,300,000</w:t>
            </w:r>
          </w:p>
        </w:tc>
      </w:tr>
      <w:tr>
        <w:trPr>
          <w:trHeight w:val="189"/>
        </w:trPr>
        <w:tc>
          <w:tcPr>
            <w:tcW w:w="4940" w:type="dxa"/>
            <w:vAlign w:val="bottom"/>
          </w:tcPr>
          <w:p>
            <w:pPr>
              <w:ind w:left="60"/>
              <w:spacing w:after="0"/>
              <w:rPr>
                <w:sz w:val="20"/>
                <w:szCs w:val="20"/>
                <w:color w:val="auto"/>
              </w:rPr>
            </w:pPr>
            <w:r>
              <w:rPr>
                <w:rFonts w:ascii="Arial" w:cs="Arial" w:eastAsia="Arial" w:hAnsi="Arial"/>
                <w:sz w:val="16"/>
                <w:szCs w:val="16"/>
                <w:color w:val="auto"/>
              </w:rPr>
              <w:t>Rajiv Malik</w:t>
            </w:r>
          </w:p>
        </w:tc>
        <w:tc>
          <w:tcPr>
            <w:tcW w:w="4780" w:type="dxa"/>
            <w:vAlign w:val="bottom"/>
          </w:tcPr>
          <w:p>
            <w:pPr>
              <w:jc w:val="right"/>
              <w:ind w:right="182"/>
              <w:spacing w:after="0"/>
              <w:rPr>
                <w:sz w:val="20"/>
                <w:szCs w:val="20"/>
                <w:color w:val="auto"/>
              </w:rPr>
            </w:pPr>
            <w:r>
              <w:rPr>
                <w:rFonts w:ascii="Arial" w:cs="Arial" w:eastAsia="Arial" w:hAnsi="Arial"/>
                <w:sz w:val="16"/>
                <w:szCs w:val="16"/>
                <w:color w:val="auto"/>
              </w:rPr>
              <w:t>$1,200,000</w:t>
            </w:r>
          </w:p>
        </w:tc>
        <w:tc>
          <w:tcPr>
            <w:tcW w:w="1300" w:type="dxa"/>
            <w:vAlign w:val="bottom"/>
          </w:tcPr>
          <w:p>
            <w:pPr>
              <w:jc w:val="right"/>
              <w:ind w:right="142"/>
              <w:spacing w:after="0"/>
              <w:rPr>
                <w:sz w:val="20"/>
                <w:szCs w:val="20"/>
                <w:color w:val="auto"/>
              </w:rPr>
            </w:pPr>
            <w:r>
              <w:rPr>
                <w:rFonts w:ascii="Arial" w:cs="Arial" w:eastAsia="Arial" w:hAnsi="Arial"/>
                <w:sz w:val="16"/>
                <w:szCs w:val="16"/>
                <w:color w:val="auto"/>
              </w:rPr>
              <w:t>$1,200,000</w:t>
            </w:r>
          </w:p>
        </w:tc>
      </w:tr>
      <w:tr>
        <w:trPr>
          <w:trHeight w:val="189"/>
        </w:trPr>
        <w:tc>
          <w:tcPr>
            <w:tcW w:w="4940" w:type="dxa"/>
            <w:vAlign w:val="bottom"/>
            <w:shd w:val="clear" w:color="auto" w:fill="E5E5E5"/>
          </w:tcPr>
          <w:p>
            <w:pPr>
              <w:ind w:left="60"/>
              <w:spacing w:after="0"/>
              <w:rPr>
                <w:sz w:val="20"/>
                <w:szCs w:val="20"/>
                <w:color w:val="auto"/>
              </w:rPr>
            </w:pPr>
            <w:r>
              <w:rPr>
                <w:rFonts w:ascii="Arial" w:cs="Arial" w:eastAsia="Arial" w:hAnsi="Arial"/>
                <w:sz w:val="16"/>
                <w:szCs w:val="16"/>
                <w:color w:val="auto"/>
              </w:rPr>
              <w:t>Sanjeev Narula</w:t>
            </w:r>
          </w:p>
        </w:tc>
        <w:tc>
          <w:tcPr>
            <w:tcW w:w="4780" w:type="dxa"/>
            <w:vAlign w:val="bottom"/>
            <w:shd w:val="clear" w:color="auto" w:fill="E5E5E5"/>
          </w:tcPr>
          <w:p>
            <w:pPr>
              <w:jc w:val="right"/>
              <w:ind w:right="182"/>
              <w:spacing w:after="0"/>
              <w:rPr>
                <w:sz w:val="20"/>
                <w:szCs w:val="20"/>
                <w:color w:val="auto"/>
              </w:rPr>
            </w:pPr>
            <w:r>
              <w:rPr>
                <w:rFonts w:ascii="Arial" w:cs="Arial" w:eastAsia="Arial" w:hAnsi="Arial"/>
                <w:sz w:val="16"/>
                <w:szCs w:val="16"/>
                <w:color w:val="auto"/>
              </w:rPr>
              <w:t>$800,000</w:t>
            </w:r>
          </w:p>
        </w:tc>
        <w:tc>
          <w:tcPr>
            <w:tcW w:w="1300" w:type="dxa"/>
            <w:vAlign w:val="bottom"/>
            <w:shd w:val="clear" w:color="auto" w:fill="E5E5E5"/>
          </w:tcPr>
          <w:p>
            <w:pPr>
              <w:jc w:val="right"/>
              <w:ind w:right="142"/>
              <w:spacing w:after="0"/>
              <w:rPr>
                <w:sz w:val="20"/>
                <w:szCs w:val="20"/>
                <w:color w:val="auto"/>
              </w:rPr>
            </w:pPr>
            <w:r>
              <w:rPr>
                <w:rFonts w:ascii="Arial" w:cs="Arial" w:eastAsia="Arial" w:hAnsi="Arial"/>
                <w:sz w:val="16"/>
                <w:szCs w:val="16"/>
                <w:color w:val="auto"/>
              </w:rPr>
              <w:t>$800,000</w:t>
            </w:r>
          </w:p>
        </w:tc>
      </w:tr>
      <w:tr>
        <w:trPr>
          <w:trHeight w:val="189"/>
        </w:trPr>
        <w:tc>
          <w:tcPr>
            <w:tcW w:w="4940" w:type="dxa"/>
            <w:vAlign w:val="bottom"/>
          </w:tcPr>
          <w:p>
            <w:pPr>
              <w:ind w:left="60"/>
              <w:spacing w:after="0"/>
              <w:rPr>
                <w:sz w:val="20"/>
                <w:szCs w:val="20"/>
                <w:color w:val="auto"/>
              </w:rPr>
            </w:pPr>
            <w:r>
              <w:rPr>
                <w:rFonts w:ascii="Arial" w:cs="Arial" w:eastAsia="Arial" w:hAnsi="Arial"/>
                <w:sz w:val="16"/>
                <w:szCs w:val="16"/>
                <w:color w:val="auto"/>
              </w:rPr>
              <w:t>Anthony Mauro</w:t>
            </w:r>
          </w:p>
        </w:tc>
        <w:tc>
          <w:tcPr>
            <w:tcW w:w="4780" w:type="dxa"/>
            <w:vAlign w:val="bottom"/>
          </w:tcPr>
          <w:p>
            <w:pPr>
              <w:jc w:val="right"/>
              <w:ind w:right="182"/>
              <w:spacing w:after="0"/>
              <w:rPr>
                <w:sz w:val="20"/>
                <w:szCs w:val="20"/>
                <w:color w:val="auto"/>
              </w:rPr>
            </w:pPr>
            <w:r>
              <w:rPr>
                <w:rFonts w:ascii="Arial" w:cs="Arial" w:eastAsia="Arial" w:hAnsi="Arial"/>
                <w:sz w:val="16"/>
                <w:szCs w:val="16"/>
                <w:color w:val="auto"/>
              </w:rPr>
              <w:t>$800,000</w:t>
            </w:r>
          </w:p>
        </w:tc>
        <w:tc>
          <w:tcPr>
            <w:tcW w:w="1300" w:type="dxa"/>
            <w:vAlign w:val="bottom"/>
          </w:tcPr>
          <w:p>
            <w:pPr>
              <w:jc w:val="right"/>
              <w:ind w:right="142"/>
              <w:spacing w:after="0"/>
              <w:rPr>
                <w:sz w:val="20"/>
                <w:szCs w:val="20"/>
                <w:color w:val="auto"/>
              </w:rPr>
            </w:pPr>
            <w:r>
              <w:rPr>
                <w:rFonts w:ascii="Arial" w:cs="Arial" w:eastAsia="Arial" w:hAnsi="Arial"/>
                <w:sz w:val="16"/>
                <w:szCs w:val="16"/>
                <w:color w:val="auto"/>
              </w:rPr>
              <w:t>$800,000</w:t>
            </w:r>
          </w:p>
        </w:tc>
      </w:tr>
      <w:tr>
        <w:trPr>
          <w:trHeight w:val="189"/>
        </w:trPr>
        <w:tc>
          <w:tcPr>
            <w:tcW w:w="494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color w:val="auto"/>
              </w:rPr>
              <w:t>Robert J. Coury</w:t>
            </w:r>
          </w:p>
        </w:tc>
        <w:tc>
          <w:tcPr>
            <w:tcW w:w="4780" w:type="dxa"/>
            <w:vAlign w:val="bottom"/>
            <w:tcBorders>
              <w:bottom w:val="single" w:sz="8" w:color="732282"/>
            </w:tcBorders>
            <w:shd w:val="clear" w:color="auto" w:fill="E5E5E5"/>
          </w:tcPr>
          <w:p>
            <w:pPr>
              <w:jc w:val="right"/>
              <w:ind w:right="182"/>
              <w:spacing w:after="0"/>
              <w:rPr>
                <w:sz w:val="20"/>
                <w:szCs w:val="20"/>
                <w:color w:val="auto"/>
              </w:rPr>
            </w:pPr>
            <w:r>
              <w:rPr>
                <w:rFonts w:ascii="Arial" w:cs="Arial" w:eastAsia="Arial" w:hAnsi="Arial"/>
                <w:sz w:val="16"/>
                <w:szCs w:val="16"/>
                <w:color w:val="auto"/>
              </w:rPr>
              <w:t>$1,800,000</w:t>
            </w:r>
          </w:p>
        </w:tc>
        <w:tc>
          <w:tcPr>
            <w:tcW w:w="1300" w:type="dxa"/>
            <w:vAlign w:val="bottom"/>
            <w:tcBorders>
              <w:bottom w:val="single" w:sz="8" w:color="732282"/>
            </w:tcBorders>
            <w:shd w:val="clear" w:color="auto" w:fill="E5E5E5"/>
          </w:tcPr>
          <w:p>
            <w:pPr>
              <w:jc w:val="right"/>
              <w:ind w:right="142"/>
              <w:spacing w:after="0"/>
              <w:rPr>
                <w:sz w:val="20"/>
                <w:szCs w:val="20"/>
                <w:color w:val="auto"/>
              </w:rPr>
            </w:pPr>
            <w:r>
              <w:rPr>
                <w:rFonts w:ascii="Arial" w:cs="Arial" w:eastAsia="Arial" w:hAnsi="Arial"/>
                <w:sz w:val="16"/>
                <w:szCs w:val="16"/>
                <w:color w:val="auto"/>
              </w:rPr>
              <w:t>$1,800,000</w:t>
            </w:r>
          </w:p>
        </w:tc>
      </w:tr>
    </w:tbl>
    <w:p>
      <w:pPr>
        <w:spacing w:after="0" w:line="218"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In 2022, there were no changes to NEO base salaries with the exception of a 6.25% increase for the CFO to align with changes in peer company compensation benchmarks.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Annual Incentive Compensation Program</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231161"/>
        </w:rPr>
        <w:t>Annual Incentive Compensation Awards for 2021</w:t>
      </w:r>
    </w:p>
    <w:p>
      <w:pPr>
        <w:spacing w:after="0" w:line="129" w:lineRule="exact"/>
        <w:rPr>
          <w:sz w:val="20"/>
          <w:szCs w:val="20"/>
          <w:color w:val="auto"/>
        </w:rPr>
      </w:pPr>
    </w:p>
    <w:p>
      <w:pPr>
        <w:jc w:val="both"/>
        <w:ind w:left="120"/>
        <w:spacing w:after="0" w:line="250" w:lineRule="auto"/>
        <w:rPr>
          <w:sz w:val="20"/>
          <w:szCs w:val="20"/>
          <w:color w:val="auto"/>
        </w:rPr>
      </w:pPr>
      <w:r>
        <w:rPr>
          <w:rFonts w:ascii="Arial" w:cs="Arial" w:eastAsia="Arial" w:hAnsi="Arial"/>
          <w:sz w:val="16"/>
          <w:szCs w:val="16"/>
          <w:color w:val="auto"/>
        </w:rPr>
        <w:t>Viatris’ annual incentive compensation consists of performance-based annual cash awards that are subject to achievement of metrics that were identified by the Board and Compensation Committee as critical to the successful execution of Viatris’ business strategy and aligned with the continued creation of shareholder value. The metrics are specifically related to the actions and leadership of our executive team and measure their ability to generate shareholder returns, both in the short- and long-term. The Compensation Committee approved annual incentive award grants and corresponding performance targets in the first quarter of 2021.</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Compensation Committee identified the following metrics as important measures of Company performance relating to its stated strategy:</w:t>
      </w:r>
    </w:p>
    <w:p>
      <w:pPr>
        <w:spacing w:after="0" w:line="107" w:lineRule="exact"/>
        <w:rPr>
          <w:sz w:val="20"/>
          <w:szCs w:val="20"/>
          <w:color w:val="auto"/>
        </w:rPr>
      </w:pPr>
    </w:p>
    <w:p>
      <w:pPr>
        <w:ind w:left="540" w:right="20" w:hanging="316"/>
        <w:spacing w:after="0" w:line="286"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732282"/>
        </w:rPr>
        <w:t xml:space="preserve">Adjusted EBITDA (40% Weighting): </w:t>
      </w:r>
      <w:r>
        <w:rPr>
          <w:rFonts w:ascii="Arial" w:cs="Arial" w:eastAsia="Arial" w:hAnsi="Arial"/>
          <w:sz w:val="16"/>
          <w:szCs w:val="16"/>
          <w:color w:val="000000"/>
        </w:rPr>
        <w:t>Measures the Company’s profitability and motivates executives to focus on both top-line growth as well as</w:t>
      </w:r>
      <w:r>
        <w:rPr>
          <w:rFonts w:ascii="Arial" w:cs="Arial" w:eastAsia="Arial" w:hAnsi="Arial"/>
          <w:sz w:val="16"/>
          <w:szCs w:val="16"/>
          <w:b w:val="1"/>
          <w:bCs w:val="1"/>
          <w:color w:val="732282"/>
        </w:rPr>
        <w:t xml:space="preserve"> </w:t>
      </w:r>
      <w:r>
        <w:rPr>
          <w:rFonts w:ascii="Arial" w:cs="Arial" w:eastAsia="Arial" w:hAnsi="Arial"/>
          <w:sz w:val="16"/>
          <w:szCs w:val="16"/>
          <w:color w:val="000000"/>
        </w:rPr>
        <w:t>efficient operations.</w:t>
      </w:r>
    </w:p>
    <w:p>
      <w:pPr>
        <w:spacing w:after="0" w:line="61" w:lineRule="exact"/>
        <w:rPr>
          <w:rFonts w:ascii="Arial" w:cs="Arial" w:eastAsia="Arial" w:hAnsi="Arial"/>
          <w:sz w:val="16"/>
          <w:szCs w:val="16"/>
          <w:color w:val="auto"/>
        </w:rPr>
      </w:pPr>
    </w:p>
    <w:p>
      <w:pPr>
        <w:ind w:left="540" w:hanging="316"/>
        <w:spacing w:after="0"/>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732282"/>
        </w:rPr>
        <w:t xml:space="preserve">Free Cash Flow (40% Weighting): </w:t>
      </w:r>
      <w:r>
        <w:rPr>
          <w:rFonts w:ascii="Arial" w:cs="Arial" w:eastAsia="Arial" w:hAnsi="Arial"/>
          <w:sz w:val="16"/>
          <w:szCs w:val="16"/>
          <w:color w:val="000000"/>
        </w:rPr>
        <w:t>Reinforces effective use of Viatris’ capital to drive cash flow generation.</w:t>
      </w:r>
    </w:p>
    <w:p>
      <w:pPr>
        <w:spacing w:after="0" w:line="126" w:lineRule="exact"/>
        <w:rPr>
          <w:rFonts w:ascii="Arial" w:cs="Arial" w:eastAsia="Arial" w:hAnsi="Arial"/>
          <w:sz w:val="16"/>
          <w:szCs w:val="16"/>
          <w:color w:val="auto"/>
        </w:rPr>
      </w:pPr>
    </w:p>
    <w:p>
      <w:pPr>
        <w:ind w:left="540" w:right="20" w:hanging="316"/>
        <w:spacing w:after="0" w:line="286"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732282"/>
        </w:rPr>
        <w:t xml:space="preserve">Global Regulatory Submissions (20% Weighting): </w:t>
      </w:r>
      <w:r>
        <w:rPr>
          <w:rFonts w:ascii="Arial" w:cs="Arial" w:eastAsia="Arial" w:hAnsi="Arial"/>
          <w:sz w:val="16"/>
          <w:szCs w:val="16"/>
          <w:color w:val="000000"/>
        </w:rPr>
        <w:t>Emphasizes the importance of developing a robust pipeline of molecules that Viatris could</w:t>
      </w:r>
      <w:r>
        <w:rPr>
          <w:rFonts w:ascii="Arial" w:cs="Arial" w:eastAsia="Arial" w:hAnsi="Arial"/>
          <w:sz w:val="16"/>
          <w:szCs w:val="16"/>
          <w:b w:val="1"/>
          <w:bCs w:val="1"/>
          <w:color w:val="732282"/>
        </w:rPr>
        <w:t xml:space="preserve"> </w:t>
      </w:r>
      <w:r>
        <w:rPr>
          <w:rFonts w:ascii="Arial" w:cs="Arial" w:eastAsia="Arial" w:hAnsi="Arial"/>
          <w:sz w:val="16"/>
          <w:szCs w:val="16"/>
          <w:color w:val="000000"/>
        </w:rPr>
        <w:t>manufacture and market over subsequent years. A robust</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86"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540" w:right="20"/>
        <w:spacing w:after="0" w:line="260" w:lineRule="auto"/>
        <w:rPr>
          <w:sz w:val="20"/>
          <w:szCs w:val="20"/>
          <w:color w:val="auto"/>
        </w:rPr>
      </w:pPr>
      <w:r>
        <w:rPr>
          <w:rFonts w:ascii="Arial" w:cs="Arial" w:eastAsia="Arial" w:hAnsi="Arial"/>
          <w:sz w:val="16"/>
          <w:szCs w:val="16"/>
          <w:color w:val="auto"/>
        </w:rPr>
        <w:t>product pipeline supports the sustainability of the business model while serving Viatris’ mission of providing access to high quality, affordable medications. In addition, this metric serves as a stepping stone to implementing ESG sustainability metrics in the future.</w:t>
      </w:r>
    </w:p>
    <w:p>
      <w:pPr>
        <w:spacing w:after="0" w:line="195" w:lineRule="exact"/>
        <w:rPr>
          <w:sz w:val="20"/>
          <w:szCs w:val="20"/>
          <w:color w:val="auto"/>
        </w:rPr>
      </w:pPr>
    </w:p>
    <w:p>
      <w:pPr>
        <w:jc w:val="both"/>
        <w:ind w:left="120"/>
        <w:spacing w:after="0" w:line="250" w:lineRule="auto"/>
        <w:rPr>
          <w:sz w:val="20"/>
          <w:szCs w:val="20"/>
          <w:color w:val="auto"/>
        </w:rPr>
      </w:pPr>
      <w:r>
        <w:rPr>
          <w:rFonts w:ascii="Arial" w:cs="Arial" w:eastAsia="Arial" w:hAnsi="Arial"/>
          <w:sz w:val="16"/>
          <w:szCs w:val="16"/>
          <w:color w:val="auto"/>
        </w:rPr>
        <w:t>As noted above, the setting of annual incentive targets reflected certain strategic initiatives for 2021. For example, in 2021, management made incremental investments in the business and divested certain products. These investments and actions were intended to support long-term value creation for shareholders and other stakeholders by, among other things, furthering Viatris’ efforts to move its portfolio and pipeline up the value chain, investing organically in key brands, and executing on Viatris’ commercial assets around the globe. In addition, the Company continued to make investments in global integration following the successful closing of the Combination.</w:t>
      </w:r>
    </w:p>
    <w:p>
      <w:pPr>
        <w:spacing w:after="0" w:line="203" w:lineRule="exact"/>
        <w:rPr>
          <w:sz w:val="20"/>
          <w:szCs w:val="20"/>
          <w:color w:val="auto"/>
        </w:rPr>
      </w:pPr>
    </w:p>
    <w:p>
      <w:pPr>
        <w:jc w:val="both"/>
        <w:ind w:left="120" w:right="20"/>
        <w:spacing w:after="0" w:line="251" w:lineRule="auto"/>
        <w:rPr>
          <w:sz w:val="20"/>
          <w:szCs w:val="20"/>
          <w:color w:val="auto"/>
        </w:rPr>
      </w:pPr>
      <w:r>
        <w:rPr>
          <w:rFonts w:ascii="Arial" w:cs="Arial" w:eastAsia="Arial" w:hAnsi="Arial"/>
          <w:sz w:val="16"/>
          <w:szCs w:val="16"/>
          <w:color w:val="auto"/>
        </w:rPr>
        <w:t>The Compensation Committee recognized that these investments would be expected to reduce adjusted EBITDA in 2021 while serving long-term strategic, shareholder, and other interests. In addition, the number of global regulatory submissions was expected to be lower in 2021 as compared to 2020 due in part to a continued emphasis on more challenging specialty and complex generic products and Viatris’ focus on submission of products expected to generate greater economic profit.</w:t>
      </w:r>
    </w:p>
    <w:p>
      <w:pPr>
        <w:spacing w:after="0" w:line="202" w:lineRule="exact"/>
        <w:rPr>
          <w:sz w:val="20"/>
          <w:szCs w:val="20"/>
          <w:color w:val="auto"/>
        </w:rPr>
      </w:pPr>
    </w:p>
    <w:p>
      <w:pPr>
        <w:jc w:val="both"/>
        <w:ind w:left="120"/>
        <w:spacing w:after="0" w:line="260" w:lineRule="auto"/>
        <w:rPr>
          <w:sz w:val="20"/>
          <w:szCs w:val="20"/>
          <w:color w:val="auto"/>
        </w:rPr>
      </w:pPr>
      <w:r>
        <w:rPr>
          <w:rFonts w:ascii="Arial" w:cs="Arial" w:eastAsia="Arial" w:hAnsi="Arial"/>
          <w:sz w:val="16"/>
          <w:szCs w:val="16"/>
          <w:color w:val="auto"/>
        </w:rPr>
        <w:t>Individual annual incentive payout targets were established for each NEO, expressed as a percentage of base salary, as noted in the table below. Actual payouts could range from 0% to 200% of each NEO’s annual incentive target based on achievement of performance goals.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jc w:val="right"/>
              <w:ind w:right="162"/>
              <w:spacing w:after="0"/>
              <w:rPr>
                <w:sz w:val="20"/>
                <w:szCs w:val="20"/>
                <w:color w:val="auto"/>
              </w:rPr>
            </w:pPr>
            <w:r>
              <w:rPr>
                <w:rFonts w:ascii="Arial" w:cs="Arial" w:eastAsia="Arial" w:hAnsi="Arial"/>
                <w:sz w:val="14"/>
                <w:szCs w:val="14"/>
                <w:b w:val="1"/>
                <w:bCs w:val="1"/>
                <w:color w:val="732282"/>
              </w:rPr>
              <w:t>Target</w:t>
            </w:r>
          </w:p>
        </w:tc>
        <w:tc>
          <w:tcPr>
            <w:tcW w:w="1720" w:type="dxa"/>
            <w:vAlign w:val="bottom"/>
          </w:tcPr>
          <w:p>
            <w:pPr>
              <w:spacing w:after="0"/>
              <w:rPr>
                <w:sz w:val="14"/>
                <w:szCs w:val="14"/>
                <w:color w:val="auto"/>
              </w:rPr>
            </w:pPr>
          </w:p>
        </w:tc>
      </w:tr>
      <w:tr>
        <w:trPr>
          <w:trHeight w:val="162"/>
        </w:trPr>
        <w:tc>
          <w:tcPr>
            <w:tcW w:w="3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jc w:val="right"/>
              <w:ind w:right="162"/>
              <w:spacing w:after="0"/>
              <w:rPr>
                <w:sz w:val="20"/>
                <w:szCs w:val="20"/>
                <w:color w:val="auto"/>
              </w:rPr>
            </w:pPr>
            <w:r>
              <w:rPr>
                <w:rFonts w:ascii="Arial" w:cs="Arial" w:eastAsia="Arial" w:hAnsi="Arial"/>
                <w:sz w:val="14"/>
                <w:szCs w:val="14"/>
                <w:b w:val="1"/>
                <w:bCs w:val="1"/>
                <w:color w:val="732282"/>
              </w:rPr>
              <w:t>(as % of</w:t>
            </w:r>
          </w:p>
        </w:tc>
        <w:tc>
          <w:tcPr>
            <w:tcW w:w="1720" w:type="dxa"/>
            <w:vAlign w:val="bottom"/>
          </w:tcPr>
          <w:p>
            <w:pPr>
              <w:jc w:val="right"/>
              <w:ind w:right="261"/>
              <w:spacing w:after="0"/>
              <w:rPr>
                <w:sz w:val="20"/>
                <w:szCs w:val="20"/>
                <w:color w:val="auto"/>
              </w:rPr>
            </w:pPr>
            <w:r>
              <w:rPr>
                <w:rFonts w:ascii="Arial" w:cs="Arial" w:eastAsia="Arial" w:hAnsi="Arial"/>
                <w:sz w:val="14"/>
                <w:szCs w:val="14"/>
                <w:b w:val="1"/>
                <w:bCs w:val="1"/>
                <w:color w:val="732282"/>
              </w:rPr>
              <w:t>Annual Incentive</w:t>
            </w:r>
          </w:p>
        </w:tc>
      </w:tr>
      <w:tr>
        <w:trPr>
          <w:trHeight w:val="175"/>
        </w:trPr>
        <w:tc>
          <w:tcPr>
            <w:tcW w:w="3660" w:type="dxa"/>
            <w:vAlign w:val="bottom"/>
            <w:tcBorders>
              <w:bottom w:val="single" w:sz="8" w:color="732282"/>
            </w:tcBorders>
          </w:tcPr>
          <w:p>
            <w:pPr>
              <w:ind w:left="60"/>
              <w:spacing w:after="0"/>
              <w:rPr>
                <w:sz w:val="20"/>
                <w:szCs w:val="20"/>
                <w:color w:val="auto"/>
              </w:rPr>
            </w:pPr>
            <w:r>
              <w:rPr>
                <w:rFonts w:ascii="Arial" w:cs="Arial" w:eastAsia="Arial" w:hAnsi="Arial"/>
                <w:sz w:val="14"/>
                <w:szCs w:val="14"/>
                <w:b w:val="1"/>
                <w:bCs w:val="1"/>
                <w:color w:val="732282"/>
              </w:rPr>
              <w:t>NEO</w:t>
            </w:r>
          </w:p>
        </w:tc>
        <w:tc>
          <w:tcPr>
            <w:tcW w:w="1040" w:type="dxa"/>
            <w:vAlign w:val="bottom"/>
            <w:tcBorders>
              <w:bottom w:val="single" w:sz="8" w:color="732282"/>
            </w:tcBorders>
          </w:tcPr>
          <w:p>
            <w:pPr>
              <w:spacing w:after="0"/>
              <w:rPr>
                <w:sz w:val="15"/>
                <w:szCs w:val="15"/>
                <w:color w:val="auto"/>
              </w:rPr>
            </w:pPr>
          </w:p>
        </w:tc>
        <w:tc>
          <w:tcPr>
            <w:tcW w:w="1500" w:type="dxa"/>
            <w:vAlign w:val="bottom"/>
            <w:tcBorders>
              <w:bottom w:val="single" w:sz="8" w:color="732282"/>
            </w:tcBorders>
          </w:tcPr>
          <w:p>
            <w:pPr>
              <w:spacing w:after="0"/>
              <w:rPr>
                <w:sz w:val="15"/>
                <w:szCs w:val="15"/>
                <w:color w:val="auto"/>
              </w:rPr>
            </w:pPr>
          </w:p>
        </w:tc>
        <w:tc>
          <w:tcPr>
            <w:tcW w:w="1540" w:type="dxa"/>
            <w:vAlign w:val="bottom"/>
            <w:tcBorders>
              <w:bottom w:val="single" w:sz="8" w:color="732282"/>
            </w:tcBorders>
          </w:tcPr>
          <w:p>
            <w:pPr>
              <w:spacing w:after="0"/>
              <w:rPr>
                <w:sz w:val="15"/>
                <w:szCs w:val="15"/>
                <w:color w:val="auto"/>
              </w:rPr>
            </w:pPr>
          </w:p>
        </w:tc>
        <w:tc>
          <w:tcPr>
            <w:tcW w:w="1560" w:type="dxa"/>
            <w:vAlign w:val="bottom"/>
            <w:tcBorders>
              <w:bottom w:val="single" w:sz="8" w:color="732282"/>
            </w:tcBorders>
          </w:tcPr>
          <w:p>
            <w:pPr>
              <w:jc w:val="right"/>
              <w:ind w:right="162"/>
              <w:spacing w:after="0"/>
              <w:rPr>
                <w:sz w:val="20"/>
                <w:szCs w:val="20"/>
                <w:color w:val="auto"/>
              </w:rPr>
            </w:pPr>
            <w:r>
              <w:rPr>
                <w:rFonts w:ascii="Arial" w:cs="Arial" w:eastAsia="Arial" w:hAnsi="Arial"/>
                <w:sz w:val="14"/>
                <w:szCs w:val="14"/>
                <w:b w:val="1"/>
                <w:bCs w:val="1"/>
                <w:color w:val="732282"/>
              </w:rPr>
              <w:t>Base Salary)</w:t>
            </w:r>
          </w:p>
        </w:tc>
        <w:tc>
          <w:tcPr>
            <w:tcW w:w="1720" w:type="dxa"/>
            <w:vAlign w:val="bottom"/>
            <w:tcBorders>
              <w:bottom w:val="single" w:sz="8" w:color="732282"/>
            </w:tcBorders>
          </w:tcPr>
          <w:p>
            <w:pPr>
              <w:jc w:val="right"/>
              <w:ind w:right="261"/>
              <w:spacing w:after="0"/>
              <w:rPr>
                <w:sz w:val="20"/>
                <w:szCs w:val="20"/>
                <w:color w:val="auto"/>
              </w:rPr>
            </w:pPr>
            <w:r>
              <w:rPr>
                <w:rFonts w:ascii="Arial" w:cs="Arial" w:eastAsia="Arial" w:hAnsi="Arial"/>
                <w:sz w:val="14"/>
                <w:szCs w:val="14"/>
                <w:b w:val="1"/>
                <w:bCs w:val="1"/>
                <w:color w:val="732282"/>
              </w:rPr>
              <w:t>Target</w:t>
            </w:r>
          </w:p>
        </w:tc>
      </w:tr>
      <w:tr>
        <w:trPr>
          <w:trHeight w:val="182"/>
        </w:trPr>
        <w:tc>
          <w:tcPr>
            <w:tcW w:w="3660" w:type="dxa"/>
            <w:vAlign w:val="bottom"/>
            <w:shd w:val="clear" w:color="auto" w:fill="E5E5E5"/>
          </w:tcPr>
          <w:p>
            <w:pPr>
              <w:ind w:left="60"/>
              <w:spacing w:after="0" w:line="183" w:lineRule="exact"/>
              <w:rPr>
                <w:sz w:val="20"/>
                <w:szCs w:val="20"/>
                <w:color w:val="auto"/>
              </w:rPr>
            </w:pPr>
            <w:r>
              <w:rPr>
                <w:rFonts w:ascii="Arial" w:cs="Arial" w:eastAsia="Arial" w:hAnsi="Arial"/>
                <w:sz w:val="16"/>
                <w:szCs w:val="16"/>
                <w:color w:val="auto"/>
              </w:rPr>
              <w:t>Michael Goettler</w:t>
            </w:r>
          </w:p>
        </w:tc>
        <w:tc>
          <w:tcPr>
            <w:tcW w:w="1040" w:type="dxa"/>
            <w:vAlign w:val="bottom"/>
            <w:shd w:val="clear" w:color="auto" w:fill="E5E5E5"/>
          </w:tcPr>
          <w:p>
            <w:pPr>
              <w:spacing w:after="0"/>
              <w:rPr>
                <w:sz w:val="15"/>
                <w:szCs w:val="15"/>
                <w:color w:val="auto"/>
              </w:rPr>
            </w:pPr>
          </w:p>
        </w:tc>
        <w:tc>
          <w:tcPr>
            <w:tcW w:w="1500" w:type="dxa"/>
            <w:vAlign w:val="bottom"/>
            <w:shd w:val="clear" w:color="auto" w:fill="E5E5E5"/>
          </w:tcPr>
          <w:p>
            <w:pPr>
              <w:spacing w:after="0"/>
              <w:rPr>
                <w:sz w:val="15"/>
                <w:szCs w:val="15"/>
                <w:color w:val="auto"/>
              </w:rPr>
            </w:pPr>
          </w:p>
        </w:tc>
        <w:tc>
          <w:tcPr>
            <w:tcW w:w="1540" w:type="dxa"/>
            <w:vAlign w:val="bottom"/>
            <w:shd w:val="clear" w:color="auto" w:fill="E5E5E5"/>
          </w:tcPr>
          <w:p>
            <w:pPr>
              <w:spacing w:after="0"/>
              <w:rPr>
                <w:sz w:val="15"/>
                <w:szCs w:val="15"/>
                <w:color w:val="auto"/>
              </w:rPr>
            </w:pPr>
          </w:p>
        </w:tc>
        <w:tc>
          <w:tcPr>
            <w:tcW w:w="1560" w:type="dxa"/>
            <w:vAlign w:val="bottom"/>
            <w:shd w:val="clear" w:color="auto" w:fill="E5E5E5"/>
          </w:tcPr>
          <w:p>
            <w:pPr>
              <w:jc w:val="right"/>
              <w:ind w:right="162"/>
              <w:spacing w:after="0" w:line="183" w:lineRule="exact"/>
              <w:rPr>
                <w:sz w:val="20"/>
                <w:szCs w:val="20"/>
                <w:color w:val="auto"/>
              </w:rPr>
            </w:pPr>
            <w:r>
              <w:rPr>
                <w:rFonts w:ascii="Arial" w:cs="Arial" w:eastAsia="Arial" w:hAnsi="Arial"/>
                <w:sz w:val="16"/>
                <w:szCs w:val="16"/>
                <w:color w:val="auto"/>
              </w:rPr>
              <w:t>150%</w:t>
            </w:r>
          </w:p>
        </w:tc>
        <w:tc>
          <w:tcPr>
            <w:tcW w:w="1720" w:type="dxa"/>
            <w:vAlign w:val="bottom"/>
            <w:shd w:val="clear" w:color="auto" w:fill="E5E5E5"/>
          </w:tcPr>
          <w:p>
            <w:pPr>
              <w:jc w:val="right"/>
              <w:ind w:right="261"/>
              <w:spacing w:after="0" w:line="183" w:lineRule="exact"/>
              <w:rPr>
                <w:sz w:val="20"/>
                <w:szCs w:val="20"/>
                <w:color w:val="auto"/>
              </w:rPr>
            </w:pPr>
            <w:r>
              <w:rPr>
                <w:rFonts w:ascii="Arial" w:cs="Arial" w:eastAsia="Arial" w:hAnsi="Arial"/>
                <w:sz w:val="16"/>
                <w:szCs w:val="16"/>
                <w:color w:val="auto"/>
              </w:rPr>
              <w:t>$1,950,000</w:t>
            </w:r>
          </w:p>
        </w:tc>
      </w:tr>
      <w:tr>
        <w:trPr>
          <w:trHeight w:val="189"/>
        </w:trPr>
        <w:tc>
          <w:tcPr>
            <w:tcW w:w="3660" w:type="dxa"/>
            <w:vAlign w:val="bottom"/>
          </w:tcPr>
          <w:p>
            <w:pPr>
              <w:ind w:left="60"/>
              <w:spacing w:after="0"/>
              <w:rPr>
                <w:sz w:val="20"/>
                <w:szCs w:val="20"/>
                <w:color w:val="auto"/>
              </w:rPr>
            </w:pPr>
            <w:r>
              <w:rPr>
                <w:rFonts w:ascii="Arial" w:cs="Arial" w:eastAsia="Arial" w:hAnsi="Arial"/>
                <w:sz w:val="16"/>
                <w:szCs w:val="16"/>
                <w:color w:val="auto"/>
              </w:rPr>
              <w:t>Rajiv Malik</w:t>
            </w:r>
          </w:p>
        </w:tc>
        <w:tc>
          <w:tcPr>
            <w:tcW w:w="1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60" w:type="dxa"/>
            <w:vAlign w:val="bottom"/>
          </w:tcPr>
          <w:p>
            <w:pPr>
              <w:jc w:val="right"/>
              <w:ind w:right="162"/>
              <w:spacing w:after="0"/>
              <w:rPr>
                <w:sz w:val="20"/>
                <w:szCs w:val="20"/>
                <w:color w:val="auto"/>
              </w:rPr>
            </w:pPr>
            <w:r>
              <w:rPr>
                <w:rFonts w:ascii="Arial" w:cs="Arial" w:eastAsia="Arial" w:hAnsi="Arial"/>
                <w:sz w:val="16"/>
                <w:szCs w:val="16"/>
                <w:color w:val="auto"/>
              </w:rPr>
              <w:t>125%</w:t>
            </w:r>
          </w:p>
        </w:tc>
        <w:tc>
          <w:tcPr>
            <w:tcW w:w="1720" w:type="dxa"/>
            <w:vAlign w:val="bottom"/>
          </w:tcPr>
          <w:p>
            <w:pPr>
              <w:jc w:val="right"/>
              <w:ind w:right="261"/>
              <w:spacing w:after="0"/>
              <w:rPr>
                <w:sz w:val="20"/>
                <w:szCs w:val="20"/>
                <w:color w:val="auto"/>
              </w:rPr>
            </w:pPr>
            <w:r>
              <w:rPr>
                <w:rFonts w:ascii="Arial" w:cs="Arial" w:eastAsia="Arial" w:hAnsi="Arial"/>
                <w:sz w:val="16"/>
                <w:szCs w:val="16"/>
                <w:color w:val="auto"/>
              </w:rPr>
              <w:t>$1,500,000</w:t>
            </w:r>
          </w:p>
        </w:tc>
      </w:tr>
      <w:tr>
        <w:trPr>
          <w:trHeight w:val="189"/>
        </w:trPr>
        <w:tc>
          <w:tcPr>
            <w:tcW w:w="3660" w:type="dxa"/>
            <w:vAlign w:val="bottom"/>
            <w:shd w:val="clear" w:color="auto" w:fill="E5E5E5"/>
          </w:tcPr>
          <w:p>
            <w:pPr>
              <w:ind w:left="60"/>
              <w:spacing w:after="0"/>
              <w:rPr>
                <w:sz w:val="20"/>
                <w:szCs w:val="20"/>
                <w:color w:val="auto"/>
              </w:rPr>
            </w:pPr>
            <w:r>
              <w:rPr>
                <w:rFonts w:ascii="Arial" w:cs="Arial" w:eastAsia="Arial" w:hAnsi="Arial"/>
                <w:sz w:val="16"/>
                <w:szCs w:val="16"/>
                <w:color w:val="auto"/>
              </w:rPr>
              <w:t>Sanjeev Narula</w:t>
            </w:r>
          </w:p>
        </w:tc>
        <w:tc>
          <w:tcPr>
            <w:tcW w:w="1040" w:type="dxa"/>
            <w:vAlign w:val="bottom"/>
            <w:shd w:val="clear" w:color="auto" w:fill="E5E5E5"/>
          </w:tcPr>
          <w:p>
            <w:pPr>
              <w:spacing w:after="0"/>
              <w:rPr>
                <w:sz w:val="16"/>
                <w:szCs w:val="16"/>
                <w:color w:val="auto"/>
              </w:rPr>
            </w:pPr>
          </w:p>
        </w:tc>
        <w:tc>
          <w:tcPr>
            <w:tcW w:w="1500" w:type="dxa"/>
            <w:vAlign w:val="bottom"/>
            <w:shd w:val="clear" w:color="auto" w:fill="E5E5E5"/>
          </w:tcPr>
          <w:p>
            <w:pPr>
              <w:spacing w:after="0"/>
              <w:rPr>
                <w:sz w:val="16"/>
                <w:szCs w:val="16"/>
                <w:color w:val="auto"/>
              </w:rPr>
            </w:pPr>
          </w:p>
        </w:tc>
        <w:tc>
          <w:tcPr>
            <w:tcW w:w="1540" w:type="dxa"/>
            <w:vAlign w:val="bottom"/>
            <w:shd w:val="clear" w:color="auto" w:fill="E5E5E5"/>
          </w:tcPr>
          <w:p>
            <w:pPr>
              <w:spacing w:after="0"/>
              <w:rPr>
                <w:sz w:val="16"/>
                <w:szCs w:val="16"/>
                <w:color w:val="auto"/>
              </w:rPr>
            </w:pPr>
          </w:p>
        </w:tc>
        <w:tc>
          <w:tcPr>
            <w:tcW w:w="1560" w:type="dxa"/>
            <w:vAlign w:val="bottom"/>
            <w:shd w:val="clear" w:color="auto" w:fill="E5E5E5"/>
          </w:tcPr>
          <w:p>
            <w:pPr>
              <w:jc w:val="right"/>
              <w:ind w:right="162"/>
              <w:spacing w:after="0"/>
              <w:rPr>
                <w:sz w:val="20"/>
                <w:szCs w:val="20"/>
                <w:color w:val="auto"/>
              </w:rPr>
            </w:pPr>
            <w:r>
              <w:rPr>
                <w:rFonts w:ascii="Arial" w:cs="Arial" w:eastAsia="Arial" w:hAnsi="Arial"/>
                <w:sz w:val="16"/>
                <w:szCs w:val="16"/>
                <w:color w:val="auto"/>
              </w:rPr>
              <w:t>100%</w:t>
            </w:r>
          </w:p>
        </w:tc>
        <w:tc>
          <w:tcPr>
            <w:tcW w:w="1720" w:type="dxa"/>
            <w:vAlign w:val="bottom"/>
            <w:shd w:val="clear" w:color="auto" w:fill="E5E5E5"/>
          </w:tcPr>
          <w:p>
            <w:pPr>
              <w:jc w:val="right"/>
              <w:ind w:right="261"/>
              <w:spacing w:after="0"/>
              <w:rPr>
                <w:sz w:val="20"/>
                <w:szCs w:val="20"/>
                <w:color w:val="auto"/>
              </w:rPr>
            </w:pPr>
            <w:r>
              <w:rPr>
                <w:rFonts w:ascii="Arial" w:cs="Arial" w:eastAsia="Arial" w:hAnsi="Arial"/>
                <w:sz w:val="16"/>
                <w:szCs w:val="16"/>
                <w:color w:val="auto"/>
              </w:rPr>
              <w:t>$800,000</w:t>
            </w:r>
          </w:p>
        </w:tc>
      </w:tr>
      <w:tr>
        <w:trPr>
          <w:trHeight w:val="189"/>
        </w:trPr>
        <w:tc>
          <w:tcPr>
            <w:tcW w:w="3660" w:type="dxa"/>
            <w:vAlign w:val="bottom"/>
          </w:tcPr>
          <w:p>
            <w:pPr>
              <w:ind w:left="60"/>
              <w:spacing w:after="0"/>
              <w:rPr>
                <w:sz w:val="20"/>
                <w:szCs w:val="20"/>
                <w:color w:val="auto"/>
              </w:rPr>
            </w:pPr>
            <w:r>
              <w:rPr>
                <w:rFonts w:ascii="Arial" w:cs="Arial" w:eastAsia="Arial" w:hAnsi="Arial"/>
                <w:sz w:val="16"/>
                <w:szCs w:val="16"/>
                <w:color w:val="auto"/>
              </w:rPr>
              <w:t>Anthony Mauro</w:t>
            </w:r>
          </w:p>
        </w:tc>
        <w:tc>
          <w:tcPr>
            <w:tcW w:w="1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60" w:type="dxa"/>
            <w:vAlign w:val="bottom"/>
          </w:tcPr>
          <w:p>
            <w:pPr>
              <w:jc w:val="right"/>
              <w:ind w:right="162"/>
              <w:spacing w:after="0"/>
              <w:rPr>
                <w:sz w:val="20"/>
                <w:szCs w:val="20"/>
                <w:color w:val="auto"/>
              </w:rPr>
            </w:pPr>
            <w:r>
              <w:rPr>
                <w:rFonts w:ascii="Arial" w:cs="Arial" w:eastAsia="Arial" w:hAnsi="Arial"/>
                <w:sz w:val="16"/>
                <w:szCs w:val="16"/>
                <w:color w:val="auto"/>
              </w:rPr>
              <w:t>115%</w:t>
            </w:r>
          </w:p>
        </w:tc>
        <w:tc>
          <w:tcPr>
            <w:tcW w:w="1720" w:type="dxa"/>
            <w:vAlign w:val="bottom"/>
          </w:tcPr>
          <w:p>
            <w:pPr>
              <w:jc w:val="right"/>
              <w:ind w:right="261"/>
              <w:spacing w:after="0"/>
              <w:rPr>
                <w:sz w:val="20"/>
                <w:szCs w:val="20"/>
                <w:color w:val="auto"/>
              </w:rPr>
            </w:pPr>
            <w:r>
              <w:rPr>
                <w:rFonts w:ascii="Arial" w:cs="Arial" w:eastAsia="Arial" w:hAnsi="Arial"/>
                <w:sz w:val="16"/>
                <w:szCs w:val="16"/>
                <w:color w:val="auto"/>
              </w:rPr>
              <w:t>$920,000</w:t>
            </w:r>
          </w:p>
        </w:tc>
      </w:tr>
      <w:tr>
        <w:trPr>
          <w:trHeight w:val="189"/>
        </w:trPr>
        <w:tc>
          <w:tcPr>
            <w:tcW w:w="366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color w:val="auto"/>
              </w:rPr>
              <w:t>Robert J. Coury</w:t>
            </w:r>
          </w:p>
        </w:tc>
        <w:tc>
          <w:tcPr>
            <w:tcW w:w="1040" w:type="dxa"/>
            <w:vAlign w:val="bottom"/>
            <w:tcBorders>
              <w:bottom w:val="single" w:sz="8" w:color="732282"/>
            </w:tcBorders>
            <w:shd w:val="clear" w:color="auto" w:fill="E5E5E5"/>
          </w:tcPr>
          <w:p>
            <w:pPr>
              <w:spacing w:after="0"/>
              <w:rPr>
                <w:sz w:val="16"/>
                <w:szCs w:val="16"/>
                <w:color w:val="auto"/>
              </w:rPr>
            </w:pPr>
          </w:p>
        </w:tc>
        <w:tc>
          <w:tcPr>
            <w:tcW w:w="1500" w:type="dxa"/>
            <w:vAlign w:val="bottom"/>
            <w:tcBorders>
              <w:bottom w:val="single" w:sz="8" w:color="732282"/>
            </w:tcBorders>
            <w:shd w:val="clear" w:color="auto" w:fill="E5E5E5"/>
          </w:tcPr>
          <w:p>
            <w:pPr>
              <w:spacing w:after="0"/>
              <w:rPr>
                <w:sz w:val="16"/>
                <w:szCs w:val="16"/>
                <w:color w:val="auto"/>
              </w:rPr>
            </w:pPr>
          </w:p>
        </w:tc>
        <w:tc>
          <w:tcPr>
            <w:tcW w:w="1540" w:type="dxa"/>
            <w:vAlign w:val="bottom"/>
            <w:tcBorders>
              <w:bottom w:val="single" w:sz="8" w:color="732282"/>
            </w:tcBorders>
            <w:shd w:val="clear" w:color="auto" w:fill="E5E5E5"/>
          </w:tcPr>
          <w:p>
            <w:pPr>
              <w:spacing w:after="0"/>
              <w:rPr>
                <w:sz w:val="16"/>
                <w:szCs w:val="16"/>
                <w:color w:val="auto"/>
              </w:rPr>
            </w:pPr>
          </w:p>
        </w:tc>
        <w:tc>
          <w:tcPr>
            <w:tcW w:w="1560" w:type="dxa"/>
            <w:vAlign w:val="bottom"/>
            <w:tcBorders>
              <w:bottom w:val="single" w:sz="8" w:color="732282"/>
            </w:tcBorders>
            <w:shd w:val="clear" w:color="auto" w:fill="E5E5E5"/>
          </w:tcPr>
          <w:p>
            <w:pPr>
              <w:jc w:val="right"/>
              <w:ind w:right="162"/>
              <w:spacing w:after="0"/>
              <w:rPr>
                <w:sz w:val="20"/>
                <w:szCs w:val="20"/>
                <w:color w:val="auto"/>
              </w:rPr>
            </w:pPr>
            <w:r>
              <w:rPr>
                <w:rFonts w:ascii="Arial" w:cs="Arial" w:eastAsia="Arial" w:hAnsi="Arial"/>
                <w:sz w:val="16"/>
                <w:szCs w:val="16"/>
                <w:color w:val="auto"/>
              </w:rPr>
              <w:t>150%</w:t>
            </w:r>
          </w:p>
        </w:tc>
        <w:tc>
          <w:tcPr>
            <w:tcW w:w="1720" w:type="dxa"/>
            <w:vAlign w:val="bottom"/>
            <w:tcBorders>
              <w:bottom w:val="single" w:sz="8" w:color="732282"/>
            </w:tcBorders>
            <w:shd w:val="clear" w:color="auto" w:fill="E5E5E5"/>
          </w:tcPr>
          <w:p>
            <w:pPr>
              <w:jc w:val="right"/>
              <w:ind w:right="261"/>
              <w:spacing w:after="0"/>
              <w:rPr>
                <w:sz w:val="20"/>
                <w:szCs w:val="20"/>
                <w:color w:val="auto"/>
              </w:rPr>
            </w:pPr>
            <w:r>
              <w:rPr>
                <w:rFonts w:ascii="Arial" w:cs="Arial" w:eastAsia="Arial" w:hAnsi="Arial"/>
                <w:sz w:val="16"/>
                <w:szCs w:val="16"/>
                <w:color w:val="auto"/>
              </w:rPr>
              <w:t>$2,700,000</w:t>
            </w:r>
          </w:p>
        </w:tc>
      </w:tr>
      <w:tr>
        <w:trPr>
          <w:trHeight w:val="406"/>
        </w:trPr>
        <w:tc>
          <w:tcPr>
            <w:tcW w:w="3660" w:type="dxa"/>
            <w:vAlign w:val="bottom"/>
          </w:tcPr>
          <w:p>
            <w:pPr>
              <w:spacing w:after="0"/>
              <w:rPr>
                <w:sz w:val="20"/>
                <w:szCs w:val="20"/>
                <w:color w:val="auto"/>
              </w:rPr>
            </w:pPr>
            <w:r>
              <w:rPr>
                <w:rFonts w:ascii="Arial" w:cs="Arial" w:eastAsia="Arial" w:hAnsi="Arial"/>
                <w:sz w:val="16"/>
                <w:szCs w:val="16"/>
                <w:i w:val="1"/>
                <w:iCs w:val="1"/>
                <w:color w:val="231161"/>
              </w:rPr>
              <w:t>Annual Incentive Compensation Payouts for 2021</w:t>
            </w:r>
          </w:p>
        </w:tc>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97"/>
        </w:trPr>
        <w:tc>
          <w:tcPr>
            <w:tcW w:w="3660" w:type="dxa"/>
            <w:vAlign w:val="bottom"/>
          </w:tcPr>
          <w:p>
            <w:pPr>
              <w:spacing w:after="0"/>
              <w:rPr>
                <w:sz w:val="20"/>
                <w:szCs w:val="20"/>
                <w:color w:val="auto"/>
              </w:rPr>
            </w:pPr>
            <w:r>
              <w:rPr>
                <w:rFonts w:ascii="Arial" w:cs="Arial" w:eastAsia="Arial" w:hAnsi="Arial"/>
                <w:sz w:val="16"/>
                <w:szCs w:val="16"/>
                <w:color w:val="auto"/>
              </w:rPr>
              <w:t>In 2021, Viatris achieved:</w:t>
            </w:r>
          </w:p>
        </w:tc>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97"/>
        </w:trPr>
        <w:tc>
          <w:tcPr>
            <w:tcW w:w="3660" w:type="dxa"/>
            <w:vAlign w:val="bottom"/>
            <w:tcBorders>
              <w:bottom w:val="single" w:sz="8" w:color="732282"/>
            </w:tcBorders>
          </w:tcPr>
          <w:p>
            <w:pPr>
              <w:ind w:left="60"/>
              <w:spacing w:after="0"/>
              <w:rPr>
                <w:sz w:val="20"/>
                <w:szCs w:val="20"/>
                <w:color w:val="auto"/>
              </w:rPr>
            </w:pPr>
            <w:r>
              <w:rPr>
                <w:rFonts w:ascii="Arial" w:cs="Arial" w:eastAsia="Arial" w:hAnsi="Arial"/>
                <w:sz w:val="14"/>
                <w:szCs w:val="14"/>
                <w:b w:val="1"/>
                <w:bCs w:val="1"/>
                <w:color w:val="732282"/>
              </w:rPr>
              <w:t>Metric</w:t>
            </w:r>
          </w:p>
        </w:tc>
        <w:tc>
          <w:tcPr>
            <w:tcW w:w="1040" w:type="dxa"/>
            <w:vAlign w:val="bottom"/>
            <w:tcBorders>
              <w:bottom w:val="single" w:sz="8" w:color="732282"/>
            </w:tcBorders>
          </w:tcPr>
          <w:p>
            <w:pPr>
              <w:jc w:val="center"/>
              <w:ind w:right="41"/>
              <w:spacing w:after="0"/>
              <w:rPr>
                <w:sz w:val="20"/>
                <w:szCs w:val="20"/>
                <w:color w:val="auto"/>
              </w:rPr>
            </w:pPr>
            <w:r>
              <w:rPr>
                <w:rFonts w:ascii="Arial" w:cs="Arial" w:eastAsia="Arial" w:hAnsi="Arial"/>
                <w:sz w:val="14"/>
                <w:szCs w:val="14"/>
                <w:b w:val="1"/>
                <w:bCs w:val="1"/>
                <w:color w:val="732282"/>
              </w:rPr>
              <w:t>Weighting</w:t>
            </w:r>
          </w:p>
        </w:tc>
        <w:tc>
          <w:tcPr>
            <w:tcW w:w="1500" w:type="dxa"/>
            <w:vAlign w:val="bottom"/>
            <w:tcBorders>
              <w:bottom w:val="single" w:sz="8" w:color="732282"/>
            </w:tcBorders>
          </w:tcPr>
          <w:p>
            <w:pPr>
              <w:jc w:val="center"/>
              <w:spacing w:after="0"/>
              <w:rPr>
                <w:sz w:val="20"/>
                <w:szCs w:val="20"/>
                <w:color w:val="auto"/>
              </w:rPr>
            </w:pPr>
            <w:r>
              <w:rPr>
                <w:rFonts w:ascii="Arial" w:cs="Arial" w:eastAsia="Arial" w:hAnsi="Arial"/>
                <w:sz w:val="14"/>
                <w:szCs w:val="14"/>
                <w:b w:val="1"/>
                <w:bCs w:val="1"/>
                <w:color w:val="732282"/>
              </w:rPr>
              <w:t>Threshold</w:t>
            </w:r>
          </w:p>
        </w:tc>
        <w:tc>
          <w:tcPr>
            <w:tcW w:w="1540" w:type="dxa"/>
            <w:vAlign w:val="bottom"/>
            <w:tcBorders>
              <w:bottom w:val="single" w:sz="8" w:color="732282"/>
            </w:tcBorders>
          </w:tcPr>
          <w:p>
            <w:pPr>
              <w:jc w:val="center"/>
              <w:spacing w:after="0"/>
              <w:rPr>
                <w:sz w:val="20"/>
                <w:szCs w:val="20"/>
                <w:color w:val="auto"/>
              </w:rPr>
            </w:pPr>
            <w:r>
              <w:rPr>
                <w:rFonts w:ascii="Arial" w:cs="Arial" w:eastAsia="Arial" w:hAnsi="Arial"/>
                <w:sz w:val="14"/>
                <w:szCs w:val="14"/>
                <w:b w:val="1"/>
                <w:bCs w:val="1"/>
                <w:color w:val="732282"/>
              </w:rPr>
              <w:t>Target</w:t>
            </w:r>
          </w:p>
        </w:tc>
        <w:tc>
          <w:tcPr>
            <w:tcW w:w="1560" w:type="dxa"/>
            <w:vAlign w:val="bottom"/>
            <w:tcBorders>
              <w:bottom w:val="single" w:sz="8" w:color="732282"/>
            </w:tcBorders>
          </w:tcPr>
          <w:p>
            <w:pPr>
              <w:jc w:val="center"/>
              <w:spacing w:after="0"/>
              <w:rPr>
                <w:sz w:val="20"/>
                <w:szCs w:val="20"/>
                <w:color w:val="auto"/>
              </w:rPr>
            </w:pPr>
            <w:r>
              <w:rPr>
                <w:rFonts w:ascii="Arial" w:cs="Arial" w:eastAsia="Arial" w:hAnsi="Arial"/>
                <w:sz w:val="14"/>
                <w:szCs w:val="14"/>
                <w:b w:val="1"/>
                <w:bCs w:val="1"/>
                <w:color w:val="732282"/>
              </w:rPr>
              <w:t>Maximum</w:t>
            </w:r>
          </w:p>
        </w:tc>
        <w:tc>
          <w:tcPr>
            <w:tcW w:w="1720" w:type="dxa"/>
            <w:vAlign w:val="bottom"/>
            <w:tcBorders>
              <w:bottom w:val="single" w:sz="8" w:color="732282"/>
            </w:tcBorders>
          </w:tcPr>
          <w:p>
            <w:pPr>
              <w:jc w:val="center"/>
              <w:spacing w:after="0"/>
              <w:rPr>
                <w:sz w:val="20"/>
                <w:szCs w:val="20"/>
                <w:color w:val="auto"/>
              </w:rPr>
            </w:pPr>
            <w:r>
              <w:rPr>
                <w:rFonts w:ascii="Arial" w:cs="Arial" w:eastAsia="Arial" w:hAnsi="Arial"/>
                <w:sz w:val="14"/>
                <w:szCs w:val="14"/>
                <w:b w:val="1"/>
                <w:bCs w:val="1"/>
                <w:color w:val="732282"/>
              </w:rPr>
              <w:t>Results</w:t>
            </w:r>
          </w:p>
        </w:tc>
      </w:tr>
      <w:tr>
        <w:trPr>
          <w:trHeight w:val="183"/>
        </w:trPr>
        <w:tc>
          <w:tcPr>
            <w:tcW w:w="3660" w:type="dxa"/>
            <w:vAlign w:val="bottom"/>
            <w:shd w:val="clear" w:color="auto" w:fill="E5E5E5"/>
          </w:tcPr>
          <w:p>
            <w:pPr>
              <w:ind w:left="60"/>
              <w:spacing w:after="0" w:line="183" w:lineRule="exact"/>
              <w:rPr>
                <w:sz w:val="20"/>
                <w:szCs w:val="20"/>
                <w:color w:val="auto"/>
              </w:rPr>
            </w:pPr>
            <w:r>
              <w:rPr>
                <w:rFonts w:ascii="Arial" w:cs="Arial" w:eastAsia="Arial" w:hAnsi="Arial"/>
                <w:sz w:val="16"/>
                <w:szCs w:val="16"/>
                <w:color w:val="auto"/>
              </w:rPr>
              <w:t>Adjusted EBITDA*</w:t>
            </w:r>
          </w:p>
        </w:tc>
        <w:tc>
          <w:tcPr>
            <w:tcW w:w="1040" w:type="dxa"/>
            <w:vAlign w:val="bottom"/>
            <w:shd w:val="clear" w:color="auto" w:fill="E5E5E5"/>
          </w:tcPr>
          <w:p>
            <w:pPr>
              <w:jc w:val="center"/>
              <w:ind w:right="41"/>
              <w:spacing w:after="0" w:line="183" w:lineRule="exact"/>
              <w:rPr>
                <w:sz w:val="20"/>
                <w:szCs w:val="20"/>
                <w:color w:val="auto"/>
              </w:rPr>
            </w:pPr>
            <w:r>
              <w:rPr>
                <w:rFonts w:ascii="Arial" w:cs="Arial" w:eastAsia="Arial" w:hAnsi="Arial"/>
                <w:sz w:val="16"/>
                <w:szCs w:val="16"/>
                <w:color w:val="auto"/>
                <w:w w:val="99"/>
              </w:rPr>
              <w:t>40%</w:t>
            </w:r>
          </w:p>
        </w:tc>
        <w:tc>
          <w:tcPr>
            <w:tcW w:w="1500" w:type="dxa"/>
            <w:vAlign w:val="bottom"/>
            <w:shd w:val="clear" w:color="auto" w:fill="E5E5E5"/>
          </w:tcPr>
          <w:p>
            <w:pPr>
              <w:jc w:val="center"/>
              <w:spacing w:after="0" w:line="183" w:lineRule="exact"/>
              <w:rPr>
                <w:sz w:val="20"/>
                <w:szCs w:val="20"/>
                <w:color w:val="auto"/>
              </w:rPr>
            </w:pPr>
            <w:r>
              <w:rPr>
                <w:rFonts w:ascii="Arial" w:cs="Arial" w:eastAsia="Arial" w:hAnsi="Arial"/>
                <w:sz w:val="16"/>
                <w:szCs w:val="16"/>
                <w:color w:val="auto"/>
              </w:rPr>
              <w:t>$5,900 million</w:t>
            </w:r>
          </w:p>
        </w:tc>
        <w:tc>
          <w:tcPr>
            <w:tcW w:w="1540" w:type="dxa"/>
            <w:vAlign w:val="bottom"/>
            <w:shd w:val="clear" w:color="auto" w:fill="E5E5E5"/>
          </w:tcPr>
          <w:p>
            <w:pPr>
              <w:jc w:val="center"/>
              <w:spacing w:after="0" w:line="183" w:lineRule="exact"/>
              <w:rPr>
                <w:sz w:val="20"/>
                <w:szCs w:val="20"/>
                <w:color w:val="auto"/>
              </w:rPr>
            </w:pPr>
            <w:r>
              <w:rPr>
                <w:rFonts w:ascii="Arial" w:cs="Arial" w:eastAsia="Arial" w:hAnsi="Arial"/>
                <w:sz w:val="16"/>
                <w:szCs w:val="16"/>
                <w:color w:val="auto"/>
              </w:rPr>
              <w:t>$6,200 million</w:t>
            </w:r>
          </w:p>
        </w:tc>
        <w:tc>
          <w:tcPr>
            <w:tcW w:w="1560" w:type="dxa"/>
            <w:vAlign w:val="bottom"/>
            <w:shd w:val="clear" w:color="auto" w:fill="E5E5E5"/>
          </w:tcPr>
          <w:p>
            <w:pPr>
              <w:jc w:val="center"/>
              <w:spacing w:after="0" w:line="183" w:lineRule="exact"/>
              <w:rPr>
                <w:sz w:val="20"/>
                <w:szCs w:val="20"/>
                <w:color w:val="auto"/>
              </w:rPr>
            </w:pPr>
            <w:r>
              <w:rPr>
                <w:rFonts w:ascii="Arial" w:cs="Arial" w:eastAsia="Arial" w:hAnsi="Arial"/>
                <w:sz w:val="16"/>
                <w:szCs w:val="16"/>
                <w:color w:val="auto"/>
              </w:rPr>
              <w:t>$6,500 million</w:t>
            </w:r>
          </w:p>
        </w:tc>
        <w:tc>
          <w:tcPr>
            <w:tcW w:w="1720" w:type="dxa"/>
            <w:vAlign w:val="bottom"/>
            <w:shd w:val="clear" w:color="auto" w:fill="E5E5E5"/>
          </w:tcPr>
          <w:p>
            <w:pPr>
              <w:jc w:val="center"/>
              <w:spacing w:after="0" w:line="183" w:lineRule="exact"/>
              <w:rPr>
                <w:sz w:val="20"/>
                <w:szCs w:val="20"/>
                <w:color w:val="auto"/>
              </w:rPr>
            </w:pPr>
            <w:r>
              <w:rPr>
                <w:rFonts w:ascii="Arial" w:cs="Arial" w:eastAsia="Arial" w:hAnsi="Arial"/>
                <w:sz w:val="16"/>
                <w:szCs w:val="16"/>
                <w:color w:val="auto"/>
              </w:rPr>
              <w:t>$6,429.3 million</w:t>
            </w:r>
          </w:p>
        </w:tc>
      </w:tr>
      <w:tr>
        <w:trPr>
          <w:trHeight w:val="189"/>
        </w:trPr>
        <w:tc>
          <w:tcPr>
            <w:tcW w:w="3660" w:type="dxa"/>
            <w:vAlign w:val="bottom"/>
          </w:tcPr>
          <w:p>
            <w:pPr>
              <w:ind w:left="60"/>
              <w:spacing w:after="0"/>
              <w:rPr>
                <w:sz w:val="20"/>
                <w:szCs w:val="20"/>
                <w:color w:val="auto"/>
              </w:rPr>
            </w:pPr>
            <w:r>
              <w:rPr>
                <w:rFonts w:ascii="Arial" w:cs="Arial" w:eastAsia="Arial" w:hAnsi="Arial"/>
                <w:sz w:val="16"/>
                <w:szCs w:val="16"/>
                <w:color w:val="auto"/>
              </w:rPr>
              <w:t>Free Cash Flow**</w:t>
            </w:r>
          </w:p>
        </w:tc>
        <w:tc>
          <w:tcPr>
            <w:tcW w:w="1040" w:type="dxa"/>
            <w:vAlign w:val="bottom"/>
          </w:tcPr>
          <w:p>
            <w:pPr>
              <w:jc w:val="center"/>
              <w:ind w:right="41"/>
              <w:spacing w:after="0"/>
              <w:rPr>
                <w:sz w:val="20"/>
                <w:szCs w:val="20"/>
                <w:color w:val="auto"/>
              </w:rPr>
            </w:pPr>
            <w:r>
              <w:rPr>
                <w:rFonts w:ascii="Arial" w:cs="Arial" w:eastAsia="Arial" w:hAnsi="Arial"/>
                <w:sz w:val="16"/>
                <w:szCs w:val="16"/>
                <w:color w:val="auto"/>
                <w:w w:val="99"/>
              </w:rPr>
              <w:t>40%</w:t>
            </w:r>
          </w:p>
        </w:tc>
        <w:tc>
          <w:tcPr>
            <w:tcW w:w="1500" w:type="dxa"/>
            <w:vAlign w:val="bottom"/>
          </w:tcPr>
          <w:p>
            <w:pPr>
              <w:jc w:val="center"/>
              <w:spacing w:after="0"/>
              <w:rPr>
                <w:sz w:val="20"/>
                <w:szCs w:val="20"/>
                <w:color w:val="auto"/>
              </w:rPr>
            </w:pPr>
            <w:r>
              <w:rPr>
                <w:rFonts w:ascii="Arial" w:cs="Arial" w:eastAsia="Arial" w:hAnsi="Arial"/>
                <w:sz w:val="16"/>
                <w:szCs w:val="16"/>
                <w:color w:val="auto"/>
              </w:rPr>
              <w:t>$1,950 million</w:t>
            </w:r>
          </w:p>
        </w:tc>
        <w:tc>
          <w:tcPr>
            <w:tcW w:w="1540" w:type="dxa"/>
            <w:vAlign w:val="bottom"/>
          </w:tcPr>
          <w:p>
            <w:pPr>
              <w:jc w:val="center"/>
              <w:spacing w:after="0"/>
              <w:rPr>
                <w:sz w:val="20"/>
                <w:szCs w:val="20"/>
                <w:color w:val="auto"/>
              </w:rPr>
            </w:pPr>
            <w:r>
              <w:rPr>
                <w:rFonts w:ascii="Arial" w:cs="Arial" w:eastAsia="Arial" w:hAnsi="Arial"/>
                <w:sz w:val="16"/>
                <w:szCs w:val="16"/>
                <w:color w:val="auto"/>
              </w:rPr>
              <w:t>$2,150 million</w:t>
            </w:r>
          </w:p>
        </w:tc>
        <w:tc>
          <w:tcPr>
            <w:tcW w:w="1560" w:type="dxa"/>
            <w:vAlign w:val="bottom"/>
          </w:tcPr>
          <w:p>
            <w:pPr>
              <w:jc w:val="center"/>
              <w:spacing w:after="0"/>
              <w:rPr>
                <w:sz w:val="20"/>
                <w:szCs w:val="20"/>
                <w:color w:val="auto"/>
              </w:rPr>
            </w:pPr>
            <w:r>
              <w:rPr>
                <w:rFonts w:ascii="Arial" w:cs="Arial" w:eastAsia="Arial" w:hAnsi="Arial"/>
                <w:sz w:val="16"/>
                <w:szCs w:val="16"/>
                <w:color w:val="auto"/>
              </w:rPr>
              <w:t>$2,350 million</w:t>
            </w:r>
          </w:p>
        </w:tc>
        <w:tc>
          <w:tcPr>
            <w:tcW w:w="1720" w:type="dxa"/>
            <w:vAlign w:val="bottom"/>
          </w:tcPr>
          <w:p>
            <w:pPr>
              <w:jc w:val="center"/>
              <w:spacing w:after="0"/>
              <w:rPr>
                <w:sz w:val="20"/>
                <w:szCs w:val="20"/>
                <w:color w:val="auto"/>
              </w:rPr>
            </w:pPr>
            <w:r>
              <w:rPr>
                <w:rFonts w:ascii="Arial" w:cs="Arial" w:eastAsia="Arial" w:hAnsi="Arial"/>
                <w:sz w:val="16"/>
                <w:szCs w:val="16"/>
                <w:color w:val="auto"/>
              </w:rPr>
              <w:t>$2,578 million</w:t>
            </w:r>
          </w:p>
        </w:tc>
      </w:tr>
      <w:tr>
        <w:trPr>
          <w:trHeight w:val="189"/>
        </w:trPr>
        <w:tc>
          <w:tcPr>
            <w:tcW w:w="3660" w:type="dxa"/>
            <w:vAlign w:val="bottom"/>
            <w:shd w:val="clear" w:color="auto" w:fill="E5E5E5"/>
          </w:tcPr>
          <w:p>
            <w:pPr>
              <w:ind w:left="60"/>
              <w:spacing w:after="0"/>
              <w:rPr>
                <w:sz w:val="20"/>
                <w:szCs w:val="20"/>
                <w:color w:val="auto"/>
              </w:rPr>
            </w:pPr>
            <w:r>
              <w:rPr>
                <w:rFonts w:ascii="Arial" w:cs="Arial" w:eastAsia="Arial" w:hAnsi="Arial"/>
                <w:sz w:val="16"/>
                <w:szCs w:val="16"/>
                <w:color w:val="auto"/>
              </w:rPr>
              <w:t>Global Regulatory Submissions***</w:t>
            </w:r>
          </w:p>
        </w:tc>
        <w:tc>
          <w:tcPr>
            <w:tcW w:w="1040" w:type="dxa"/>
            <w:vAlign w:val="bottom"/>
            <w:shd w:val="clear" w:color="auto" w:fill="E5E5E5"/>
          </w:tcPr>
          <w:p>
            <w:pPr>
              <w:jc w:val="center"/>
              <w:ind w:right="41"/>
              <w:spacing w:after="0"/>
              <w:rPr>
                <w:sz w:val="20"/>
                <w:szCs w:val="20"/>
                <w:color w:val="auto"/>
              </w:rPr>
            </w:pPr>
            <w:r>
              <w:rPr>
                <w:rFonts w:ascii="Arial" w:cs="Arial" w:eastAsia="Arial" w:hAnsi="Arial"/>
                <w:sz w:val="16"/>
                <w:szCs w:val="16"/>
                <w:color w:val="auto"/>
                <w:w w:val="99"/>
              </w:rPr>
              <w:t>20%</w:t>
            </w:r>
          </w:p>
        </w:tc>
        <w:tc>
          <w:tcPr>
            <w:tcW w:w="15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110</w:t>
            </w:r>
          </w:p>
        </w:tc>
        <w:tc>
          <w:tcPr>
            <w:tcW w:w="15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120</w:t>
            </w:r>
          </w:p>
        </w:tc>
        <w:tc>
          <w:tcPr>
            <w:tcW w:w="156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7"/>
              </w:rPr>
              <w:t>130</w:t>
            </w:r>
          </w:p>
        </w:tc>
        <w:tc>
          <w:tcPr>
            <w:tcW w:w="172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7"/>
              </w:rPr>
              <w:t>145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both"/>
        <w:ind w:left="440" w:right="20" w:hanging="324"/>
        <w:spacing w:after="0" w:line="216" w:lineRule="auto"/>
        <w:tabs>
          <w:tab w:leader="none" w:pos="4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Adjusted EBITDA is derived from Viatris’ financial statements in the same manner as Viatris’ publicly reported adjusted EBITDA, except that the calculation for the incentive program utilized budgeted foreign exchange rates. Viatris’ adjusted EBITDA as reported for the twelve months ended December 31, 2021 is reconciled to the most directly comparable U.S. GAAP measure in Appendix A.</w:t>
      </w:r>
    </w:p>
    <w:p>
      <w:pPr>
        <w:spacing w:after="0" w:line="1" w:lineRule="exact"/>
        <w:rPr>
          <w:sz w:val="20"/>
          <w:szCs w:val="20"/>
          <w:color w:val="auto"/>
        </w:rPr>
      </w:pPr>
    </w:p>
    <w:p>
      <w:pPr>
        <w:jc w:val="both"/>
        <w:ind w:left="440" w:right="20" w:hanging="324"/>
        <w:spacing w:after="0" w:line="216" w:lineRule="auto"/>
        <w:tabs>
          <w:tab w:leader="none" w:pos="4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Free Cash Flow is derived from Viatris’ audited financial statements in the same manner as Viatris’ publicly reported free cash flow, except that the calculation for 2021 annual incentive compensation further adjusts the publicly reported measure for unplanned litigation gains or losses equal to or greater than $25 million in the aggregate, if any, and for proceeds from the sale of property, plant and equipment. Viatris’ free cash flow as reported for the twelve months ended December 31, 2021 is reconciled to the most directly comparable U.S. GAAP measure in Appendix A.</w:t>
      </w:r>
    </w:p>
    <w:p>
      <w:pPr>
        <w:spacing w:after="0" w:line="1" w:lineRule="exact"/>
        <w:rPr>
          <w:rFonts w:ascii="Arial" w:cs="Arial" w:eastAsia="Arial" w:hAnsi="Arial"/>
          <w:sz w:val="13"/>
          <w:szCs w:val="13"/>
          <w:color w:val="auto"/>
        </w:rPr>
      </w:pPr>
    </w:p>
    <w:p>
      <w:pPr>
        <w:ind w:left="440" w:hanging="324"/>
        <w:spacing w:after="0"/>
        <w:tabs>
          <w:tab w:leader="none" w:pos="4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Science and Technology Committee reviewed the actual results of the global submissions included in the incentive compensation program.</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86"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shows the 2021 actual incentive payout for each NEO reflecting Company performance at 190.57% of target.</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5620" w:type="dxa"/>
            <w:vAlign w:val="bottom"/>
          </w:tcPr>
          <w:p>
            <w:pPr>
              <w:jc w:val="right"/>
              <w:ind w:right="262"/>
              <w:spacing w:after="0"/>
              <w:rPr>
                <w:sz w:val="20"/>
                <w:szCs w:val="20"/>
                <w:color w:val="auto"/>
              </w:rPr>
            </w:pPr>
            <w:r>
              <w:rPr>
                <w:rFonts w:ascii="Arial" w:cs="Arial" w:eastAsia="Arial" w:hAnsi="Arial"/>
                <w:sz w:val="14"/>
                <w:szCs w:val="14"/>
                <w:b w:val="1"/>
                <w:bCs w:val="1"/>
                <w:color w:val="732282"/>
              </w:rPr>
              <w:t>Actual Annual</w:t>
            </w:r>
          </w:p>
        </w:tc>
      </w:tr>
      <w:tr>
        <w:trPr>
          <w:trHeight w:val="175"/>
        </w:trPr>
        <w:tc>
          <w:tcPr>
            <w:tcW w:w="5400" w:type="dxa"/>
            <w:vAlign w:val="bottom"/>
            <w:tcBorders>
              <w:bottom w:val="single" w:sz="8" w:color="732282"/>
            </w:tcBorders>
          </w:tcPr>
          <w:p>
            <w:pPr>
              <w:ind w:left="60"/>
              <w:spacing w:after="0"/>
              <w:rPr>
                <w:sz w:val="20"/>
                <w:szCs w:val="20"/>
                <w:color w:val="auto"/>
              </w:rPr>
            </w:pPr>
            <w:r>
              <w:rPr>
                <w:rFonts w:ascii="Arial" w:cs="Arial" w:eastAsia="Arial" w:hAnsi="Arial"/>
                <w:sz w:val="14"/>
                <w:szCs w:val="14"/>
                <w:b w:val="1"/>
                <w:bCs w:val="1"/>
                <w:color w:val="732282"/>
              </w:rPr>
              <w:t>NEO</w:t>
            </w:r>
          </w:p>
        </w:tc>
        <w:tc>
          <w:tcPr>
            <w:tcW w:w="5620" w:type="dxa"/>
            <w:vAlign w:val="bottom"/>
            <w:tcBorders>
              <w:bottom w:val="single" w:sz="8" w:color="732282"/>
            </w:tcBorders>
          </w:tcPr>
          <w:p>
            <w:pPr>
              <w:jc w:val="right"/>
              <w:ind w:right="262"/>
              <w:spacing w:after="0"/>
              <w:rPr>
                <w:sz w:val="20"/>
                <w:szCs w:val="20"/>
                <w:color w:val="auto"/>
              </w:rPr>
            </w:pPr>
            <w:r>
              <w:rPr>
                <w:rFonts w:ascii="Arial" w:cs="Arial" w:eastAsia="Arial" w:hAnsi="Arial"/>
                <w:sz w:val="14"/>
                <w:szCs w:val="14"/>
                <w:b w:val="1"/>
                <w:bCs w:val="1"/>
                <w:color w:val="732282"/>
              </w:rPr>
              <w:t>Incentive Payout</w:t>
            </w:r>
          </w:p>
        </w:tc>
      </w:tr>
      <w:tr>
        <w:trPr>
          <w:trHeight w:val="183"/>
        </w:trPr>
        <w:tc>
          <w:tcPr>
            <w:tcW w:w="5400" w:type="dxa"/>
            <w:vAlign w:val="bottom"/>
            <w:shd w:val="clear" w:color="auto" w:fill="E5E5E5"/>
          </w:tcPr>
          <w:p>
            <w:pPr>
              <w:ind w:left="60"/>
              <w:spacing w:after="0" w:line="183" w:lineRule="exact"/>
              <w:rPr>
                <w:sz w:val="20"/>
                <w:szCs w:val="20"/>
                <w:color w:val="auto"/>
              </w:rPr>
            </w:pPr>
            <w:r>
              <w:rPr>
                <w:rFonts w:ascii="Arial" w:cs="Arial" w:eastAsia="Arial" w:hAnsi="Arial"/>
                <w:sz w:val="16"/>
                <w:szCs w:val="16"/>
                <w:color w:val="auto"/>
              </w:rPr>
              <w:t>Michael Goettler</w:t>
            </w:r>
          </w:p>
        </w:tc>
        <w:tc>
          <w:tcPr>
            <w:tcW w:w="5620" w:type="dxa"/>
            <w:vAlign w:val="bottom"/>
            <w:shd w:val="clear" w:color="auto" w:fill="E5E5E5"/>
          </w:tcPr>
          <w:p>
            <w:pPr>
              <w:jc w:val="right"/>
              <w:ind w:right="262"/>
              <w:spacing w:after="0" w:line="183" w:lineRule="exact"/>
              <w:rPr>
                <w:sz w:val="20"/>
                <w:szCs w:val="20"/>
                <w:color w:val="auto"/>
              </w:rPr>
            </w:pPr>
            <w:r>
              <w:rPr>
                <w:rFonts w:ascii="Arial" w:cs="Arial" w:eastAsia="Arial" w:hAnsi="Arial"/>
                <w:sz w:val="16"/>
                <w:szCs w:val="16"/>
                <w:color w:val="auto"/>
              </w:rPr>
              <w:t>$3,716,115</w:t>
            </w:r>
          </w:p>
        </w:tc>
      </w:tr>
      <w:tr>
        <w:trPr>
          <w:trHeight w:val="189"/>
        </w:trPr>
        <w:tc>
          <w:tcPr>
            <w:tcW w:w="5400" w:type="dxa"/>
            <w:vAlign w:val="bottom"/>
          </w:tcPr>
          <w:p>
            <w:pPr>
              <w:ind w:left="60"/>
              <w:spacing w:after="0"/>
              <w:rPr>
                <w:sz w:val="20"/>
                <w:szCs w:val="20"/>
                <w:color w:val="auto"/>
              </w:rPr>
            </w:pPr>
            <w:r>
              <w:rPr>
                <w:rFonts w:ascii="Arial" w:cs="Arial" w:eastAsia="Arial" w:hAnsi="Arial"/>
                <w:sz w:val="16"/>
                <w:szCs w:val="16"/>
                <w:color w:val="auto"/>
              </w:rPr>
              <w:t>Rajiv Malik</w:t>
            </w:r>
          </w:p>
        </w:tc>
        <w:tc>
          <w:tcPr>
            <w:tcW w:w="5620" w:type="dxa"/>
            <w:vAlign w:val="bottom"/>
          </w:tcPr>
          <w:p>
            <w:pPr>
              <w:jc w:val="right"/>
              <w:ind w:right="262"/>
              <w:spacing w:after="0"/>
              <w:rPr>
                <w:sz w:val="20"/>
                <w:szCs w:val="20"/>
                <w:color w:val="auto"/>
              </w:rPr>
            </w:pPr>
            <w:r>
              <w:rPr>
                <w:rFonts w:ascii="Arial" w:cs="Arial" w:eastAsia="Arial" w:hAnsi="Arial"/>
                <w:sz w:val="16"/>
                <w:szCs w:val="16"/>
                <w:color w:val="auto"/>
              </w:rPr>
              <w:t>$2,858,550</w:t>
            </w:r>
          </w:p>
        </w:tc>
      </w:tr>
      <w:tr>
        <w:trPr>
          <w:trHeight w:val="189"/>
        </w:trPr>
        <w:tc>
          <w:tcPr>
            <w:tcW w:w="5400" w:type="dxa"/>
            <w:vAlign w:val="bottom"/>
            <w:shd w:val="clear" w:color="auto" w:fill="E5E5E5"/>
          </w:tcPr>
          <w:p>
            <w:pPr>
              <w:ind w:left="60"/>
              <w:spacing w:after="0"/>
              <w:rPr>
                <w:sz w:val="20"/>
                <w:szCs w:val="20"/>
                <w:color w:val="auto"/>
              </w:rPr>
            </w:pPr>
            <w:r>
              <w:rPr>
                <w:rFonts w:ascii="Arial" w:cs="Arial" w:eastAsia="Arial" w:hAnsi="Arial"/>
                <w:sz w:val="16"/>
                <w:szCs w:val="16"/>
                <w:color w:val="auto"/>
              </w:rPr>
              <w:t>Sanjeev Narula</w:t>
            </w:r>
          </w:p>
        </w:tc>
        <w:tc>
          <w:tcPr>
            <w:tcW w:w="5620" w:type="dxa"/>
            <w:vAlign w:val="bottom"/>
            <w:shd w:val="clear" w:color="auto" w:fill="E5E5E5"/>
          </w:tcPr>
          <w:p>
            <w:pPr>
              <w:jc w:val="right"/>
              <w:ind w:right="262"/>
              <w:spacing w:after="0"/>
              <w:rPr>
                <w:sz w:val="20"/>
                <w:szCs w:val="20"/>
                <w:color w:val="auto"/>
              </w:rPr>
            </w:pPr>
            <w:r>
              <w:rPr>
                <w:rFonts w:ascii="Arial" w:cs="Arial" w:eastAsia="Arial" w:hAnsi="Arial"/>
                <w:sz w:val="16"/>
                <w:szCs w:val="16"/>
                <w:color w:val="auto"/>
              </w:rPr>
              <w:t>$1,524,560</w:t>
            </w:r>
          </w:p>
        </w:tc>
      </w:tr>
      <w:tr>
        <w:trPr>
          <w:trHeight w:val="189"/>
        </w:trPr>
        <w:tc>
          <w:tcPr>
            <w:tcW w:w="5400" w:type="dxa"/>
            <w:vAlign w:val="bottom"/>
          </w:tcPr>
          <w:p>
            <w:pPr>
              <w:ind w:left="60"/>
              <w:spacing w:after="0"/>
              <w:rPr>
                <w:sz w:val="20"/>
                <w:szCs w:val="20"/>
                <w:color w:val="auto"/>
              </w:rPr>
            </w:pPr>
            <w:r>
              <w:rPr>
                <w:rFonts w:ascii="Arial" w:cs="Arial" w:eastAsia="Arial" w:hAnsi="Arial"/>
                <w:sz w:val="16"/>
                <w:szCs w:val="16"/>
                <w:color w:val="auto"/>
              </w:rPr>
              <w:t>Anthony Mauro</w:t>
            </w:r>
          </w:p>
        </w:tc>
        <w:tc>
          <w:tcPr>
            <w:tcW w:w="5620" w:type="dxa"/>
            <w:vAlign w:val="bottom"/>
          </w:tcPr>
          <w:p>
            <w:pPr>
              <w:jc w:val="right"/>
              <w:ind w:right="262"/>
              <w:spacing w:after="0"/>
              <w:rPr>
                <w:sz w:val="20"/>
                <w:szCs w:val="20"/>
                <w:color w:val="auto"/>
              </w:rPr>
            </w:pPr>
            <w:r>
              <w:rPr>
                <w:rFonts w:ascii="Arial" w:cs="Arial" w:eastAsia="Arial" w:hAnsi="Arial"/>
                <w:sz w:val="16"/>
                <w:szCs w:val="16"/>
                <w:color w:val="auto"/>
              </w:rPr>
              <w:t>$1,753,244</w:t>
            </w:r>
          </w:p>
        </w:tc>
      </w:tr>
      <w:tr>
        <w:trPr>
          <w:trHeight w:val="189"/>
        </w:trPr>
        <w:tc>
          <w:tcPr>
            <w:tcW w:w="540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color w:val="auto"/>
              </w:rPr>
              <w:t>Robert J. Coury</w:t>
            </w:r>
          </w:p>
        </w:tc>
        <w:tc>
          <w:tcPr>
            <w:tcW w:w="5620" w:type="dxa"/>
            <w:vAlign w:val="bottom"/>
            <w:tcBorders>
              <w:bottom w:val="single" w:sz="8" w:color="732282"/>
            </w:tcBorders>
            <w:shd w:val="clear" w:color="auto" w:fill="E5E5E5"/>
          </w:tcPr>
          <w:p>
            <w:pPr>
              <w:jc w:val="right"/>
              <w:ind w:right="262"/>
              <w:spacing w:after="0"/>
              <w:rPr>
                <w:sz w:val="20"/>
                <w:szCs w:val="20"/>
                <w:color w:val="auto"/>
              </w:rPr>
            </w:pPr>
            <w:r>
              <w:rPr>
                <w:rFonts w:ascii="Arial" w:cs="Arial" w:eastAsia="Arial" w:hAnsi="Arial"/>
                <w:sz w:val="16"/>
                <w:szCs w:val="16"/>
                <w:color w:val="auto"/>
              </w:rPr>
              <w:t>$5,145,390</w:t>
            </w:r>
          </w:p>
        </w:tc>
      </w:tr>
    </w:tbl>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Long-Term Incentive Compensation Programs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Long-Term Incentive Compensation Grants for 2021</w:t>
      </w:r>
    </w:p>
    <w:p>
      <w:pPr>
        <w:spacing w:after="0" w:line="129"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The Compensation Committee believes that the value of long-term incentives should be directly related to the performance of Viatris’ ordinary shares over several years, as well as other measures associated with the growth, success, and long-term sustainability of Viatris. The Compensation Committee approved annual long-term incentive (“LTI”) award grants in the first quarter of 2021.</w:t>
      </w:r>
    </w:p>
    <w:p>
      <w:pPr>
        <w:spacing w:after="0" w:line="201"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auto"/>
        </w:rPr>
        <w:t>Long-term incentive awards for 2021 were predominantly performance-based, with 60% of each NEO’s award in the form of PRSUs and 40% in the form of RSUs. RSUs vest ratably over a three-year period following the grant date, and PRSUs vest as described below. This mix of LTI awards provides NEOs with a combination of incentives and aligns them with the interests of shareholders.</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2022, we further increased the percentage of performance-based awards so that 65% of NEO equity-based awards were granted as PRSUs.</w:t>
      </w:r>
    </w:p>
    <w:p>
      <w:pPr>
        <w:spacing w:after="0" w:line="221"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Each NEO’s 2021 LTI award had a targeted value at grant equal to a percentage of the NEO’s base salary. In setting each NEO’s LTI targeted value, the Compensation Committee considered a variety of factors, including, among others, peer group compensation and expectations regarding individual roles and responsibilities.</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2021, the Compensation Committee approved the following annual LTI award values for our NEOs: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jc w:val="right"/>
              <w:ind w:right="42"/>
              <w:spacing w:after="0"/>
              <w:rPr>
                <w:sz w:val="20"/>
                <w:szCs w:val="20"/>
                <w:color w:val="auto"/>
              </w:rPr>
            </w:pPr>
            <w:r>
              <w:rPr>
                <w:rFonts w:ascii="Arial" w:cs="Arial" w:eastAsia="Arial" w:hAnsi="Arial"/>
                <w:sz w:val="14"/>
                <w:szCs w:val="14"/>
                <w:b w:val="1"/>
                <w:bCs w:val="1"/>
                <w:color w:val="732282"/>
              </w:rPr>
              <w:t>Total LTI</w:t>
            </w:r>
          </w:p>
        </w:tc>
      </w:tr>
      <w:tr>
        <w:trPr>
          <w:trHeight w:val="175"/>
        </w:trPr>
        <w:tc>
          <w:tcPr>
            <w:tcW w:w="4320" w:type="dxa"/>
            <w:vAlign w:val="bottom"/>
            <w:tcBorders>
              <w:bottom w:val="single" w:sz="8" w:color="732282"/>
            </w:tcBorders>
          </w:tcPr>
          <w:p>
            <w:pPr>
              <w:ind w:left="60"/>
              <w:spacing w:after="0"/>
              <w:rPr>
                <w:sz w:val="20"/>
                <w:szCs w:val="20"/>
                <w:color w:val="auto"/>
              </w:rPr>
            </w:pPr>
            <w:r>
              <w:rPr>
                <w:rFonts w:ascii="Arial" w:cs="Arial" w:eastAsia="Arial" w:hAnsi="Arial"/>
                <w:sz w:val="14"/>
                <w:szCs w:val="14"/>
                <w:b w:val="1"/>
                <w:bCs w:val="1"/>
                <w:color w:val="732282"/>
              </w:rPr>
              <w:t>NEO</w:t>
            </w:r>
          </w:p>
        </w:tc>
        <w:tc>
          <w:tcPr>
            <w:tcW w:w="4120" w:type="dxa"/>
            <w:vAlign w:val="bottom"/>
            <w:tcBorders>
              <w:bottom w:val="single" w:sz="8" w:color="732282"/>
            </w:tcBorders>
          </w:tcPr>
          <w:p>
            <w:pPr>
              <w:jc w:val="right"/>
              <w:ind w:right="161"/>
              <w:spacing w:after="0"/>
              <w:rPr>
                <w:sz w:val="20"/>
                <w:szCs w:val="20"/>
                <w:color w:val="auto"/>
              </w:rPr>
            </w:pPr>
            <w:r>
              <w:rPr>
                <w:rFonts w:ascii="Arial" w:cs="Arial" w:eastAsia="Arial" w:hAnsi="Arial"/>
                <w:sz w:val="14"/>
                <w:szCs w:val="14"/>
                <w:b w:val="1"/>
                <w:bCs w:val="1"/>
                <w:color w:val="732282"/>
              </w:rPr>
              <w:t>PRSUs</w:t>
            </w:r>
          </w:p>
        </w:tc>
        <w:tc>
          <w:tcPr>
            <w:tcW w:w="1300" w:type="dxa"/>
            <w:vAlign w:val="bottom"/>
            <w:tcBorders>
              <w:bottom w:val="single" w:sz="8" w:color="732282"/>
            </w:tcBorders>
          </w:tcPr>
          <w:p>
            <w:pPr>
              <w:jc w:val="right"/>
              <w:ind w:right="181"/>
              <w:spacing w:after="0"/>
              <w:rPr>
                <w:sz w:val="20"/>
                <w:szCs w:val="20"/>
                <w:color w:val="auto"/>
              </w:rPr>
            </w:pPr>
            <w:r>
              <w:rPr>
                <w:rFonts w:ascii="Arial" w:cs="Arial" w:eastAsia="Arial" w:hAnsi="Arial"/>
                <w:sz w:val="14"/>
                <w:szCs w:val="14"/>
                <w:b w:val="1"/>
                <w:bCs w:val="1"/>
                <w:color w:val="732282"/>
              </w:rPr>
              <w:t>RSUs</w:t>
            </w:r>
          </w:p>
        </w:tc>
        <w:tc>
          <w:tcPr>
            <w:tcW w:w="1280" w:type="dxa"/>
            <w:vAlign w:val="bottom"/>
            <w:tcBorders>
              <w:bottom w:val="single" w:sz="8" w:color="732282"/>
            </w:tcBorders>
          </w:tcPr>
          <w:p>
            <w:pPr>
              <w:jc w:val="right"/>
              <w:ind w:right="42"/>
              <w:spacing w:after="0"/>
              <w:rPr>
                <w:sz w:val="20"/>
                <w:szCs w:val="20"/>
                <w:color w:val="auto"/>
              </w:rPr>
            </w:pPr>
            <w:r>
              <w:rPr>
                <w:rFonts w:ascii="Arial" w:cs="Arial" w:eastAsia="Arial" w:hAnsi="Arial"/>
                <w:sz w:val="14"/>
                <w:szCs w:val="14"/>
                <w:b w:val="1"/>
                <w:bCs w:val="1"/>
                <w:color w:val="732282"/>
              </w:rPr>
              <w:t>Award</w:t>
            </w:r>
          </w:p>
        </w:tc>
      </w:tr>
      <w:tr>
        <w:trPr>
          <w:trHeight w:val="183"/>
        </w:trPr>
        <w:tc>
          <w:tcPr>
            <w:tcW w:w="4320" w:type="dxa"/>
            <w:vAlign w:val="bottom"/>
            <w:shd w:val="clear" w:color="auto" w:fill="E5E5E5"/>
          </w:tcPr>
          <w:p>
            <w:pPr>
              <w:ind w:left="60"/>
              <w:spacing w:after="0" w:line="183" w:lineRule="exact"/>
              <w:rPr>
                <w:sz w:val="20"/>
                <w:szCs w:val="20"/>
                <w:color w:val="auto"/>
              </w:rPr>
            </w:pPr>
            <w:r>
              <w:rPr>
                <w:rFonts w:ascii="Arial" w:cs="Arial" w:eastAsia="Arial" w:hAnsi="Arial"/>
                <w:sz w:val="16"/>
                <w:szCs w:val="16"/>
                <w:color w:val="auto"/>
              </w:rPr>
              <w:t>Michael Goettler</w:t>
            </w:r>
          </w:p>
        </w:tc>
        <w:tc>
          <w:tcPr>
            <w:tcW w:w="4120" w:type="dxa"/>
            <w:vAlign w:val="bottom"/>
            <w:shd w:val="clear" w:color="auto" w:fill="E5E5E5"/>
          </w:tcPr>
          <w:p>
            <w:pPr>
              <w:jc w:val="right"/>
              <w:ind w:right="161"/>
              <w:spacing w:after="0" w:line="183" w:lineRule="exact"/>
              <w:rPr>
                <w:sz w:val="20"/>
                <w:szCs w:val="20"/>
                <w:color w:val="auto"/>
              </w:rPr>
            </w:pPr>
            <w:r>
              <w:rPr>
                <w:rFonts w:ascii="Arial" w:cs="Arial" w:eastAsia="Arial" w:hAnsi="Arial"/>
                <w:sz w:val="16"/>
                <w:szCs w:val="16"/>
                <w:color w:val="auto"/>
              </w:rPr>
              <w:t>$5,460,000</w:t>
            </w:r>
          </w:p>
        </w:tc>
        <w:tc>
          <w:tcPr>
            <w:tcW w:w="1300" w:type="dxa"/>
            <w:vAlign w:val="bottom"/>
            <w:shd w:val="clear" w:color="auto" w:fill="E5E5E5"/>
          </w:tcPr>
          <w:p>
            <w:pPr>
              <w:jc w:val="right"/>
              <w:ind w:right="181"/>
              <w:spacing w:after="0" w:line="183" w:lineRule="exact"/>
              <w:rPr>
                <w:sz w:val="20"/>
                <w:szCs w:val="20"/>
                <w:color w:val="auto"/>
              </w:rPr>
            </w:pPr>
            <w:r>
              <w:rPr>
                <w:rFonts w:ascii="Arial" w:cs="Arial" w:eastAsia="Arial" w:hAnsi="Arial"/>
                <w:sz w:val="16"/>
                <w:szCs w:val="16"/>
                <w:color w:val="auto"/>
              </w:rPr>
              <w:t>$3,640,000</w:t>
            </w:r>
          </w:p>
        </w:tc>
        <w:tc>
          <w:tcPr>
            <w:tcW w:w="1280" w:type="dxa"/>
            <w:vAlign w:val="bottom"/>
            <w:shd w:val="clear" w:color="auto" w:fill="E5E5E5"/>
          </w:tcPr>
          <w:p>
            <w:pPr>
              <w:jc w:val="right"/>
              <w:ind w:right="42"/>
              <w:spacing w:after="0" w:line="183" w:lineRule="exact"/>
              <w:rPr>
                <w:sz w:val="20"/>
                <w:szCs w:val="20"/>
                <w:color w:val="auto"/>
              </w:rPr>
            </w:pPr>
            <w:r>
              <w:rPr>
                <w:rFonts w:ascii="Arial" w:cs="Arial" w:eastAsia="Arial" w:hAnsi="Arial"/>
                <w:sz w:val="16"/>
                <w:szCs w:val="16"/>
                <w:color w:val="auto"/>
              </w:rPr>
              <w:t>$9,100,000</w:t>
            </w:r>
          </w:p>
        </w:tc>
      </w:tr>
      <w:tr>
        <w:trPr>
          <w:trHeight w:val="189"/>
        </w:trPr>
        <w:tc>
          <w:tcPr>
            <w:tcW w:w="4320" w:type="dxa"/>
            <w:vAlign w:val="bottom"/>
          </w:tcPr>
          <w:p>
            <w:pPr>
              <w:ind w:left="60"/>
              <w:spacing w:after="0"/>
              <w:rPr>
                <w:sz w:val="20"/>
                <w:szCs w:val="20"/>
                <w:color w:val="auto"/>
              </w:rPr>
            </w:pPr>
            <w:r>
              <w:rPr>
                <w:rFonts w:ascii="Arial" w:cs="Arial" w:eastAsia="Arial" w:hAnsi="Arial"/>
                <w:sz w:val="16"/>
                <w:szCs w:val="16"/>
                <w:color w:val="auto"/>
              </w:rPr>
              <w:t>Rajiv Malik</w:t>
            </w:r>
          </w:p>
        </w:tc>
        <w:tc>
          <w:tcPr>
            <w:tcW w:w="4120" w:type="dxa"/>
            <w:vAlign w:val="bottom"/>
          </w:tcPr>
          <w:p>
            <w:pPr>
              <w:jc w:val="right"/>
              <w:ind w:right="161"/>
              <w:spacing w:after="0"/>
              <w:rPr>
                <w:sz w:val="20"/>
                <w:szCs w:val="20"/>
                <w:color w:val="auto"/>
              </w:rPr>
            </w:pPr>
            <w:r>
              <w:rPr>
                <w:rFonts w:ascii="Arial" w:cs="Arial" w:eastAsia="Arial" w:hAnsi="Arial"/>
                <w:sz w:val="16"/>
                <w:szCs w:val="16"/>
                <w:color w:val="auto"/>
              </w:rPr>
              <w:t>$4,320,000</w:t>
            </w:r>
          </w:p>
        </w:tc>
        <w:tc>
          <w:tcPr>
            <w:tcW w:w="1300" w:type="dxa"/>
            <w:vAlign w:val="bottom"/>
          </w:tcPr>
          <w:p>
            <w:pPr>
              <w:jc w:val="right"/>
              <w:ind w:right="181"/>
              <w:spacing w:after="0"/>
              <w:rPr>
                <w:sz w:val="20"/>
                <w:szCs w:val="20"/>
                <w:color w:val="auto"/>
              </w:rPr>
            </w:pPr>
            <w:r>
              <w:rPr>
                <w:rFonts w:ascii="Arial" w:cs="Arial" w:eastAsia="Arial" w:hAnsi="Arial"/>
                <w:sz w:val="16"/>
                <w:szCs w:val="16"/>
                <w:color w:val="auto"/>
              </w:rPr>
              <w:t>$2,880,000</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$7,200,000</w:t>
            </w:r>
          </w:p>
        </w:tc>
      </w:tr>
      <w:tr>
        <w:trPr>
          <w:trHeight w:val="189"/>
        </w:trPr>
        <w:tc>
          <w:tcPr>
            <w:tcW w:w="4320" w:type="dxa"/>
            <w:vAlign w:val="bottom"/>
            <w:shd w:val="clear" w:color="auto" w:fill="E5E5E5"/>
          </w:tcPr>
          <w:p>
            <w:pPr>
              <w:ind w:left="60"/>
              <w:spacing w:after="0"/>
              <w:rPr>
                <w:sz w:val="20"/>
                <w:szCs w:val="20"/>
                <w:color w:val="auto"/>
              </w:rPr>
            </w:pPr>
            <w:r>
              <w:rPr>
                <w:rFonts w:ascii="Arial" w:cs="Arial" w:eastAsia="Arial" w:hAnsi="Arial"/>
                <w:sz w:val="16"/>
                <w:szCs w:val="16"/>
                <w:color w:val="auto"/>
              </w:rPr>
              <w:t>Sanjeev Narula</w:t>
            </w:r>
          </w:p>
        </w:tc>
        <w:tc>
          <w:tcPr>
            <w:tcW w:w="4120" w:type="dxa"/>
            <w:vAlign w:val="bottom"/>
            <w:shd w:val="clear" w:color="auto" w:fill="E5E5E5"/>
          </w:tcPr>
          <w:p>
            <w:pPr>
              <w:jc w:val="right"/>
              <w:ind w:right="161"/>
              <w:spacing w:after="0"/>
              <w:rPr>
                <w:sz w:val="20"/>
                <w:szCs w:val="20"/>
                <w:color w:val="auto"/>
              </w:rPr>
            </w:pPr>
            <w:r>
              <w:rPr>
                <w:rFonts w:ascii="Arial" w:cs="Arial" w:eastAsia="Arial" w:hAnsi="Arial"/>
                <w:sz w:val="16"/>
                <w:szCs w:val="16"/>
                <w:color w:val="auto"/>
              </w:rPr>
              <w:t>$1,680,000</w:t>
            </w:r>
          </w:p>
        </w:tc>
        <w:tc>
          <w:tcPr>
            <w:tcW w:w="1300" w:type="dxa"/>
            <w:vAlign w:val="bottom"/>
            <w:shd w:val="clear" w:color="auto" w:fill="E5E5E5"/>
          </w:tcPr>
          <w:p>
            <w:pPr>
              <w:jc w:val="right"/>
              <w:ind w:right="181"/>
              <w:spacing w:after="0"/>
              <w:rPr>
                <w:sz w:val="20"/>
                <w:szCs w:val="20"/>
                <w:color w:val="auto"/>
              </w:rPr>
            </w:pPr>
            <w:r>
              <w:rPr>
                <w:rFonts w:ascii="Arial" w:cs="Arial" w:eastAsia="Arial" w:hAnsi="Arial"/>
                <w:sz w:val="16"/>
                <w:szCs w:val="16"/>
                <w:color w:val="auto"/>
              </w:rPr>
              <w:t>$1,120,000</w:t>
            </w:r>
          </w:p>
        </w:tc>
        <w:tc>
          <w:tcPr>
            <w:tcW w:w="1280" w:type="dxa"/>
            <w:vAlign w:val="bottom"/>
            <w:shd w:val="clear" w:color="auto" w:fill="E5E5E5"/>
          </w:tcPr>
          <w:p>
            <w:pPr>
              <w:jc w:val="right"/>
              <w:ind w:right="42"/>
              <w:spacing w:after="0"/>
              <w:rPr>
                <w:sz w:val="20"/>
                <w:szCs w:val="20"/>
                <w:color w:val="auto"/>
              </w:rPr>
            </w:pPr>
            <w:r>
              <w:rPr>
                <w:rFonts w:ascii="Arial" w:cs="Arial" w:eastAsia="Arial" w:hAnsi="Arial"/>
                <w:sz w:val="16"/>
                <w:szCs w:val="16"/>
                <w:color w:val="auto"/>
              </w:rPr>
              <w:t>$2,800,000</w:t>
            </w:r>
          </w:p>
        </w:tc>
      </w:tr>
      <w:tr>
        <w:trPr>
          <w:trHeight w:val="189"/>
        </w:trPr>
        <w:tc>
          <w:tcPr>
            <w:tcW w:w="4320" w:type="dxa"/>
            <w:vAlign w:val="bottom"/>
          </w:tcPr>
          <w:p>
            <w:pPr>
              <w:ind w:left="60"/>
              <w:spacing w:after="0"/>
              <w:rPr>
                <w:sz w:val="20"/>
                <w:szCs w:val="20"/>
                <w:color w:val="auto"/>
              </w:rPr>
            </w:pPr>
            <w:r>
              <w:rPr>
                <w:rFonts w:ascii="Arial" w:cs="Arial" w:eastAsia="Arial" w:hAnsi="Arial"/>
                <w:sz w:val="16"/>
                <w:szCs w:val="16"/>
                <w:color w:val="auto"/>
              </w:rPr>
              <w:t>Anthony Mauro</w:t>
            </w:r>
          </w:p>
        </w:tc>
        <w:tc>
          <w:tcPr>
            <w:tcW w:w="4120" w:type="dxa"/>
            <w:vAlign w:val="bottom"/>
          </w:tcPr>
          <w:p>
            <w:pPr>
              <w:jc w:val="right"/>
              <w:ind w:right="161"/>
              <w:spacing w:after="0"/>
              <w:rPr>
                <w:sz w:val="20"/>
                <w:szCs w:val="20"/>
                <w:color w:val="auto"/>
              </w:rPr>
            </w:pPr>
            <w:r>
              <w:rPr>
                <w:rFonts w:ascii="Arial" w:cs="Arial" w:eastAsia="Arial" w:hAnsi="Arial"/>
                <w:sz w:val="16"/>
                <w:szCs w:val="16"/>
                <w:color w:val="auto"/>
              </w:rPr>
              <w:t>$1,920,000</w:t>
            </w:r>
          </w:p>
        </w:tc>
        <w:tc>
          <w:tcPr>
            <w:tcW w:w="1300" w:type="dxa"/>
            <w:vAlign w:val="bottom"/>
          </w:tcPr>
          <w:p>
            <w:pPr>
              <w:jc w:val="right"/>
              <w:ind w:right="181"/>
              <w:spacing w:after="0"/>
              <w:rPr>
                <w:sz w:val="20"/>
                <w:szCs w:val="20"/>
                <w:color w:val="auto"/>
              </w:rPr>
            </w:pPr>
            <w:r>
              <w:rPr>
                <w:rFonts w:ascii="Arial" w:cs="Arial" w:eastAsia="Arial" w:hAnsi="Arial"/>
                <w:sz w:val="16"/>
                <w:szCs w:val="16"/>
                <w:color w:val="auto"/>
              </w:rPr>
              <w:t>$1,280,000</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$3,200,000</w:t>
            </w:r>
          </w:p>
        </w:tc>
      </w:tr>
      <w:tr>
        <w:trPr>
          <w:trHeight w:val="189"/>
        </w:trPr>
        <w:tc>
          <w:tcPr>
            <w:tcW w:w="432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color w:val="auto"/>
              </w:rPr>
              <w:t>Robert J. Coury</w:t>
            </w:r>
          </w:p>
        </w:tc>
        <w:tc>
          <w:tcPr>
            <w:tcW w:w="4120" w:type="dxa"/>
            <w:vAlign w:val="bottom"/>
            <w:tcBorders>
              <w:bottom w:val="single" w:sz="8" w:color="732282"/>
            </w:tcBorders>
            <w:shd w:val="clear" w:color="auto" w:fill="E5E5E5"/>
          </w:tcPr>
          <w:p>
            <w:pPr>
              <w:jc w:val="right"/>
              <w:ind w:right="161"/>
              <w:spacing w:after="0"/>
              <w:rPr>
                <w:sz w:val="20"/>
                <w:szCs w:val="20"/>
                <w:color w:val="auto"/>
              </w:rPr>
            </w:pPr>
            <w:r>
              <w:rPr>
                <w:rFonts w:ascii="Arial" w:cs="Arial" w:eastAsia="Arial" w:hAnsi="Arial"/>
                <w:sz w:val="16"/>
                <w:szCs w:val="16"/>
                <w:color w:val="auto"/>
              </w:rPr>
              <w:t>$6,480,000</w:t>
            </w:r>
          </w:p>
        </w:tc>
        <w:tc>
          <w:tcPr>
            <w:tcW w:w="1300" w:type="dxa"/>
            <w:vAlign w:val="bottom"/>
            <w:tcBorders>
              <w:bottom w:val="single" w:sz="8" w:color="732282"/>
            </w:tcBorders>
            <w:shd w:val="clear" w:color="auto" w:fill="E5E5E5"/>
          </w:tcPr>
          <w:p>
            <w:pPr>
              <w:jc w:val="right"/>
              <w:ind w:right="181"/>
              <w:spacing w:after="0"/>
              <w:rPr>
                <w:sz w:val="20"/>
                <w:szCs w:val="20"/>
                <w:color w:val="auto"/>
              </w:rPr>
            </w:pPr>
            <w:r>
              <w:rPr>
                <w:rFonts w:ascii="Arial" w:cs="Arial" w:eastAsia="Arial" w:hAnsi="Arial"/>
                <w:sz w:val="16"/>
                <w:szCs w:val="16"/>
                <w:color w:val="auto"/>
              </w:rPr>
              <w:t>$4,320,000</w:t>
            </w:r>
          </w:p>
        </w:tc>
        <w:tc>
          <w:tcPr>
            <w:tcW w:w="1280" w:type="dxa"/>
            <w:vAlign w:val="bottom"/>
            <w:tcBorders>
              <w:bottom w:val="single" w:sz="8" w:color="732282"/>
            </w:tcBorders>
            <w:shd w:val="clear" w:color="auto" w:fill="E5E5E5"/>
          </w:tcPr>
          <w:p>
            <w:pPr>
              <w:jc w:val="right"/>
              <w:ind w:right="42"/>
              <w:spacing w:after="0"/>
              <w:rPr>
                <w:sz w:val="20"/>
                <w:szCs w:val="20"/>
                <w:color w:val="auto"/>
              </w:rPr>
            </w:pPr>
            <w:r>
              <w:rPr>
                <w:rFonts w:ascii="Arial" w:cs="Arial" w:eastAsia="Arial" w:hAnsi="Arial"/>
                <w:sz w:val="16"/>
                <w:szCs w:val="16"/>
                <w:color w:val="auto"/>
              </w:rPr>
              <w:t>$10,800,000</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2021 Three-Year PRSU Performance Metrics</w:t>
      </w:r>
    </w:p>
    <w:p>
      <w:pPr>
        <w:spacing w:after="0" w:line="129"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The 2021 grant of PRSUs was subject to Free Cash Flow and Gross Leverage Ratio metrics weighted at 60% and 40%, respectively, and one relative market performance metric (i.e., relative TSR), which is used as a modifier to determine the final payout percentage, as described below. The Free Cash Flow metric</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86"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incentivizes effective use of Viatris’ capital to drive cash flow generation, and the Gross Leverage Ratio performance metric further reinforces prudent balance sheet management. Each of these incentivized behaviors is closely aligned with our efforts to drive a durable and sustainable business. In addition, the relative TSR modifier impacts executive pay based on Viatris’ performance as compared to industry competitors.</w:t>
      </w:r>
    </w:p>
    <w:p>
      <w:pPr>
        <w:spacing w:after="0" w:line="201" w:lineRule="exact"/>
        <w:rPr>
          <w:sz w:val="20"/>
          <w:szCs w:val="20"/>
          <w:color w:val="auto"/>
        </w:rPr>
      </w:pPr>
    </w:p>
    <w:p>
      <w:pPr>
        <w:jc w:val="both"/>
        <w:ind w:left="120"/>
        <w:spacing w:after="0" w:line="250" w:lineRule="auto"/>
        <w:rPr>
          <w:sz w:val="20"/>
          <w:szCs w:val="20"/>
          <w:color w:val="auto"/>
        </w:rPr>
      </w:pPr>
      <w:r>
        <w:rPr>
          <w:rFonts w:ascii="Arial" w:cs="Arial" w:eastAsia="Arial" w:hAnsi="Arial"/>
          <w:sz w:val="16"/>
          <w:szCs w:val="16"/>
          <w:color w:val="auto"/>
        </w:rPr>
        <w:t>As shown in the table below, payouts under the 2021 PRSUs will be determined in two steps. First, in 2024, the outcome of the Free Cash Flow and Gross Leverage Ratio metrics will be assessed, resulting in an initial payout percentage of 50% for threshold performance (with 0% payout for below threshold performance) up to 150% for maximum performance, with linear interpolation for achievement between threshold and maximum. Second, the relative TSR metric will be applied as a modifier to the initial payout percentage, decreasing it by 30%, leaving it unaffected, or increasing it by 30%, in order to calculate the final payout percentage.</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540" w:type="dxa"/>
            <w:vAlign w:val="bottom"/>
            <w:tcBorders>
              <w:bottom w:val="single" w:sz="8" w:color="732282"/>
            </w:tcBorders>
          </w:tcPr>
          <w:p>
            <w:pPr>
              <w:ind w:left="60"/>
              <w:spacing w:after="0"/>
              <w:rPr>
                <w:sz w:val="20"/>
                <w:szCs w:val="20"/>
                <w:color w:val="auto"/>
              </w:rPr>
            </w:pPr>
            <w:r>
              <w:rPr>
                <w:rFonts w:ascii="Arial" w:cs="Arial" w:eastAsia="Arial" w:hAnsi="Arial"/>
                <w:sz w:val="14"/>
                <w:szCs w:val="14"/>
                <w:b w:val="1"/>
                <w:bCs w:val="1"/>
                <w:color w:val="732282"/>
              </w:rPr>
              <w:t>Metric</w:t>
            </w:r>
          </w:p>
        </w:tc>
        <w:tc>
          <w:tcPr>
            <w:tcW w:w="1760" w:type="dxa"/>
            <w:vAlign w:val="bottom"/>
            <w:tcBorders>
              <w:bottom w:val="single" w:sz="8" w:color="732282"/>
            </w:tcBorders>
          </w:tcPr>
          <w:p>
            <w:pPr>
              <w:jc w:val="center"/>
              <w:ind w:left="641"/>
              <w:spacing w:after="0"/>
              <w:rPr>
                <w:sz w:val="20"/>
                <w:szCs w:val="20"/>
                <w:color w:val="auto"/>
              </w:rPr>
            </w:pPr>
            <w:r>
              <w:rPr>
                <w:rFonts w:ascii="Arial" w:cs="Arial" w:eastAsia="Arial" w:hAnsi="Arial"/>
                <w:sz w:val="14"/>
                <w:szCs w:val="14"/>
                <w:b w:val="1"/>
                <w:bCs w:val="1"/>
                <w:color w:val="732282"/>
              </w:rPr>
              <w:t>Weighting</w:t>
            </w:r>
          </w:p>
        </w:tc>
        <w:tc>
          <w:tcPr>
            <w:tcW w:w="1900" w:type="dxa"/>
            <w:vAlign w:val="bottom"/>
            <w:tcBorders>
              <w:bottom w:val="single" w:sz="8" w:color="732282"/>
            </w:tcBorders>
          </w:tcPr>
          <w:p>
            <w:pPr>
              <w:jc w:val="center"/>
              <w:spacing w:after="0"/>
              <w:rPr>
                <w:sz w:val="20"/>
                <w:szCs w:val="20"/>
                <w:color w:val="auto"/>
              </w:rPr>
            </w:pPr>
            <w:r>
              <w:rPr>
                <w:rFonts w:ascii="Arial" w:cs="Arial" w:eastAsia="Arial" w:hAnsi="Arial"/>
                <w:sz w:val="14"/>
                <w:szCs w:val="14"/>
                <w:b w:val="1"/>
                <w:bCs w:val="1"/>
                <w:color w:val="732282"/>
              </w:rPr>
              <w:t>Threshold</w:t>
            </w:r>
          </w:p>
        </w:tc>
        <w:tc>
          <w:tcPr>
            <w:tcW w:w="1980" w:type="dxa"/>
            <w:vAlign w:val="bottom"/>
            <w:tcBorders>
              <w:bottom w:val="single" w:sz="8" w:color="732282"/>
            </w:tcBorders>
          </w:tcPr>
          <w:p>
            <w:pPr>
              <w:jc w:val="center"/>
              <w:spacing w:after="0"/>
              <w:rPr>
                <w:sz w:val="20"/>
                <w:szCs w:val="20"/>
                <w:color w:val="auto"/>
              </w:rPr>
            </w:pPr>
            <w:r>
              <w:rPr>
                <w:rFonts w:ascii="Arial" w:cs="Arial" w:eastAsia="Arial" w:hAnsi="Arial"/>
                <w:sz w:val="14"/>
                <w:szCs w:val="14"/>
                <w:b w:val="1"/>
                <w:bCs w:val="1"/>
                <w:color w:val="732282"/>
              </w:rPr>
              <w:t>Target</w:t>
            </w:r>
          </w:p>
        </w:tc>
        <w:tc>
          <w:tcPr>
            <w:tcW w:w="1840" w:type="dxa"/>
            <w:vAlign w:val="bottom"/>
            <w:tcBorders>
              <w:bottom w:val="single" w:sz="8" w:color="732282"/>
            </w:tcBorders>
          </w:tcPr>
          <w:p>
            <w:pPr>
              <w:jc w:val="center"/>
              <w:spacing w:after="0"/>
              <w:rPr>
                <w:sz w:val="20"/>
                <w:szCs w:val="20"/>
                <w:color w:val="auto"/>
              </w:rPr>
            </w:pPr>
            <w:r>
              <w:rPr>
                <w:rFonts w:ascii="Arial" w:cs="Arial" w:eastAsia="Arial" w:hAnsi="Arial"/>
                <w:sz w:val="14"/>
                <w:szCs w:val="14"/>
                <w:b w:val="1"/>
                <w:bCs w:val="1"/>
                <w:color w:val="732282"/>
              </w:rPr>
              <w:t>Maximum</w:t>
            </w:r>
          </w:p>
        </w:tc>
      </w:tr>
      <w:tr>
        <w:trPr>
          <w:trHeight w:val="183"/>
        </w:trPr>
        <w:tc>
          <w:tcPr>
            <w:tcW w:w="3540" w:type="dxa"/>
            <w:vAlign w:val="bottom"/>
            <w:shd w:val="clear" w:color="auto" w:fill="E5E5E5"/>
          </w:tcPr>
          <w:p>
            <w:pPr>
              <w:ind w:left="60"/>
              <w:spacing w:after="0" w:line="183" w:lineRule="exact"/>
              <w:rPr>
                <w:sz w:val="20"/>
                <w:szCs w:val="20"/>
                <w:color w:val="auto"/>
              </w:rPr>
            </w:pPr>
            <w:r>
              <w:rPr>
                <w:rFonts w:ascii="Arial" w:cs="Arial" w:eastAsia="Arial" w:hAnsi="Arial"/>
                <w:sz w:val="16"/>
                <w:szCs w:val="16"/>
                <w:color w:val="auto"/>
              </w:rPr>
              <w:t>Free Cash Flow*</w:t>
            </w:r>
          </w:p>
        </w:tc>
        <w:tc>
          <w:tcPr>
            <w:tcW w:w="1760" w:type="dxa"/>
            <w:vAlign w:val="bottom"/>
            <w:shd w:val="clear" w:color="auto" w:fill="E5E5E5"/>
          </w:tcPr>
          <w:p>
            <w:pPr>
              <w:jc w:val="center"/>
              <w:ind w:left="641"/>
              <w:spacing w:after="0" w:line="183" w:lineRule="exact"/>
              <w:rPr>
                <w:sz w:val="20"/>
                <w:szCs w:val="20"/>
                <w:color w:val="auto"/>
              </w:rPr>
            </w:pPr>
            <w:r>
              <w:rPr>
                <w:rFonts w:ascii="Arial" w:cs="Arial" w:eastAsia="Arial" w:hAnsi="Arial"/>
                <w:sz w:val="16"/>
                <w:szCs w:val="16"/>
                <w:color w:val="auto"/>
                <w:w w:val="99"/>
              </w:rPr>
              <w:t>60%</w:t>
            </w:r>
          </w:p>
        </w:tc>
        <w:tc>
          <w:tcPr>
            <w:tcW w:w="1900" w:type="dxa"/>
            <w:vAlign w:val="bottom"/>
            <w:shd w:val="clear" w:color="auto" w:fill="E5E5E5"/>
          </w:tcPr>
          <w:p>
            <w:pPr>
              <w:jc w:val="center"/>
              <w:spacing w:after="0" w:line="183" w:lineRule="exact"/>
              <w:rPr>
                <w:sz w:val="20"/>
                <w:szCs w:val="20"/>
                <w:color w:val="auto"/>
              </w:rPr>
            </w:pPr>
            <w:r>
              <w:rPr>
                <w:rFonts w:ascii="Arial" w:cs="Arial" w:eastAsia="Arial" w:hAnsi="Arial"/>
                <w:sz w:val="16"/>
                <w:szCs w:val="16"/>
                <w:color w:val="auto"/>
              </w:rPr>
              <w:t>$6,500 million</w:t>
            </w:r>
          </w:p>
        </w:tc>
        <w:tc>
          <w:tcPr>
            <w:tcW w:w="1980" w:type="dxa"/>
            <w:vAlign w:val="bottom"/>
            <w:shd w:val="clear" w:color="auto" w:fill="E5E5E5"/>
          </w:tcPr>
          <w:p>
            <w:pPr>
              <w:jc w:val="center"/>
              <w:spacing w:after="0" w:line="183" w:lineRule="exact"/>
              <w:rPr>
                <w:sz w:val="20"/>
                <w:szCs w:val="20"/>
                <w:color w:val="auto"/>
              </w:rPr>
            </w:pPr>
            <w:r>
              <w:rPr>
                <w:rFonts w:ascii="Arial" w:cs="Arial" w:eastAsia="Arial" w:hAnsi="Arial"/>
                <w:sz w:val="16"/>
                <w:szCs w:val="16"/>
                <w:color w:val="auto"/>
              </w:rPr>
              <w:t>$7,500 million</w:t>
            </w:r>
          </w:p>
        </w:tc>
        <w:tc>
          <w:tcPr>
            <w:tcW w:w="1840" w:type="dxa"/>
            <w:vAlign w:val="bottom"/>
            <w:shd w:val="clear" w:color="auto" w:fill="E5E5E5"/>
          </w:tcPr>
          <w:p>
            <w:pPr>
              <w:jc w:val="center"/>
              <w:ind w:left="1"/>
              <w:spacing w:after="0" w:line="183" w:lineRule="exact"/>
              <w:rPr>
                <w:sz w:val="20"/>
                <w:szCs w:val="20"/>
                <w:color w:val="auto"/>
              </w:rPr>
            </w:pPr>
            <w:r>
              <w:rPr>
                <w:rFonts w:ascii="Arial" w:cs="Arial" w:eastAsia="Arial" w:hAnsi="Arial"/>
                <w:sz w:val="16"/>
                <w:szCs w:val="16"/>
                <w:color w:val="auto"/>
              </w:rPr>
              <w:t>$8,500 million</w:t>
            </w:r>
          </w:p>
        </w:tc>
      </w:tr>
      <w:tr>
        <w:trPr>
          <w:trHeight w:val="189"/>
        </w:trPr>
        <w:tc>
          <w:tcPr>
            <w:tcW w:w="3540" w:type="dxa"/>
            <w:vAlign w:val="bottom"/>
          </w:tcPr>
          <w:p>
            <w:pPr>
              <w:ind w:left="60"/>
              <w:spacing w:after="0"/>
              <w:rPr>
                <w:sz w:val="20"/>
                <w:szCs w:val="20"/>
                <w:color w:val="auto"/>
              </w:rPr>
            </w:pPr>
            <w:r>
              <w:rPr>
                <w:rFonts w:ascii="Arial" w:cs="Arial" w:eastAsia="Arial" w:hAnsi="Arial"/>
                <w:sz w:val="16"/>
                <w:szCs w:val="16"/>
                <w:color w:val="auto"/>
              </w:rPr>
              <w:t>Gross Leverage Ratio**</w:t>
            </w:r>
          </w:p>
        </w:tc>
        <w:tc>
          <w:tcPr>
            <w:tcW w:w="1760" w:type="dxa"/>
            <w:vAlign w:val="bottom"/>
          </w:tcPr>
          <w:p>
            <w:pPr>
              <w:jc w:val="center"/>
              <w:ind w:left="641"/>
              <w:spacing w:after="0"/>
              <w:rPr>
                <w:sz w:val="20"/>
                <w:szCs w:val="20"/>
                <w:color w:val="auto"/>
              </w:rPr>
            </w:pPr>
            <w:r>
              <w:rPr>
                <w:rFonts w:ascii="Arial" w:cs="Arial" w:eastAsia="Arial" w:hAnsi="Arial"/>
                <w:sz w:val="16"/>
                <w:szCs w:val="16"/>
                <w:color w:val="auto"/>
                <w:w w:val="99"/>
              </w:rPr>
              <w:t>40%</w:t>
            </w:r>
          </w:p>
        </w:tc>
        <w:tc>
          <w:tcPr>
            <w:tcW w:w="1900" w:type="dxa"/>
            <w:vAlign w:val="bottom"/>
          </w:tcPr>
          <w:p>
            <w:pPr>
              <w:jc w:val="center"/>
              <w:spacing w:after="0"/>
              <w:rPr>
                <w:sz w:val="20"/>
                <w:szCs w:val="20"/>
                <w:color w:val="auto"/>
              </w:rPr>
            </w:pPr>
            <w:r>
              <w:rPr>
                <w:rFonts w:ascii="Arial" w:cs="Arial" w:eastAsia="Arial" w:hAnsi="Arial"/>
                <w:sz w:val="16"/>
                <w:szCs w:val="16"/>
                <w:color w:val="auto"/>
              </w:rPr>
              <w:t>3.14x</w:t>
            </w:r>
          </w:p>
        </w:tc>
        <w:tc>
          <w:tcPr>
            <w:tcW w:w="1980" w:type="dxa"/>
            <w:vAlign w:val="bottom"/>
          </w:tcPr>
          <w:p>
            <w:pPr>
              <w:jc w:val="center"/>
              <w:spacing w:after="0"/>
              <w:rPr>
                <w:sz w:val="20"/>
                <w:szCs w:val="20"/>
                <w:color w:val="auto"/>
              </w:rPr>
            </w:pPr>
            <w:r>
              <w:rPr>
                <w:rFonts w:ascii="Arial" w:cs="Arial" w:eastAsia="Arial" w:hAnsi="Arial"/>
                <w:sz w:val="16"/>
                <w:szCs w:val="16"/>
                <w:color w:val="auto"/>
              </w:rPr>
              <w:t>2.99x</w:t>
            </w:r>
          </w:p>
        </w:tc>
        <w:tc>
          <w:tcPr>
            <w:tcW w:w="1840" w:type="dxa"/>
            <w:vAlign w:val="bottom"/>
          </w:tcPr>
          <w:p>
            <w:pPr>
              <w:jc w:val="center"/>
              <w:ind w:left="1"/>
              <w:spacing w:after="0"/>
              <w:rPr>
                <w:sz w:val="20"/>
                <w:szCs w:val="20"/>
                <w:color w:val="auto"/>
              </w:rPr>
            </w:pPr>
            <w:r>
              <w:rPr>
                <w:rFonts w:ascii="Arial" w:cs="Arial" w:eastAsia="Arial" w:hAnsi="Arial"/>
                <w:sz w:val="16"/>
                <w:szCs w:val="16"/>
                <w:color w:val="auto"/>
              </w:rPr>
              <w:t>2.84x</w:t>
            </w:r>
          </w:p>
        </w:tc>
      </w:tr>
      <w:tr>
        <w:trPr>
          <w:trHeight w:val="191"/>
        </w:trPr>
        <w:tc>
          <w:tcPr>
            <w:tcW w:w="3540" w:type="dxa"/>
            <w:vAlign w:val="bottom"/>
            <w:shd w:val="clear" w:color="auto" w:fill="E5E5E5"/>
          </w:tcPr>
          <w:p>
            <w:pPr>
              <w:ind w:left="60"/>
              <w:spacing w:after="0"/>
              <w:rPr>
                <w:sz w:val="20"/>
                <w:szCs w:val="20"/>
                <w:color w:val="auto"/>
              </w:rPr>
            </w:pPr>
            <w:r>
              <w:rPr>
                <w:rFonts w:ascii="Arial" w:cs="Arial" w:eastAsia="Arial" w:hAnsi="Arial"/>
                <w:sz w:val="16"/>
                <w:szCs w:val="16"/>
                <w:color w:val="auto"/>
              </w:rPr>
              <w:t>Relative TSR of Peer Group***</w:t>
            </w:r>
          </w:p>
        </w:tc>
        <w:tc>
          <w:tcPr>
            <w:tcW w:w="1760" w:type="dxa"/>
            <w:vAlign w:val="bottom"/>
            <w:shd w:val="clear" w:color="auto" w:fill="E5E5E5"/>
          </w:tcPr>
          <w:p>
            <w:pPr>
              <w:jc w:val="center"/>
              <w:ind w:left="641"/>
              <w:spacing w:after="0"/>
              <w:rPr>
                <w:sz w:val="20"/>
                <w:szCs w:val="20"/>
                <w:color w:val="auto"/>
              </w:rPr>
            </w:pPr>
            <w:r>
              <w:rPr>
                <w:rFonts w:ascii="Arial" w:cs="Arial" w:eastAsia="Arial" w:hAnsi="Arial"/>
                <w:sz w:val="16"/>
                <w:szCs w:val="16"/>
                <w:color w:val="auto"/>
                <w:w w:val="99"/>
              </w:rPr>
              <w:t>Multiplier</w:t>
            </w:r>
          </w:p>
        </w:tc>
        <w:tc>
          <w:tcPr>
            <w:tcW w:w="19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At or Below</w:t>
            </w:r>
          </w:p>
        </w:tc>
        <w:tc>
          <w:tcPr>
            <w:tcW w:w="1980" w:type="dxa"/>
            <w:vAlign w:val="bottom"/>
            <w:shd w:val="clear" w:color="auto" w:fill="E5E5E5"/>
          </w:tcPr>
          <w:p>
            <w:pPr>
              <w:jc w:val="center"/>
              <w:spacing w:after="0" w:line="191" w:lineRule="exact"/>
              <w:rPr>
                <w:sz w:val="20"/>
                <w:szCs w:val="20"/>
                <w:color w:val="auto"/>
              </w:rPr>
            </w:pPr>
            <w:r>
              <w:rPr>
                <w:rFonts w:ascii="Arial" w:cs="Arial" w:eastAsia="Arial" w:hAnsi="Arial"/>
                <w:sz w:val="16"/>
                <w:szCs w:val="16"/>
                <w:color w:val="auto"/>
              </w:rPr>
              <w:t>Between 25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and</w:t>
            </w:r>
          </w:p>
        </w:tc>
        <w:tc>
          <w:tcPr>
            <w:tcW w:w="1840" w:type="dxa"/>
            <w:vAlign w:val="bottom"/>
            <w:shd w:val="clear" w:color="auto" w:fill="E5E5E5"/>
          </w:tcPr>
          <w:p>
            <w:pPr>
              <w:jc w:val="center"/>
              <w:ind w:left="1"/>
              <w:spacing w:after="0"/>
              <w:rPr>
                <w:sz w:val="20"/>
                <w:szCs w:val="20"/>
                <w:color w:val="auto"/>
              </w:rPr>
            </w:pPr>
            <w:r>
              <w:rPr>
                <w:rFonts w:ascii="Arial" w:cs="Arial" w:eastAsia="Arial" w:hAnsi="Arial"/>
                <w:sz w:val="16"/>
                <w:szCs w:val="16"/>
                <w:color w:val="auto"/>
              </w:rPr>
              <w:t>At or Above</w:t>
            </w:r>
          </w:p>
        </w:tc>
      </w:tr>
      <w:tr>
        <w:trPr>
          <w:trHeight w:val="189"/>
        </w:trPr>
        <w:tc>
          <w:tcPr>
            <w:tcW w:w="3540" w:type="dxa"/>
            <w:vAlign w:val="bottom"/>
            <w:shd w:val="clear" w:color="auto" w:fill="E5E5E5"/>
          </w:tcPr>
          <w:p>
            <w:pPr>
              <w:spacing w:after="0"/>
              <w:rPr>
                <w:sz w:val="16"/>
                <w:szCs w:val="16"/>
                <w:color w:val="auto"/>
              </w:rPr>
            </w:pPr>
          </w:p>
        </w:tc>
        <w:tc>
          <w:tcPr>
            <w:tcW w:w="1760" w:type="dxa"/>
            <w:vAlign w:val="bottom"/>
            <w:shd w:val="clear" w:color="auto" w:fill="E5E5E5"/>
          </w:tcPr>
          <w:p>
            <w:pPr>
              <w:spacing w:after="0"/>
              <w:rPr>
                <w:sz w:val="16"/>
                <w:szCs w:val="16"/>
                <w:color w:val="auto"/>
              </w:rPr>
            </w:pPr>
          </w:p>
        </w:tc>
        <w:tc>
          <w:tcPr>
            <w:tcW w:w="1900" w:type="dxa"/>
            <w:vAlign w:val="bottom"/>
            <w:shd w:val="clear" w:color="auto" w:fill="E5E5E5"/>
          </w:tcPr>
          <w:p>
            <w:pPr>
              <w:jc w:val="center"/>
              <w:spacing w:after="0" w:line="189" w:lineRule="exact"/>
              <w:rPr>
                <w:sz w:val="20"/>
                <w:szCs w:val="20"/>
                <w:color w:val="auto"/>
              </w:rPr>
            </w:pPr>
            <w:r>
              <w:rPr>
                <w:rFonts w:ascii="Arial" w:cs="Arial" w:eastAsia="Arial" w:hAnsi="Arial"/>
                <w:sz w:val="16"/>
                <w:szCs w:val="16"/>
                <w:color w:val="auto"/>
                <w:w w:val="99"/>
              </w:rPr>
              <w:t>25</w:t>
            </w:r>
            <w:r>
              <w:rPr>
                <w:rFonts w:ascii="Arial" w:cs="Arial" w:eastAsia="Arial" w:hAnsi="Arial"/>
                <w:sz w:val="21"/>
                <w:szCs w:val="21"/>
                <w:color w:val="auto"/>
                <w:w w:val="99"/>
                <w:vertAlign w:val="superscript"/>
              </w:rPr>
              <w:t>th</w:t>
            </w:r>
            <w:r>
              <w:rPr>
                <w:rFonts w:ascii="Arial" w:cs="Arial" w:eastAsia="Arial" w:hAnsi="Arial"/>
                <w:sz w:val="16"/>
                <w:szCs w:val="16"/>
                <w:color w:val="auto"/>
                <w:w w:val="99"/>
              </w:rPr>
              <w:t xml:space="preserve"> Percentile of Peer</w:t>
            </w:r>
          </w:p>
        </w:tc>
        <w:tc>
          <w:tcPr>
            <w:tcW w:w="1980" w:type="dxa"/>
            <w:vAlign w:val="bottom"/>
            <w:shd w:val="clear" w:color="auto" w:fill="E5E5E5"/>
          </w:tcPr>
          <w:p>
            <w:pPr>
              <w:jc w:val="center"/>
              <w:spacing w:after="0" w:line="189" w:lineRule="exact"/>
              <w:rPr>
                <w:sz w:val="20"/>
                <w:szCs w:val="20"/>
                <w:color w:val="auto"/>
              </w:rPr>
            </w:pPr>
            <w:r>
              <w:rPr>
                <w:rFonts w:ascii="Arial" w:cs="Arial" w:eastAsia="Arial" w:hAnsi="Arial"/>
                <w:sz w:val="16"/>
                <w:szCs w:val="16"/>
                <w:color w:val="auto"/>
                <w:w w:val="99"/>
              </w:rPr>
              <w:t>75</w:t>
            </w:r>
            <w:r>
              <w:rPr>
                <w:rFonts w:ascii="Arial" w:cs="Arial" w:eastAsia="Arial" w:hAnsi="Arial"/>
                <w:sz w:val="21"/>
                <w:szCs w:val="21"/>
                <w:color w:val="auto"/>
                <w:w w:val="99"/>
                <w:vertAlign w:val="superscript"/>
              </w:rPr>
              <w:t>th</w:t>
            </w:r>
            <w:r>
              <w:rPr>
                <w:rFonts w:ascii="Arial" w:cs="Arial" w:eastAsia="Arial" w:hAnsi="Arial"/>
                <w:sz w:val="16"/>
                <w:szCs w:val="16"/>
                <w:color w:val="auto"/>
                <w:w w:val="99"/>
              </w:rPr>
              <w:t xml:space="preserve"> Percentiles of Peer</w:t>
            </w:r>
          </w:p>
        </w:tc>
        <w:tc>
          <w:tcPr>
            <w:tcW w:w="1840" w:type="dxa"/>
            <w:vAlign w:val="bottom"/>
            <w:shd w:val="clear" w:color="auto" w:fill="E5E5E5"/>
          </w:tcPr>
          <w:p>
            <w:pPr>
              <w:jc w:val="center"/>
              <w:ind w:left="1"/>
              <w:spacing w:after="0" w:line="189" w:lineRule="exact"/>
              <w:rPr>
                <w:sz w:val="20"/>
                <w:szCs w:val="20"/>
                <w:color w:val="auto"/>
              </w:rPr>
            </w:pPr>
            <w:r>
              <w:rPr>
                <w:rFonts w:ascii="Arial" w:cs="Arial" w:eastAsia="Arial" w:hAnsi="Arial"/>
                <w:sz w:val="16"/>
                <w:szCs w:val="16"/>
                <w:color w:val="auto"/>
                <w:w w:val="99"/>
              </w:rPr>
              <w:t>75</w:t>
            </w:r>
            <w:r>
              <w:rPr>
                <w:rFonts w:ascii="Arial" w:cs="Arial" w:eastAsia="Arial" w:hAnsi="Arial"/>
                <w:sz w:val="21"/>
                <w:szCs w:val="21"/>
                <w:color w:val="auto"/>
                <w:w w:val="99"/>
                <w:vertAlign w:val="superscript"/>
              </w:rPr>
              <w:t>th</w:t>
            </w:r>
            <w:r>
              <w:rPr>
                <w:rFonts w:ascii="Arial" w:cs="Arial" w:eastAsia="Arial" w:hAnsi="Arial"/>
                <w:sz w:val="16"/>
                <w:szCs w:val="16"/>
                <w:color w:val="auto"/>
                <w:w w:val="99"/>
              </w:rPr>
              <w:t xml:space="preserve"> Percentile of Peer</w:t>
            </w:r>
          </w:p>
        </w:tc>
      </w:tr>
      <w:tr>
        <w:trPr>
          <w:trHeight w:val="187"/>
        </w:trPr>
        <w:tc>
          <w:tcPr>
            <w:tcW w:w="3540" w:type="dxa"/>
            <w:vAlign w:val="bottom"/>
            <w:shd w:val="clear" w:color="auto" w:fill="E5E5E5"/>
          </w:tcPr>
          <w:p>
            <w:pPr>
              <w:spacing w:after="0"/>
              <w:rPr>
                <w:sz w:val="16"/>
                <w:szCs w:val="16"/>
                <w:color w:val="auto"/>
              </w:rPr>
            </w:pPr>
          </w:p>
        </w:tc>
        <w:tc>
          <w:tcPr>
            <w:tcW w:w="1760" w:type="dxa"/>
            <w:vAlign w:val="bottom"/>
            <w:shd w:val="clear" w:color="auto" w:fill="E5E5E5"/>
          </w:tcPr>
          <w:p>
            <w:pPr>
              <w:spacing w:after="0"/>
              <w:rPr>
                <w:sz w:val="16"/>
                <w:szCs w:val="16"/>
                <w:color w:val="auto"/>
              </w:rPr>
            </w:pPr>
          </w:p>
        </w:tc>
        <w:tc>
          <w:tcPr>
            <w:tcW w:w="190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8"/>
              </w:rPr>
              <w:t>Group</w:t>
            </w:r>
          </w:p>
        </w:tc>
        <w:tc>
          <w:tcPr>
            <w:tcW w:w="198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8"/>
              </w:rPr>
              <w:t>Group</w:t>
            </w:r>
          </w:p>
        </w:tc>
        <w:tc>
          <w:tcPr>
            <w:tcW w:w="18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Group</w:t>
            </w:r>
          </w:p>
        </w:tc>
      </w:tr>
      <w:tr>
        <w:trPr>
          <w:trHeight w:val="197"/>
        </w:trPr>
        <w:tc>
          <w:tcPr>
            <w:tcW w:w="3540" w:type="dxa"/>
            <w:vAlign w:val="bottom"/>
          </w:tcPr>
          <w:p>
            <w:pPr>
              <w:ind w:left="60"/>
              <w:spacing w:after="0"/>
              <w:rPr>
                <w:sz w:val="20"/>
                <w:szCs w:val="20"/>
                <w:color w:val="auto"/>
              </w:rPr>
            </w:pPr>
            <w:r>
              <w:rPr>
                <w:rFonts w:ascii="Arial" w:cs="Arial" w:eastAsia="Arial" w:hAnsi="Arial"/>
                <w:sz w:val="16"/>
                <w:szCs w:val="16"/>
                <w:color w:val="auto"/>
              </w:rPr>
              <w:t>Payout Opportunity (as % of Target)</w:t>
            </w:r>
          </w:p>
        </w:tc>
        <w:tc>
          <w:tcPr>
            <w:tcW w:w="1760" w:type="dxa"/>
            <w:vAlign w:val="bottom"/>
          </w:tcPr>
          <w:p>
            <w:pPr>
              <w:spacing w:after="0"/>
              <w:rPr>
                <w:sz w:val="17"/>
                <w:szCs w:val="17"/>
                <w:color w:val="auto"/>
              </w:rPr>
            </w:pPr>
          </w:p>
        </w:tc>
        <w:tc>
          <w:tcPr>
            <w:tcW w:w="1900" w:type="dxa"/>
            <w:vAlign w:val="bottom"/>
          </w:tcPr>
          <w:p>
            <w:pPr>
              <w:jc w:val="right"/>
              <w:ind w:right="701"/>
              <w:spacing w:after="0"/>
              <w:rPr>
                <w:sz w:val="20"/>
                <w:szCs w:val="20"/>
                <w:color w:val="auto"/>
              </w:rPr>
            </w:pPr>
            <w:r>
              <w:rPr>
                <w:rFonts w:ascii="Arial" w:cs="Arial" w:eastAsia="Arial" w:hAnsi="Arial"/>
                <w:sz w:val="16"/>
                <w:szCs w:val="16"/>
                <w:color w:val="auto"/>
              </w:rPr>
              <w:t>35%</w:t>
            </w:r>
          </w:p>
        </w:tc>
        <w:tc>
          <w:tcPr>
            <w:tcW w:w="1980" w:type="dxa"/>
            <w:vAlign w:val="bottom"/>
          </w:tcPr>
          <w:p>
            <w:pPr>
              <w:jc w:val="right"/>
              <w:ind w:right="721"/>
              <w:spacing w:after="0"/>
              <w:rPr>
                <w:sz w:val="20"/>
                <w:szCs w:val="20"/>
                <w:color w:val="auto"/>
              </w:rPr>
            </w:pPr>
            <w:r>
              <w:rPr>
                <w:rFonts w:ascii="Arial" w:cs="Arial" w:eastAsia="Arial" w:hAnsi="Arial"/>
                <w:sz w:val="16"/>
                <w:szCs w:val="16"/>
                <w:color w:val="auto"/>
              </w:rPr>
              <w:t>100%</w:t>
            </w:r>
          </w:p>
        </w:tc>
        <w:tc>
          <w:tcPr>
            <w:tcW w:w="1840" w:type="dxa"/>
            <w:vAlign w:val="bottom"/>
          </w:tcPr>
          <w:p>
            <w:pPr>
              <w:jc w:val="right"/>
              <w:ind w:right="601"/>
              <w:spacing w:after="0"/>
              <w:rPr>
                <w:sz w:val="20"/>
                <w:szCs w:val="20"/>
                <w:color w:val="auto"/>
              </w:rPr>
            </w:pPr>
            <w:r>
              <w:rPr>
                <w:rFonts w:ascii="Arial" w:cs="Arial" w:eastAsia="Arial" w:hAnsi="Arial"/>
                <w:sz w:val="16"/>
                <w:szCs w:val="16"/>
                <w:color w:val="auto"/>
              </w:rPr>
              <w:t>195%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69951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both"/>
        <w:ind w:left="440" w:hanging="324"/>
        <w:spacing w:after="0" w:line="216" w:lineRule="auto"/>
        <w:tabs>
          <w:tab w:leader="none" w:pos="4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Free Cash Flow is derived from Viatris’ audited financial statements in the same manner as Viatris’ publicly reported free cash flow, except that the calculation for the 2021 PRSUs further adjusts the publicly reported measure for unplanned litigation gains or losses equal to or greater than $25 million in the aggregate, if any, for certain material asset sales, if any, and for proceeds from the sale of property, plant and equipment. Viatris’ free cash flow as reported for the twelve months ended December 31, 2021 is reconciled to the most directly comparable U.S. GAAP measure in Appendix A.</w:t>
      </w:r>
    </w:p>
    <w:p>
      <w:pPr>
        <w:ind w:left="440" w:hanging="324"/>
        <w:spacing w:after="0" w:line="219" w:lineRule="auto"/>
        <w:tabs>
          <w:tab w:leader="none" w:pos="4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Gross Leverage Ratio is derived from Viatris’ audited financial statements in the manner described in Appendix A.</w:t>
      </w:r>
    </w:p>
    <w:p>
      <w:pPr>
        <w:ind w:left="440" w:right="20" w:hanging="324"/>
        <w:spacing w:after="0" w:line="230" w:lineRule="auto"/>
        <w:tabs>
          <w:tab w:leader="none" w:pos="4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Relative TSR is calculated by comparing the difference between Viatris’ 30-day trailing average closing ordinary share price at the day before the beginning of the performance period and day before the end of the performance period plus any dividends paid during the performance period against the same metric for each company in our peer group.</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Payouts with respect to PRSUs granted in 2021 will be determined in early 2024 following the conclusion of the three-year performance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154305</wp:posOffset>
            </wp:positionV>
            <wp:extent cx="6998970" cy="4756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475615"/>
                    </a:xfrm>
                    <a:prstGeom prst="rect">
                      <a:avLst/>
                    </a:prstGeom>
                    <a:noFill/>
                  </pic:spPr>
                </pic:pic>
              </a:graphicData>
            </a:graphic>
          </wp:anchor>
        </w:drawing>
      </w:r>
    </w:p>
    <w:p>
      <w:pPr>
        <w:spacing w:after="0" w:line="257" w:lineRule="exact"/>
        <w:rPr>
          <w:sz w:val="20"/>
          <w:szCs w:val="20"/>
          <w:color w:val="auto"/>
        </w:rPr>
      </w:pPr>
    </w:p>
    <w:p>
      <w:pPr>
        <w:jc w:val="center"/>
        <w:ind w:left="420" w:right="60"/>
        <w:spacing w:after="0" w:line="253" w:lineRule="auto"/>
        <w:rPr>
          <w:sz w:val="20"/>
          <w:szCs w:val="20"/>
          <w:color w:val="auto"/>
        </w:rPr>
      </w:pPr>
      <w:r>
        <w:rPr>
          <w:rFonts w:ascii="Arial" w:cs="Arial" w:eastAsia="Arial" w:hAnsi="Arial"/>
          <w:sz w:val="18"/>
          <w:szCs w:val="18"/>
          <w:b w:val="1"/>
          <w:bCs w:val="1"/>
          <w:color w:val="732282"/>
        </w:rPr>
        <w:t>Although we believe that Viatris stock is significantly undervalued and this modifier is measured on a three-year time frame, based on the relevant stock prices on the close of business April 25, 2022, any payouts of PRSUs would be automatically reduced by 30%.</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161"/>
        </w:rPr>
        <w:t>Governance and Other Considerations Impacting Viatris Compensation Decisions</w:t>
      </w:r>
    </w:p>
    <w:p>
      <w:pPr>
        <w:spacing w:after="0" w:line="128" w:lineRule="exact"/>
        <w:rPr>
          <w:sz w:val="20"/>
          <w:szCs w:val="20"/>
          <w:color w:val="auto"/>
        </w:rPr>
      </w:pPr>
    </w:p>
    <w:p>
      <w:pPr>
        <w:jc w:val="both"/>
        <w:ind w:left="120" w:right="20"/>
        <w:spacing w:after="0" w:line="248" w:lineRule="auto"/>
        <w:rPr>
          <w:sz w:val="20"/>
          <w:szCs w:val="20"/>
          <w:color w:val="auto"/>
        </w:rPr>
      </w:pPr>
      <w:r>
        <w:rPr>
          <w:rFonts w:ascii="Arial" w:cs="Arial" w:eastAsia="Arial" w:hAnsi="Arial"/>
          <w:sz w:val="16"/>
          <w:szCs w:val="16"/>
          <w:color w:val="auto"/>
        </w:rPr>
        <w:t>The Compensation Committee and Board proactively consider external governance-related developments and trends relating to executive compensation. In setting or approving executive compensation, the Compensation Committee and Board may consider, in addition to any corporate goals and objectives applicable to an individual executive, some or all of the following: recognition of individual performance and contributions; pay for performance; alignment with long-term shareholder interests; advancement of Company strategic goals; maintenance of an appropriate level of fixed and at-risk compensation; remaining competitive with companies within the Company’s peer group; competition for executive talent; internal pay equity; leadership and mentoring skills and contributions; talent management; contributions to establishment or execution of corporate strategy; retention; compliance with applicable law and the Code of Business Conduct and Ethics and Company policy; and/or any other factors determined by the Board or the Compensation Committee to be in the interests of the Company.</w:t>
      </w: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86"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auto"/>
        </w:rPr>
        <w:t>The Compensation Committee and Board believe that each company must independently assess which market practices and trends are appropriate for the company at any particular time in the company’s history and remain fully committed to maintaining a strong compensation governance philosophy that is aligned with shareholder interests and best practices. See also page 24.</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161"/>
        </w:rPr>
        <w:t>Commitment to Responsible, Shareholder-Aligned Compensation Governance Practices</w:t>
      </w:r>
    </w:p>
    <w:p>
      <w:pPr>
        <w:spacing w:after="0" w:line="128"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The following table summarizes certain specific compensation-related governance practices adopted by the Compensation Committee and Board with respect to 2021 compensation. We note that implementation of many of these practices was responsive to comments from shareholders or otherwise endorsed by shareholders.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7003415" cy="1200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5" w:lineRule="exact"/>
        <w:rPr>
          <w:sz w:val="20"/>
          <w:szCs w:val="20"/>
          <w:color w:val="auto"/>
        </w:rPr>
      </w:pPr>
    </w:p>
    <w:p>
      <w:pPr>
        <w:ind w:left="600" w:right="60" w:hanging="246"/>
        <w:spacing w:after="0" w:line="255" w:lineRule="auto"/>
        <w:tabs>
          <w:tab w:leader="none" w:pos="619" w:val="left"/>
        </w:tabs>
        <w:numPr>
          <w:ilvl w:val="0"/>
          <w:numId w:val="44"/>
        </w:numPr>
        <w:rPr>
          <w:rFonts w:ascii="MS PGothic" w:cs="MS PGothic" w:eastAsia="MS PGothic" w:hAnsi="MS PGothic"/>
          <w:sz w:val="16"/>
          <w:szCs w:val="16"/>
          <w:color w:val="auto"/>
        </w:rPr>
      </w:pPr>
      <w:r>
        <w:rPr>
          <w:rFonts w:ascii="Arial" w:cs="Arial" w:eastAsia="Arial" w:hAnsi="Arial"/>
          <w:sz w:val="16"/>
          <w:szCs w:val="16"/>
          <w:color w:val="auto"/>
        </w:rPr>
        <w:t>Maintain a significant portion of compensation aligned with shareholder interests and tied to share price or financial and operational business performance</w:t>
      </w:r>
    </w:p>
    <w:p>
      <w:pPr>
        <w:ind w:left="600" w:right="60" w:hanging="246"/>
        <w:spacing w:after="0" w:line="255" w:lineRule="auto"/>
        <w:tabs>
          <w:tab w:leader="none" w:pos="632" w:val="left"/>
        </w:tabs>
        <w:numPr>
          <w:ilvl w:val="0"/>
          <w:numId w:val="44"/>
        </w:numPr>
        <w:rPr>
          <w:rFonts w:ascii="MS PGothic" w:cs="MS PGothic" w:eastAsia="MS PGothic" w:hAnsi="MS PGothic"/>
          <w:sz w:val="16"/>
          <w:szCs w:val="16"/>
          <w:color w:val="auto"/>
        </w:rPr>
      </w:pPr>
      <w:r>
        <w:rPr>
          <w:rFonts w:ascii="Arial" w:cs="Arial" w:eastAsia="Arial" w:hAnsi="Arial"/>
          <w:sz w:val="16"/>
          <w:szCs w:val="16"/>
          <w:color w:val="auto"/>
        </w:rPr>
        <w:t>Employ metrics for annual and long-term incentives that support both short- and long-term strategies and align with shareholder interests, including a non-financial metric in the annual program tied to important product development initiatives</w:t>
      </w:r>
    </w:p>
    <w:p>
      <w:pPr>
        <w:ind w:left="600" w:hanging="246"/>
        <w:spacing w:after="0"/>
        <w:tabs>
          <w:tab w:leader="none" w:pos="600" w:val="left"/>
        </w:tabs>
        <w:numPr>
          <w:ilvl w:val="0"/>
          <w:numId w:val="44"/>
        </w:numPr>
        <w:rPr>
          <w:rFonts w:ascii="MS PGothic" w:cs="MS PGothic" w:eastAsia="MS PGothic" w:hAnsi="MS PGothic"/>
          <w:sz w:val="16"/>
          <w:szCs w:val="16"/>
          <w:color w:val="auto"/>
        </w:rPr>
      </w:pPr>
      <w:r>
        <w:rPr>
          <w:rFonts w:ascii="Arial" w:cs="Arial" w:eastAsia="Arial" w:hAnsi="Arial"/>
          <w:sz w:val="16"/>
          <w:szCs w:val="16"/>
          <w:color w:val="auto"/>
        </w:rPr>
        <w:t>Base long-term incentives heavily on performance-based metrics and short-term incentives entirely on performance-based metrics</w:t>
      </w:r>
    </w:p>
    <w:p>
      <w:pPr>
        <w:spacing w:after="0" w:line="18" w:lineRule="exact"/>
        <w:rPr>
          <w:rFonts w:ascii="MS PGothic" w:cs="MS PGothic" w:eastAsia="MS PGothic" w:hAnsi="MS PGothic"/>
          <w:sz w:val="16"/>
          <w:szCs w:val="16"/>
          <w:color w:val="auto"/>
        </w:rPr>
      </w:pPr>
    </w:p>
    <w:p>
      <w:pPr>
        <w:ind w:left="600" w:hanging="246"/>
        <w:spacing w:after="0"/>
        <w:tabs>
          <w:tab w:leader="none" w:pos="600" w:val="left"/>
        </w:tabs>
        <w:numPr>
          <w:ilvl w:val="0"/>
          <w:numId w:val="44"/>
        </w:numPr>
        <w:rPr>
          <w:rFonts w:ascii="MS PGothic" w:cs="MS PGothic" w:eastAsia="MS PGothic" w:hAnsi="MS PGothic"/>
          <w:sz w:val="16"/>
          <w:szCs w:val="16"/>
          <w:color w:val="auto"/>
        </w:rPr>
      </w:pPr>
      <w:r>
        <w:rPr>
          <w:rFonts w:ascii="Arial" w:cs="Arial" w:eastAsia="Arial" w:hAnsi="Arial"/>
          <w:sz w:val="16"/>
          <w:szCs w:val="16"/>
          <w:color w:val="auto"/>
        </w:rPr>
        <w:t>Set rigorous and measurable performance goals and periodically review and discuss our executives’ performance</w:t>
      </w:r>
    </w:p>
    <w:p>
      <w:pPr>
        <w:spacing w:after="0" w:line="18" w:lineRule="exact"/>
        <w:rPr>
          <w:rFonts w:ascii="MS PGothic" w:cs="MS PGothic" w:eastAsia="MS PGothic" w:hAnsi="MS PGothic"/>
          <w:sz w:val="16"/>
          <w:szCs w:val="16"/>
          <w:color w:val="auto"/>
        </w:rPr>
      </w:pPr>
    </w:p>
    <w:p>
      <w:pPr>
        <w:ind w:left="600" w:hanging="246"/>
        <w:spacing w:after="0"/>
        <w:tabs>
          <w:tab w:leader="none" w:pos="600" w:val="left"/>
        </w:tabs>
        <w:numPr>
          <w:ilvl w:val="0"/>
          <w:numId w:val="44"/>
        </w:numPr>
        <w:rPr>
          <w:rFonts w:ascii="MS PGothic" w:cs="MS PGothic" w:eastAsia="MS PGothic" w:hAnsi="MS PGothic"/>
          <w:sz w:val="16"/>
          <w:szCs w:val="16"/>
          <w:color w:val="auto"/>
        </w:rPr>
      </w:pPr>
      <w:r>
        <w:rPr>
          <w:rFonts w:ascii="Arial" w:cs="Arial" w:eastAsia="Arial" w:hAnsi="Arial"/>
          <w:sz w:val="16"/>
          <w:szCs w:val="16"/>
          <w:color w:val="auto"/>
        </w:rPr>
        <w:t>Use double-trigger vesting for annual long-term incentive awards upon a change in control</w:t>
      </w:r>
    </w:p>
    <w:p>
      <w:pPr>
        <w:spacing w:after="0" w:line="18" w:lineRule="exact"/>
        <w:rPr>
          <w:rFonts w:ascii="MS PGothic" w:cs="MS PGothic" w:eastAsia="MS PGothic" w:hAnsi="MS PGothic"/>
          <w:sz w:val="16"/>
          <w:szCs w:val="16"/>
          <w:color w:val="auto"/>
        </w:rPr>
      </w:pPr>
    </w:p>
    <w:p>
      <w:pPr>
        <w:ind w:left="600" w:hanging="246"/>
        <w:spacing w:after="0"/>
        <w:tabs>
          <w:tab w:leader="none" w:pos="600" w:val="left"/>
        </w:tabs>
        <w:numPr>
          <w:ilvl w:val="0"/>
          <w:numId w:val="44"/>
        </w:numPr>
        <w:rPr>
          <w:rFonts w:ascii="MS PGothic" w:cs="MS PGothic" w:eastAsia="MS PGothic" w:hAnsi="MS PGothic"/>
          <w:sz w:val="16"/>
          <w:szCs w:val="16"/>
          <w:color w:val="auto"/>
        </w:rPr>
      </w:pPr>
      <w:r>
        <w:rPr>
          <w:rFonts w:ascii="Arial" w:cs="Arial" w:eastAsia="Arial" w:hAnsi="Arial"/>
          <w:sz w:val="16"/>
          <w:szCs w:val="16"/>
          <w:color w:val="auto"/>
        </w:rPr>
        <w:t>Retain independent compensation consultants that report directly to the Compensation Committee</w:t>
      </w:r>
    </w:p>
    <w:p>
      <w:pPr>
        <w:spacing w:after="0" w:line="18" w:lineRule="exact"/>
        <w:rPr>
          <w:rFonts w:ascii="MS PGothic" w:cs="MS PGothic" w:eastAsia="MS PGothic" w:hAnsi="MS PGothic"/>
          <w:sz w:val="16"/>
          <w:szCs w:val="16"/>
          <w:color w:val="auto"/>
        </w:rPr>
      </w:pPr>
    </w:p>
    <w:p>
      <w:pPr>
        <w:ind w:left="600" w:hanging="246"/>
        <w:spacing w:after="0"/>
        <w:tabs>
          <w:tab w:leader="none" w:pos="600" w:val="left"/>
        </w:tabs>
        <w:numPr>
          <w:ilvl w:val="0"/>
          <w:numId w:val="44"/>
        </w:numPr>
        <w:rPr>
          <w:rFonts w:ascii="MS PGothic" w:cs="MS PGothic" w:eastAsia="MS PGothic" w:hAnsi="MS PGothic"/>
          <w:sz w:val="16"/>
          <w:szCs w:val="16"/>
          <w:color w:val="auto"/>
        </w:rPr>
      </w:pPr>
      <w:r>
        <w:rPr>
          <w:rFonts w:ascii="Arial" w:cs="Arial" w:eastAsia="Arial" w:hAnsi="Arial"/>
          <w:sz w:val="16"/>
          <w:szCs w:val="16"/>
          <w:color w:val="auto"/>
        </w:rPr>
        <w:t>Maintain strong share ownership guidelines</w:t>
      </w:r>
    </w:p>
    <w:p>
      <w:pPr>
        <w:spacing w:after="0" w:line="18" w:lineRule="exact"/>
        <w:rPr>
          <w:rFonts w:ascii="MS PGothic" w:cs="MS PGothic" w:eastAsia="MS PGothic" w:hAnsi="MS PGothic"/>
          <w:sz w:val="16"/>
          <w:szCs w:val="16"/>
          <w:color w:val="auto"/>
        </w:rPr>
      </w:pPr>
    </w:p>
    <w:p>
      <w:pPr>
        <w:ind w:left="600" w:hanging="246"/>
        <w:spacing w:after="0"/>
        <w:tabs>
          <w:tab w:leader="none" w:pos="600" w:val="left"/>
        </w:tabs>
        <w:numPr>
          <w:ilvl w:val="0"/>
          <w:numId w:val="44"/>
        </w:numPr>
        <w:rPr>
          <w:rFonts w:ascii="MS PGothic" w:cs="MS PGothic" w:eastAsia="MS PGothic" w:hAnsi="MS PGothic"/>
          <w:sz w:val="16"/>
          <w:szCs w:val="16"/>
          <w:color w:val="auto"/>
        </w:rPr>
      </w:pPr>
      <w:r>
        <w:rPr>
          <w:rFonts w:ascii="Arial" w:cs="Arial" w:eastAsia="Arial" w:hAnsi="Arial"/>
          <w:sz w:val="16"/>
          <w:szCs w:val="16"/>
          <w:color w:val="auto"/>
        </w:rPr>
        <w:t>Maintain a robust clawback policy</w:t>
      </w:r>
    </w:p>
    <w:p>
      <w:pPr>
        <w:spacing w:after="0" w:line="18" w:lineRule="exact"/>
        <w:rPr>
          <w:rFonts w:ascii="MS PGothic" w:cs="MS PGothic" w:eastAsia="MS PGothic" w:hAnsi="MS PGothic"/>
          <w:sz w:val="16"/>
          <w:szCs w:val="16"/>
          <w:color w:val="auto"/>
        </w:rPr>
      </w:pPr>
    </w:p>
    <w:p>
      <w:pPr>
        <w:ind w:left="600" w:hanging="246"/>
        <w:spacing w:after="0"/>
        <w:tabs>
          <w:tab w:leader="none" w:pos="600" w:val="left"/>
        </w:tabs>
        <w:numPr>
          <w:ilvl w:val="0"/>
          <w:numId w:val="44"/>
        </w:numPr>
        <w:rPr>
          <w:rFonts w:ascii="MS PGothic" w:cs="MS PGothic" w:eastAsia="MS PGothic" w:hAnsi="MS PGothic"/>
          <w:sz w:val="16"/>
          <w:szCs w:val="16"/>
          <w:color w:val="auto"/>
        </w:rPr>
      </w:pPr>
      <w:r>
        <w:rPr>
          <w:rFonts w:ascii="Arial" w:cs="Arial" w:eastAsia="Arial" w:hAnsi="Arial"/>
          <w:sz w:val="16"/>
          <w:szCs w:val="16"/>
          <w:color w:val="auto"/>
        </w:rPr>
        <w:t>Engage with shareholders on compensation and governance matters</w:t>
      </w:r>
    </w:p>
    <w:p>
      <w:pPr>
        <w:spacing w:after="0" w:line="18" w:lineRule="exact"/>
        <w:rPr>
          <w:rFonts w:ascii="MS PGothic" w:cs="MS PGothic" w:eastAsia="MS PGothic" w:hAnsi="MS PGothic"/>
          <w:sz w:val="16"/>
          <w:szCs w:val="16"/>
          <w:color w:val="auto"/>
        </w:rPr>
      </w:pPr>
    </w:p>
    <w:p>
      <w:pPr>
        <w:ind w:left="600" w:hanging="246"/>
        <w:spacing w:after="0"/>
        <w:tabs>
          <w:tab w:leader="none" w:pos="600" w:val="left"/>
        </w:tabs>
        <w:numPr>
          <w:ilvl w:val="0"/>
          <w:numId w:val="44"/>
        </w:numPr>
        <w:rPr>
          <w:rFonts w:ascii="MS PGothic" w:cs="MS PGothic" w:eastAsia="MS PGothic" w:hAnsi="MS PGothic"/>
          <w:sz w:val="16"/>
          <w:szCs w:val="16"/>
          <w:color w:val="auto"/>
        </w:rPr>
      </w:pPr>
      <w:r>
        <w:rPr>
          <w:rFonts w:ascii="Arial" w:cs="Arial" w:eastAsia="Arial" w:hAnsi="Arial"/>
          <w:sz w:val="16"/>
          <w:szCs w:val="16"/>
          <w:color w:val="auto"/>
        </w:rPr>
        <w:t>Consider peer groups and market data in determining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-1514475</wp:posOffset>
            </wp:positionV>
            <wp:extent cx="7003415" cy="1534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03415" cy="1534160"/>
                    </a:xfrm>
                    <a:prstGeom prst="rect">
                      <a:avLst/>
                    </a:prstGeom>
                    <a:noFill/>
                  </pic:spPr>
                </pic:pic>
              </a:graphicData>
            </a:graphic>
          </wp:anchor>
        </w:drawing>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7003415" cy="8483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03415" cy="848360"/>
                    </a:xfrm>
                    <a:prstGeom prst="rect">
                      <a:avLst/>
                    </a:prstGeom>
                    <a:noFill/>
                  </pic:spPr>
                </pic:pic>
              </a:graphicData>
            </a:graphic>
          </wp:anchor>
        </w:drawing>
      </w:r>
    </w:p>
    <w:p>
      <w:pPr>
        <w:spacing w:after="0" w:line="5" w:lineRule="exact"/>
        <w:rPr>
          <w:sz w:val="20"/>
          <w:szCs w:val="20"/>
          <w:color w:val="auto"/>
        </w:rPr>
      </w:pPr>
    </w:p>
    <w:p>
      <w:pPr>
        <w:ind w:left="600" w:hanging="246"/>
        <w:spacing w:after="0"/>
        <w:tabs>
          <w:tab w:leader="none" w:pos="600" w:val="left"/>
        </w:tabs>
        <w:numPr>
          <w:ilvl w:val="0"/>
          <w:numId w:val="45"/>
        </w:numPr>
        <w:rPr>
          <w:rFonts w:ascii="Arial" w:cs="Arial" w:eastAsia="Arial" w:hAnsi="Arial"/>
          <w:sz w:val="16"/>
          <w:szCs w:val="16"/>
          <w:i w:val="1"/>
          <w:iCs w:val="1"/>
          <w:color w:val="auto"/>
        </w:rPr>
      </w:pPr>
      <w:r>
        <w:rPr>
          <w:rFonts w:ascii="Arial" w:cs="Arial" w:eastAsia="Arial" w:hAnsi="Arial"/>
          <w:sz w:val="16"/>
          <w:szCs w:val="16"/>
          <w:color w:val="auto"/>
        </w:rPr>
        <w:t>New fixed-term NEO employment agreements</w:t>
      </w:r>
    </w:p>
    <w:p>
      <w:pPr>
        <w:spacing w:after="0" w:line="5" w:lineRule="exact"/>
        <w:rPr>
          <w:rFonts w:ascii="Arial" w:cs="Arial" w:eastAsia="Arial" w:hAnsi="Arial"/>
          <w:sz w:val="16"/>
          <w:szCs w:val="16"/>
          <w:i w:val="1"/>
          <w:iCs w:val="1"/>
          <w:color w:val="auto"/>
        </w:rPr>
      </w:pPr>
    </w:p>
    <w:p>
      <w:pPr>
        <w:ind w:left="600" w:hanging="246"/>
        <w:spacing w:after="0"/>
        <w:tabs>
          <w:tab w:leader="none" w:pos="600" w:val="left"/>
        </w:tabs>
        <w:numPr>
          <w:ilvl w:val="0"/>
          <w:numId w:val="45"/>
        </w:numPr>
        <w:rPr>
          <w:rFonts w:ascii="Arial" w:cs="Arial" w:eastAsia="Arial" w:hAnsi="Arial"/>
          <w:sz w:val="16"/>
          <w:szCs w:val="16"/>
          <w:i w:val="1"/>
          <w:iCs w:val="1"/>
          <w:color w:val="auto"/>
        </w:rPr>
      </w:pPr>
      <w:r>
        <w:rPr>
          <w:rFonts w:ascii="Arial" w:cs="Arial" w:eastAsia="Arial" w:hAnsi="Arial"/>
          <w:sz w:val="16"/>
          <w:szCs w:val="16"/>
          <w:color w:val="auto"/>
        </w:rPr>
        <w:t>Excise tax gross-ups</w:t>
      </w:r>
    </w:p>
    <w:p>
      <w:pPr>
        <w:spacing w:after="0" w:line="5" w:lineRule="exact"/>
        <w:rPr>
          <w:rFonts w:ascii="Arial" w:cs="Arial" w:eastAsia="Arial" w:hAnsi="Arial"/>
          <w:sz w:val="16"/>
          <w:szCs w:val="16"/>
          <w:i w:val="1"/>
          <w:iCs w:val="1"/>
          <w:color w:val="auto"/>
        </w:rPr>
      </w:pPr>
    </w:p>
    <w:p>
      <w:pPr>
        <w:ind w:left="600" w:hanging="246"/>
        <w:spacing w:after="0"/>
        <w:tabs>
          <w:tab w:leader="none" w:pos="600" w:val="left"/>
        </w:tabs>
        <w:numPr>
          <w:ilvl w:val="0"/>
          <w:numId w:val="45"/>
        </w:numPr>
        <w:rPr>
          <w:rFonts w:ascii="Arial" w:cs="Arial" w:eastAsia="Arial" w:hAnsi="Arial"/>
          <w:sz w:val="16"/>
          <w:szCs w:val="16"/>
          <w:i w:val="1"/>
          <w:iCs w:val="1"/>
          <w:color w:val="auto"/>
        </w:rPr>
      </w:pPr>
      <w:r>
        <w:rPr>
          <w:rFonts w:ascii="Arial" w:cs="Arial" w:eastAsia="Arial" w:hAnsi="Arial"/>
          <w:sz w:val="16"/>
          <w:szCs w:val="16"/>
          <w:color w:val="auto"/>
        </w:rPr>
        <w:t>Supplemental retirement agreements</w:t>
      </w:r>
    </w:p>
    <w:p>
      <w:pPr>
        <w:spacing w:after="0" w:line="5" w:lineRule="exact"/>
        <w:rPr>
          <w:rFonts w:ascii="Arial" w:cs="Arial" w:eastAsia="Arial" w:hAnsi="Arial"/>
          <w:sz w:val="16"/>
          <w:szCs w:val="16"/>
          <w:i w:val="1"/>
          <w:iCs w:val="1"/>
          <w:color w:val="auto"/>
        </w:rPr>
      </w:pPr>
    </w:p>
    <w:p>
      <w:pPr>
        <w:ind w:left="600" w:hanging="246"/>
        <w:spacing w:after="0"/>
        <w:tabs>
          <w:tab w:leader="none" w:pos="600" w:val="left"/>
        </w:tabs>
        <w:numPr>
          <w:ilvl w:val="0"/>
          <w:numId w:val="45"/>
        </w:numPr>
        <w:rPr>
          <w:rFonts w:ascii="Arial" w:cs="Arial" w:eastAsia="Arial" w:hAnsi="Arial"/>
          <w:sz w:val="16"/>
          <w:szCs w:val="16"/>
          <w:i w:val="1"/>
          <w:iCs w:val="1"/>
          <w:color w:val="auto"/>
        </w:rPr>
      </w:pPr>
      <w:r>
        <w:rPr>
          <w:rFonts w:ascii="Arial" w:cs="Arial" w:eastAsia="Arial" w:hAnsi="Arial"/>
          <w:sz w:val="16"/>
          <w:szCs w:val="16"/>
          <w:color w:val="auto"/>
        </w:rPr>
        <w:t>Exercise positive discretion in determining annual incentive compensation or LTI payouts</w:t>
      </w:r>
    </w:p>
    <w:p>
      <w:pPr>
        <w:spacing w:after="0" w:line="5" w:lineRule="exact"/>
        <w:rPr>
          <w:rFonts w:ascii="Arial" w:cs="Arial" w:eastAsia="Arial" w:hAnsi="Arial"/>
          <w:sz w:val="16"/>
          <w:szCs w:val="16"/>
          <w:i w:val="1"/>
          <w:iCs w:val="1"/>
          <w:color w:val="auto"/>
        </w:rPr>
      </w:pPr>
    </w:p>
    <w:p>
      <w:pPr>
        <w:ind w:left="600" w:hanging="246"/>
        <w:spacing w:after="0"/>
        <w:tabs>
          <w:tab w:leader="none" w:pos="600" w:val="left"/>
        </w:tabs>
        <w:numPr>
          <w:ilvl w:val="0"/>
          <w:numId w:val="45"/>
        </w:numPr>
        <w:rPr>
          <w:rFonts w:ascii="Arial" w:cs="Arial" w:eastAsia="Arial" w:hAnsi="Arial"/>
          <w:sz w:val="16"/>
          <w:szCs w:val="16"/>
          <w:i w:val="1"/>
          <w:iCs w:val="1"/>
          <w:color w:val="auto"/>
        </w:rPr>
      </w:pPr>
      <w:r>
        <w:rPr>
          <w:rFonts w:ascii="Arial" w:cs="Arial" w:eastAsia="Arial" w:hAnsi="Arial"/>
          <w:sz w:val="16"/>
          <w:szCs w:val="16"/>
          <w:color w:val="auto"/>
        </w:rPr>
        <w:t>Re-pricing of stock options</w:t>
      </w:r>
    </w:p>
    <w:p>
      <w:pPr>
        <w:spacing w:after="0" w:line="5" w:lineRule="exact"/>
        <w:rPr>
          <w:rFonts w:ascii="Arial" w:cs="Arial" w:eastAsia="Arial" w:hAnsi="Arial"/>
          <w:sz w:val="16"/>
          <w:szCs w:val="16"/>
          <w:i w:val="1"/>
          <w:iCs w:val="1"/>
          <w:color w:val="auto"/>
        </w:rPr>
      </w:pPr>
    </w:p>
    <w:p>
      <w:pPr>
        <w:ind w:left="600" w:hanging="246"/>
        <w:spacing w:after="0"/>
        <w:tabs>
          <w:tab w:leader="none" w:pos="600" w:val="left"/>
        </w:tabs>
        <w:numPr>
          <w:ilvl w:val="0"/>
          <w:numId w:val="45"/>
        </w:numPr>
        <w:rPr>
          <w:rFonts w:ascii="Arial" w:cs="Arial" w:eastAsia="Arial" w:hAnsi="Arial"/>
          <w:sz w:val="16"/>
          <w:szCs w:val="16"/>
          <w:i w:val="1"/>
          <w:iCs w:val="1"/>
          <w:color w:val="auto"/>
        </w:rPr>
      </w:pPr>
      <w:r>
        <w:rPr>
          <w:rFonts w:ascii="Arial" w:cs="Arial" w:eastAsia="Arial" w:hAnsi="Arial"/>
          <w:sz w:val="16"/>
          <w:szCs w:val="16"/>
          <w:color w:val="auto"/>
        </w:rPr>
        <w:t>Hedging or pledging of shares</w:t>
      </w: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86"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Limited Perquisites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provide certain limited perquisites to our NEOs, including the following:</w:t>
      </w:r>
    </w:p>
    <w:p>
      <w:pPr>
        <w:spacing w:after="0" w:line="127" w:lineRule="exact"/>
        <w:rPr>
          <w:sz w:val="20"/>
          <w:szCs w:val="20"/>
          <w:color w:val="auto"/>
        </w:rPr>
      </w:pPr>
    </w:p>
    <w:p>
      <w:pPr>
        <w:ind w:left="540" w:right="20" w:hanging="316"/>
        <w:spacing w:after="0" w:line="260"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Each NEO receives a car allowance or the use of a leased vehicle and payment of certain ancillary expenses. The NEOs are responsible for paying any taxes incurred relating to this perquisite.</w:t>
      </w:r>
    </w:p>
    <w:p>
      <w:pPr>
        <w:spacing w:after="0" w:line="100" w:lineRule="exact"/>
        <w:rPr>
          <w:rFonts w:ascii="Arial" w:cs="Arial" w:eastAsia="Arial" w:hAnsi="Arial"/>
          <w:sz w:val="16"/>
          <w:szCs w:val="16"/>
          <w:color w:val="auto"/>
        </w:rPr>
      </w:pPr>
    </w:p>
    <w:p>
      <w:pPr>
        <w:jc w:val="both"/>
        <w:ind w:left="540" w:right="20" w:hanging="316"/>
        <w:spacing w:after="0" w:line="248"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NEOs take an extraordinarily active approach to overseeing and managing Viatris’ global operations, which necessitates and will continue to necessitate a significant amount of U.S. domestic and international travel time due to our diverse business centers, manufacturing and other facilities, and many client and vendor locations around the world. Viatris provides management with access to corporate aircraft to assist in the management of Viatris’ global platform by providing a more efficient and secure traveling environment, including where sensitive business issues may be discussed or reviewed, as well as maximum flexibility to our executives in the conduct of business. For reasons of business efficiency and continued security-related concerns (including personal security, especially given the global nature of Viatris’ business, as well as privacy of business information and communications), we also may from time-to-time require certain executives to use corporate aircraft for business and personal purposes.</w:t>
      </w:r>
    </w:p>
    <w:p>
      <w:pPr>
        <w:spacing w:after="0" w:line="302" w:lineRule="exact"/>
        <w:rPr>
          <w:rFonts w:ascii="Arial" w:cs="Arial" w:eastAsia="Arial" w:hAnsi="Arial"/>
          <w:sz w:val="16"/>
          <w:szCs w:val="16"/>
          <w:color w:val="auto"/>
        </w:rPr>
      </w:pPr>
    </w:p>
    <w:p>
      <w:pPr>
        <w:ind w:left="540" w:hanging="316"/>
        <w:spacing w:after="0"/>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For reasons of continued security-related concerns, we may from time-to-time provide certain NEOs with personal security.</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401(k) Restoration Plan</w:t>
      </w:r>
    </w:p>
    <w:p>
      <w:pPr>
        <w:spacing w:after="0" w:line="128"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The 401(k) Restoration Plan (the “Restoration Plan”) permits employees (including NEOs) who earn compensation in excess of the limits imposed by Section 401(a)(17) of the Internal Revenue Code of 1986, as amended (the “Code”) to (i) defer a portion of base salary and bonus compensation, (ii) for employees (other than the NEOs with a Retirement Benefit Agreement) be credited with a Company matching contribution in respect of deferrals under the Restoration Plan, and (iii) be credited with Company non-elective contributions (to the extent made by Viatris), in each case, to the extent that participants otherwise would be able to defer or be credited with such amounts, as applicable, under Viatris’ 401(k) plan if not for the limits on contributions and deferrals imposed by the Code. Company matching contributions immediately vest and Company non-elective contributions are subject to an initial three-year vesting period. Upon a change in control (as defined in the Restoration Plan), a participant will become 100% vested in any unvested portion of his or her non-elective contributions. Distributions of such participant’s vested account balance will be made in a lump sum within 60 days following a participant’s separation from service (or such later date as may be required by Section 409A of the Code).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Viatris 2021 Share Ownership Requirements</w:t>
      </w:r>
    </w:p>
    <w:p>
      <w:pPr>
        <w:spacing w:after="0" w:line="128"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Viatris maintains robust share ownership requirements for our NEOs. The requirement is expressed as a multiple of base salary and shown in the table below.</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5360" w:type="dxa"/>
            <w:vAlign w:val="bottom"/>
          </w:tcPr>
          <w:p>
            <w:pPr>
              <w:jc w:val="right"/>
              <w:ind w:right="442"/>
              <w:spacing w:after="0"/>
              <w:rPr>
                <w:sz w:val="20"/>
                <w:szCs w:val="20"/>
                <w:color w:val="auto"/>
              </w:rPr>
            </w:pPr>
            <w:r>
              <w:rPr>
                <w:rFonts w:ascii="Arial" w:cs="Arial" w:eastAsia="Arial" w:hAnsi="Arial"/>
                <w:sz w:val="14"/>
                <w:szCs w:val="14"/>
                <w:b w:val="1"/>
                <w:bCs w:val="1"/>
                <w:color w:val="732282"/>
              </w:rPr>
              <w:t>Ownership</w:t>
            </w:r>
          </w:p>
        </w:tc>
      </w:tr>
      <w:tr>
        <w:trPr>
          <w:trHeight w:val="175"/>
        </w:trPr>
        <w:tc>
          <w:tcPr>
            <w:tcW w:w="5660" w:type="dxa"/>
            <w:vAlign w:val="bottom"/>
            <w:tcBorders>
              <w:bottom w:val="single" w:sz="8" w:color="732282"/>
            </w:tcBorders>
          </w:tcPr>
          <w:p>
            <w:pPr>
              <w:ind w:left="60"/>
              <w:spacing w:after="0"/>
              <w:rPr>
                <w:sz w:val="20"/>
                <w:szCs w:val="20"/>
                <w:color w:val="auto"/>
              </w:rPr>
            </w:pPr>
            <w:r>
              <w:rPr>
                <w:rFonts w:ascii="Arial" w:cs="Arial" w:eastAsia="Arial" w:hAnsi="Arial"/>
                <w:sz w:val="14"/>
                <w:szCs w:val="14"/>
                <w:b w:val="1"/>
                <w:bCs w:val="1"/>
                <w:color w:val="732282"/>
              </w:rPr>
              <w:t>Position</w:t>
            </w:r>
          </w:p>
        </w:tc>
        <w:tc>
          <w:tcPr>
            <w:tcW w:w="5360" w:type="dxa"/>
            <w:vAlign w:val="bottom"/>
            <w:tcBorders>
              <w:bottom w:val="single" w:sz="8" w:color="732282"/>
            </w:tcBorders>
          </w:tcPr>
          <w:p>
            <w:pPr>
              <w:jc w:val="right"/>
              <w:ind w:right="442"/>
              <w:spacing w:after="0"/>
              <w:rPr>
                <w:sz w:val="20"/>
                <w:szCs w:val="20"/>
                <w:color w:val="auto"/>
              </w:rPr>
            </w:pPr>
            <w:r>
              <w:rPr>
                <w:rFonts w:ascii="Arial" w:cs="Arial" w:eastAsia="Arial" w:hAnsi="Arial"/>
                <w:sz w:val="14"/>
                <w:szCs w:val="14"/>
                <w:b w:val="1"/>
                <w:bCs w:val="1"/>
                <w:color w:val="732282"/>
              </w:rPr>
              <w:t>Requirement</w:t>
            </w:r>
          </w:p>
        </w:tc>
      </w:tr>
      <w:tr>
        <w:trPr>
          <w:trHeight w:val="183"/>
        </w:trPr>
        <w:tc>
          <w:tcPr>
            <w:tcW w:w="5660" w:type="dxa"/>
            <w:vAlign w:val="bottom"/>
            <w:shd w:val="clear" w:color="auto" w:fill="E5E5E5"/>
          </w:tcPr>
          <w:p>
            <w:pPr>
              <w:ind w:left="60"/>
              <w:spacing w:after="0" w:line="183" w:lineRule="exact"/>
              <w:rPr>
                <w:sz w:val="20"/>
                <w:szCs w:val="20"/>
                <w:color w:val="auto"/>
              </w:rPr>
            </w:pPr>
            <w:r>
              <w:rPr>
                <w:rFonts w:ascii="Arial" w:cs="Arial" w:eastAsia="Arial" w:hAnsi="Arial"/>
                <w:sz w:val="16"/>
                <w:szCs w:val="16"/>
                <w:color w:val="auto"/>
              </w:rPr>
              <w:t>Executive Chairman</w:t>
            </w:r>
          </w:p>
        </w:tc>
        <w:tc>
          <w:tcPr>
            <w:tcW w:w="5360" w:type="dxa"/>
            <w:vAlign w:val="bottom"/>
            <w:shd w:val="clear" w:color="auto" w:fill="E5E5E5"/>
          </w:tcPr>
          <w:p>
            <w:pPr>
              <w:jc w:val="right"/>
              <w:ind w:right="442"/>
              <w:spacing w:after="0" w:line="183" w:lineRule="exact"/>
              <w:rPr>
                <w:sz w:val="20"/>
                <w:szCs w:val="20"/>
                <w:color w:val="auto"/>
              </w:rPr>
            </w:pPr>
            <w:r>
              <w:rPr>
                <w:rFonts w:ascii="Arial" w:cs="Arial" w:eastAsia="Arial" w:hAnsi="Arial"/>
                <w:sz w:val="16"/>
                <w:szCs w:val="16"/>
                <w:color w:val="auto"/>
              </w:rPr>
              <w:t>6x</w:t>
            </w:r>
          </w:p>
        </w:tc>
      </w:tr>
      <w:tr>
        <w:trPr>
          <w:trHeight w:val="189"/>
        </w:trPr>
        <w:tc>
          <w:tcPr>
            <w:tcW w:w="5660" w:type="dxa"/>
            <w:vAlign w:val="bottom"/>
          </w:tcPr>
          <w:p>
            <w:pPr>
              <w:ind w:left="60"/>
              <w:spacing w:after="0"/>
              <w:rPr>
                <w:sz w:val="20"/>
                <w:szCs w:val="20"/>
                <w:color w:val="auto"/>
              </w:rPr>
            </w:pPr>
            <w:r>
              <w:rPr>
                <w:rFonts w:ascii="Arial" w:cs="Arial" w:eastAsia="Arial" w:hAnsi="Arial"/>
                <w:sz w:val="16"/>
                <w:szCs w:val="16"/>
                <w:color w:val="auto"/>
              </w:rPr>
              <w:t>Chief Executive Officer</w:t>
            </w:r>
          </w:p>
        </w:tc>
        <w:tc>
          <w:tcPr>
            <w:tcW w:w="5360" w:type="dxa"/>
            <w:vAlign w:val="bottom"/>
          </w:tcPr>
          <w:p>
            <w:pPr>
              <w:jc w:val="right"/>
              <w:ind w:right="442"/>
              <w:spacing w:after="0"/>
              <w:rPr>
                <w:sz w:val="20"/>
                <w:szCs w:val="20"/>
                <w:color w:val="auto"/>
              </w:rPr>
            </w:pPr>
            <w:r>
              <w:rPr>
                <w:rFonts w:ascii="Arial" w:cs="Arial" w:eastAsia="Arial" w:hAnsi="Arial"/>
                <w:sz w:val="16"/>
                <w:szCs w:val="16"/>
                <w:color w:val="auto"/>
              </w:rPr>
              <w:t>6x</w:t>
            </w:r>
          </w:p>
        </w:tc>
      </w:tr>
      <w:tr>
        <w:trPr>
          <w:trHeight w:val="189"/>
        </w:trPr>
        <w:tc>
          <w:tcPr>
            <w:tcW w:w="5660" w:type="dxa"/>
            <w:vAlign w:val="bottom"/>
            <w:shd w:val="clear" w:color="auto" w:fill="E5E5E5"/>
          </w:tcPr>
          <w:p>
            <w:pPr>
              <w:ind w:left="60"/>
              <w:spacing w:after="0"/>
              <w:rPr>
                <w:sz w:val="20"/>
                <w:szCs w:val="20"/>
                <w:color w:val="auto"/>
              </w:rPr>
            </w:pPr>
            <w:r>
              <w:rPr>
                <w:rFonts w:ascii="Arial" w:cs="Arial" w:eastAsia="Arial" w:hAnsi="Arial"/>
                <w:sz w:val="16"/>
                <w:szCs w:val="16"/>
                <w:color w:val="auto"/>
              </w:rPr>
              <w:t>President</w:t>
            </w:r>
          </w:p>
        </w:tc>
        <w:tc>
          <w:tcPr>
            <w:tcW w:w="5360" w:type="dxa"/>
            <w:vAlign w:val="bottom"/>
            <w:shd w:val="clear" w:color="auto" w:fill="E5E5E5"/>
          </w:tcPr>
          <w:p>
            <w:pPr>
              <w:jc w:val="right"/>
              <w:ind w:right="442"/>
              <w:spacing w:after="0"/>
              <w:rPr>
                <w:sz w:val="20"/>
                <w:szCs w:val="20"/>
                <w:color w:val="auto"/>
              </w:rPr>
            </w:pPr>
            <w:r>
              <w:rPr>
                <w:rFonts w:ascii="Arial" w:cs="Arial" w:eastAsia="Arial" w:hAnsi="Arial"/>
                <w:sz w:val="16"/>
                <w:szCs w:val="16"/>
                <w:color w:val="auto"/>
              </w:rPr>
              <w:t>4x</w:t>
            </w:r>
          </w:p>
        </w:tc>
      </w:tr>
      <w:tr>
        <w:trPr>
          <w:trHeight w:val="189"/>
        </w:trPr>
        <w:tc>
          <w:tcPr>
            <w:tcW w:w="5660" w:type="dxa"/>
            <w:vAlign w:val="bottom"/>
            <w:tcBorders>
              <w:bottom w:val="single" w:sz="8" w:color="732282"/>
            </w:tcBorders>
          </w:tcPr>
          <w:p>
            <w:pPr>
              <w:ind w:left="60"/>
              <w:spacing w:after="0"/>
              <w:rPr>
                <w:sz w:val="20"/>
                <w:szCs w:val="20"/>
                <w:color w:val="auto"/>
              </w:rPr>
            </w:pPr>
            <w:r>
              <w:rPr>
                <w:rFonts w:ascii="Arial" w:cs="Arial" w:eastAsia="Arial" w:hAnsi="Arial"/>
                <w:sz w:val="16"/>
                <w:szCs w:val="16"/>
                <w:color w:val="auto"/>
              </w:rPr>
              <w:t>Other NEOs</w:t>
            </w:r>
          </w:p>
        </w:tc>
        <w:tc>
          <w:tcPr>
            <w:tcW w:w="5360" w:type="dxa"/>
            <w:vAlign w:val="bottom"/>
            <w:tcBorders>
              <w:bottom w:val="single" w:sz="8" w:color="732282"/>
            </w:tcBorders>
          </w:tcPr>
          <w:p>
            <w:pPr>
              <w:jc w:val="right"/>
              <w:ind w:right="442"/>
              <w:spacing w:after="0"/>
              <w:rPr>
                <w:sz w:val="20"/>
                <w:szCs w:val="20"/>
                <w:color w:val="auto"/>
              </w:rPr>
            </w:pPr>
            <w:r>
              <w:rPr>
                <w:rFonts w:ascii="Arial" w:cs="Arial" w:eastAsia="Arial" w:hAnsi="Arial"/>
                <w:sz w:val="16"/>
                <w:szCs w:val="16"/>
                <w:color w:val="auto"/>
              </w:rPr>
              <w:t>3x</w:t>
            </w: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86"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6"/>
          <w:szCs w:val="16"/>
          <w:color w:val="auto"/>
        </w:rPr>
        <w:t>In addition to the NEOs, the Viatris share ownership policy covers the most senior employees at Viatris to promote an ownership culture and further align the interests of those leaders with those of shareholders. Each covered employee has five years from the date they became subject to the policy to achieve the minimum ownership requirement. Common stock actually owned by the covered employee (including shares of common stock held by the covered employee in the Restoration Plan), as well as restricted shares and unvested RSUs and PRSUs (including corresponding dividend equivalent units (“DEUs”)) count toward compliance with these requirements.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Clawback Policy</w:t>
      </w:r>
    </w:p>
    <w:p>
      <w:pPr>
        <w:spacing w:after="0" w:line="128"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auto"/>
        </w:rPr>
        <w:t>The Board has approved a clawback policy relating to incentive compensation programs. The policy provides that Viatris may take action to recoup annual incentive compensation and equity-based incentive compensation gains resulting from specified misconduct that causes Viatris to materially restate its financial statements.</w:t>
      </w:r>
    </w:p>
    <w:p>
      <w:pPr>
        <w:spacing w:after="0" w:line="201" w:lineRule="exact"/>
        <w:rPr>
          <w:sz w:val="20"/>
          <w:szCs w:val="20"/>
          <w:color w:val="auto"/>
        </w:rPr>
      </w:pPr>
    </w:p>
    <w:p>
      <w:pPr>
        <w:jc w:val="both"/>
        <w:ind w:left="120" w:right="20"/>
        <w:spacing w:after="0" w:line="251" w:lineRule="auto"/>
        <w:rPr>
          <w:sz w:val="20"/>
          <w:szCs w:val="20"/>
          <w:color w:val="auto"/>
        </w:rPr>
      </w:pPr>
      <w:r>
        <w:rPr>
          <w:rFonts w:ascii="Arial" w:cs="Arial" w:eastAsia="Arial" w:hAnsi="Arial"/>
          <w:sz w:val="16"/>
          <w:szCs w:val="16"/>
          <w:color w:val="auto"/>
        </w:rPr>
        <w:t>The policy also provides that Viatris may take action to recoup some or all bonus and equity incentive compensation in the event of executive misconduct involving material violations of law or Viatris policy as well as failure to manage or monitor another individual who committed such misconduct, and that the Board or a designated Board committee will disclose the circumstances of any recoupment relating to such misconduct if required by law or regulation or if it determines that disclosure is in the best interests of Viatris and its shareholders.</w:t>
      </w:r>
    </w:p>
    <w:p>
      <w:pPr>
        <w:spacing w:after="0" w:line="202" w:lineRule="exact"/>
        <w:rPr>
          <w:sz w:val="20"/>
          <w:szCs w:val="20"/>
          <w:color w:val="auto"/>
        </w:rPr>
      </w:pPr>
    </w:p>
    <w:p>
      <w:pPr>
        <w:jc w:val="both"/>
        <w:ind w:left="120"/>
        <w:spacing w:after="0" w:line="250" w:lineRule="auto"/>
        <w:rPr>
          <w:sz w:val="20"/>
          <w:szCs w:val="20"/>
          <w:color w:val="auto"/>
        </w:rPr>
      </w:pPr>
      <w:r>
        <w:rPr>
          <w:rFonts w:ascii="Arial" w:cs="Arial" w:eastAsia="Arial" w:hAnsi="Arial"/>
          <w:sz w:val="16"/>
          <w:szCs w:val="16"/>
          <w:color w:val="auto"/>
        </w:rPr>
        <w:t>In addition, Viatris has a number of other policies in effect that govern our executive team’s behavior and that set out clear ethical expectations. Those policies, including our Code of Business Conduct and Ethics, empower Viatris to take a full range of disciplinary responses for any violations, and the Board and the Compensation Committee are not otherwise constrained from seeking to clawback from or deny compensation to any member of the executive team in response to any breach of duties or ethics. The Board considers additional updates to the clawback policy from time-to-time. In addition, to the extent that the SEC adopts rules for clawback policies that require changes to our policy, we will respond accordingly.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Anti-Hedging and Anti-Pledging Policy</w:t>
      </w:r>
    </w:p>
    <w:p>
      <w:pPr>
        <w:spacing w:after="0" w:line="128" w:lineRule="exact"/>
        <w:rPr>
          <w:sz w:val="20"/>
          <w:szCs w:val="20"/>
          <w:color w:val="auto"/>
        </w:rPr>
      </w:pPr>
    </w:p>
    <w:p>
      <w:pPr>
        <w:jc w:val="both"/>
        <w:ind w:left="120" w:right="20"/>
        <w:spacing w:after="0" w:line="248" w:lineRule="auto"/>
        <w:rPr>
          <w:sz w:val="20"/>
          <w:szCs w:val="20"/>
          <w:color w:val="auto"/>
        </w:rPr>
      </w:pPr>
      <w:r>
        <w:rPr>
          <w:rFonts w:ascii="Arial" w:cs="Arial" w:eastAsia="Arial" w:hAnsi="Arial"/>
          <w:sz w:val="16"/>
          <w:szCs w:val="16"/>
          <w:color w:val="auto"/>
        </w:rPr>
        <w:t>Viatris has a securities trading policy that prohibits directors and Section 16 Officers and their respective designees from trading in hedging instruments or otherwise engaging in any transaction that limits or eliminates, or is designed to limit or eliminate, economic risks associated with the ownership of our securities. Hedging instruments are defined as any prepaid variable forward contracts, equity swaps, collars, exchange funds, insurance contracts, short sales, options, puts, calls or other instruments that hedge or offset, or are designed to hedge or offset, movements in the market value of our securities. For purposes of this policy, our securities include shares and options to purchase shares, and any other type of securities that we may issue, including but not limited to, preferred shares, notes, debentures, and warrants issued by Viatris or any parent, subsidiary, or subsidiary of any parent of Viatris, as well as any derivative financial instruments pertaining to such securities, whether or not issued by us, such as options and forward contracts.</w:t>
      </w:r>
    </w:p>
    <w:p>
      <w:pPr>
        <w:spacing w:after="0" w:line="208"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auto"/>
        </w:rPr>
        <w:t>The policy also prohibits Directors and Section 16 Officers and their respective designees from entering into any transaction that involves the holding of our securities in a margin account (other than the “cashless exercise” of stock options) or the pledging of our securities as collateral for loans. The Viatris Compensation Committee may approve exceptions to the prohibition on the use of margin accounts or pledging or</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86"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securities if, among other factors, the Director or Section 16 Officer demonstrates, in advance, that he or she has the continuing financial capacity to repay any underlying loan or potential margin call without resorting to our securities held in such margin account or our pledged securities and is not in possession of any material information about the Company that has not been made widely available to the investing public.</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Consideration of Risk in Company Compensation Policies</w:t>
      </w:r>
    </w:p>
    <w:p>
      <w:pPr>
        <w:spacing w:after="0" w:line="128" w:lineRule="exact"/>
        <w:rPr>
          <w:sz w:val="20"/>
          <w:szCs w:val="20"/>
          <w:color w:val="auto"/>
        </w:rPr>
      </w:pPr>
    </w:p>
    <w:p>
      <w:pPr>
        <w:jc w:val="both"/>
        <w:ind w:left="120" w:right="20"/>
        <w:spacing w:after="0" w:line="248" w:lineRule="auto"/>
        <w:rPr>
          <w:sz w:val="20"/>
          <w:szCs w:val="20"/>
          <w:color w:val="auto"/>
        </w:rPr>
      </w:pPr>
      <w:r>
        <w:rPr>
          <w:rFonts w:ascii="Arial" w:cs="Arial" w:eastAsia="Arial" w:hAnsi="Arial"/>
          <w:sz w:val="16"/>
          <w:szCs w:val="16"/>
          <w:color w:val="auto"/>
        </w:rPr>
        <w:t>The Compensation Committee has considered risk management in determining compensation policies and believes that our programs are designed appropriately to encourage outstanding, consistent, sustainable business performance over extended periods of time. Management and the Compensation Committee have considered and discussed the risks inherent in our business and the design of our compensation plans, policies and programs that are intended to drive the achievement of our long-term business objectives while avoiding excessive short-term risk-taking. In addition, we utilize a mix of objective performance measures, so that undue emphasis is not placed on one particular measure, and we employ different types of compensation to provide value over the short-, medium- and long-term. These performance measures are reevaluated annually in light of the evolving risk environment facing our business. When making compensation decisions, we also consider qualitative factors to avoid the consequences that an overly formulaic approach may have on excessive risk-taking by management. At least annually, the Compensation Committee also receives and discusses a report from Meridian Compensation Partners, LLC (“Meridian”), its independent compensation consultant, on risk management in connection with the Company’s compensation program.</w:t>
      </w:r>
    </w:p>
    <w:p>
      <w:pPr>
        <w:spacing w:after="0" w:line="205"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The Compensation Committee believes that our compensation policies and practices do not encourage excessive risk and are not reasonably likely to have a material adverse effect on the Company.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Compensation Committee</w:t>
      </w:r>
    </w:p>
    <w:p>
      <w:pPr>
        <w:spacing w:after="0" w:line="128"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6"/>
          <w:szCs w:val="16"/>
          <w:color w:val="auto"/>
        </w:rPr>
        <w:t>The Compensation Committee is comprised solely of independent Directors and oversees the design and implementation of our executive compensation programs. The Compensation Committee reviews and evaluates the performance of our NEOs and determines their compensation and objectives, or, in the case of our Executive Chairman and CEO, recommends compensation and objectives to the independent, non-executive members of the Board. The Compensation Committee monitors compensation trends and developments periodically and undertakes a comprehensive assessment of our compensation programs at least annually. In fulfilling these responsibilities, the Compensation Committee utilizes the support of independent compensation consulting firms, independent outside counsel, and an internal executive compensation team.</w:t>
      </w:r>
    </w:p>
    <w:p>
      <w:pPr>
        <w:spacing w:after="0" w:line="205" w:lineRule="exact"/>
        <w:rPr>
          <w:sz w:val="20"/>
          <w:szCs w:val="20"/>
          <w:color w:val="auto"/>
        </w:rPr>
      </w:pPr>
    </w:p>
    <w:p>
      <w:pPr>
        <w:jc w:val="both"/>
        <w:ind w:left="120"/>
        <w:spacing w:after="0" w:line="251" w:lineRule="auto"/>
        <w:rPr>
          <w:sz w:val="20"/>
          <w:szCs w:val="20"/>
          <w:color w:val="auto"/>
        </w:rPr>
      </w:pPr>
      <w:r>
        <w:rPr>
          <w:rFonts w:ascii="Arial" w:cs="Arial" w:eastAsia="Arial" w:hAnsi="Arial"/>
          <w:sz w:val="16"/>
          <w:szCs w:val="16"/>
          <w:color w:val="auto"/>
        </w:rPr>
        <w:t>The Compensation Committee has retained Meridian to provide advice and information regarding the design and implementation of Viatris’ executive compensation programs. Meridian also provided information to the Compensation Committee regarding regulatory and other technical developments that may be relevant to our executive compensation programs. In addition, Meridian provided the Compensation Committee with competitive market information, analyses and trends on executive base salary, annual incentives, long-term incentives, benefits and perquisites.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Compensation Committee also receives advice from outside counsel including, but not limited to, Cravath, Swaine &amp; Moore LLP.</w:t>
      </w:r>
    </w:p>
    <w:p>
      <w:pPr>
        <w:spacing w:after="0" w:line="221"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The Compensation Committee performs an annual review of the independence of its outside advisors, consistent with NASDAQ requirements and the Compensation Committee charter.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86"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Deduction Cap on Executive Compensation</w:t>
      </w:r>
    </w:p>
    <w:p>
      <w:pPr>
        <w:spacing w:after="0" w:line="128" w:lineRule="exact"/>
        <w:rPr>
          <w:sz w:val="20"/>
          <w:szCs w:val="20"/>
          <w:color w:val="auto"/>
        </w:rPr>
      </w:pPr>
    </w:p>
    <w:p>
      <w:pPr>
        <w:jc w:val="both"/>
        <w:ind w:left="120"/>
        <w:spacing w:after="0" w:line="249" w:lineRule="auto"/>
        <w:rPr>
          <w:sz w:val="20"/>
          <w:szCs w:val="20"/>
          <w:color w:val="auto"/>
        </w:rPr>
      </w:pPr>
      <w:r>
        <w:rPr>
          <w:rFonts w:ascii="Arial" w:cs="Arial" w:eastAsia="Arial" w:hAnsi="Arial"/>
          <w:sz w:val="16"/>
          <w:szCs w:val="16"/>
          <w:color w:val="auto"/>
        </w:rPr>
        <w:t>Section 162(m) of the Code restricts the deductibility for U.S. federal income tax purposes of the compensation paid to the CEO, CFO, each of the other NEOs who was an executive officer at the end of the applicable fiscal year, and certain other executives to the extent that such compensation for such executive exceeds $1 million. As a result, except to the extent provided in limited transition relief, compensation over $1 million paid to any NEO is no longer deductible under Section 162(m) of the Code. The Board and the Compensation Committee reserve the right to provide compensation to our executives that is not deductible, including, but not limited to, when necessary to comply with contractual commitments, or to maintain the flexibility needed to attract talent, promote retention, or recognize and reward desired performance.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Report</w:t>
      </w:r>
    </w:p>
    <w:p>
      <w:pPr>
        <w:spacing w:after="0" w:line="128"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We have reviewed and discussed the CD&amp;A with management. Based on such review and discussions, we recommended to the Board that the CD&amp;A be included in this Amendment.</w:t>
      </w:r>
    </w:p>
    <w:p>
      <w:pPr>
        <w:spacing w:after="0" w:line="195"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Respectfully submitted,</w:t>
      </w:r>
    </w:p>
    <w:p>
      <w:pPr>
        <w:spacing w:after="0" w:line="221"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Melina Higgins, Chair</w:t>
      </w:r>
    </w:p>
    <w:p>
      <w:pPr>
        <w:spacing w:after="0" w:line="5"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Neil Dimick</w:t>
      </w:r>
    </w:p>
    <w:p>
      <w:pPr>
        <w:spacing w:after="0" w:line="5"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James M. Kilts</w:t>
      </w:r>
    </w:p>
    <w:p>
      <w:pPr>
        <w:spacing w:after="0" w:line="5"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Pauline van der Meer Mohr</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8"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None of the members of the Compensation Committee during 2021 was an officer or employee of Viatris, was formerly an officer of Viatris, or had any relationship requiring disclosure by Viatris under Item 404 of Regulation S-K. During 2021, no executive officer of Viatris served on the compensation committee or board of another entity, one of whose executive officers served on the Compensation Committee or the Board of Viatris.</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86"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666666"/>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732282"/>
        </w:rPr>
        <w:t>2021 Summary Compensation Table</w:t>
      </w:r>
    </w:p>
    <w:p>
      <w:pPr>
        <w:spacing w:after="0" w:line="128" w:lineRule="exact"/>
        <w:rPr>
          <w:sz w:val="20"/>
          <w:szCs w:val="20"/>
          <w:color w:val="auto"/>
        </w:rPr>
      </w:pPr>
    </w:p>
    <w:p>
      <w:pPr>
        <w:jc w:val="both"/>
        <w:ind w:left="120" w:right="20"/>
        <w:spacing w:after="0" w:line="251" w:lineRule="auto"/>
        <w:rPr>
          <w:sz w:val="20"/>
          <w:szCs w:val="20"/>
          <w:color w:val="auto"/>
        </w:rPr>
      </w:pPr>
      <w:r>
        <w:rPr>
          <w:rFonts w:ascii="Arial" w:cs="Arial" w:eastAsia="Arial" w:hAnsi="Arial"/>
          <w:sz w:val="16"/>
          <w:szCs w:val="16"/>
          <w:color w:val="auto"/>
        </w:rPr>
        <w:t>The following summary compensation table sets forth the cash and non-cash compensation paid or granted to or earned by the NEOs. The 2021 compensation reflects the first full year of Viatris’ simplified performance-based compensation program. Portions of reported 2020 compensation include one-time transaction-related items and address certain legacy company (Upjohn and Mylan) commitments that are not components of the Viatris 2021 compensation program.</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300" w:type="dxa"/>
            <w:vAlign w:val="bottom"/>
            <w:shd w:val="clear" w:color="auto" w:fill="444444"/>
          </w:tcPr>
          <w:p>
            <w:pPr>
              <w:spacing w:after="0"/>
              <w:rPr>
                <w:sz w:val="13"/>
                <w:szCs w:val="13"/>
                <w:color w:val="auto"/>
              </w:rPr>
            </w:pPr>
          </w:p>
        </w:tc>
        <w:tc>
          <w:tcPr>
            <w:tcW w:w="580" w:type="dxa"/>
            <w:vAlign w:val="bottom"/>
            <w:shd w:val="clear" w:color="auto" w:fill="444444"/>
          </w:tcPr>
          <w:p>
            <w:pPr>
              <w:spacing w:after="0"/>
              <w:rPr>
                <w:sz w:val="13"/>
                <w:szCs w:val="13"/>
                <w:color w:val="auto"/>
              </w:rPr>
            </w:pPr>
          </w:p>
        </w:tc>
        <w:tc>
          <w:tcPr>
            <w:tcW w:w="800" w:type="dxa"/>
            <w:vAlign w:val="bottom"/>
            <w:shd w:val="clear" w:color="auto" w:fill="444444"/>
          </w:tcPr>
          <w:p>
            <w:pPr>
              <w:spacing w:after="0"/>
              <w:rPr>
                <w:sz w:val="13"/>
                <w:szCs w:val="13"/>
                <w:color w:val="auto"/>
              </w:rPr>
            </w:pPr>
          </w:p>
        </w:tc>
        <w:tc>
          <w:tcPr>
            <w:tcW w:w="880" w:type="dxa"/>
            <w:vAlign w:val="bottom"/>
            <w:shd w:val="clear" w:color="auto" w:fill="444444"/>
          </w:tcPr>
          <w:p>
            <w:pPr>
              <w:spacing w:after="0"/>
              <w:rPr>
                <w:sz w:val="13"/>
                <w:szCs w:val="13"/>
                <w:color w:val="auto"/>
              </w:rPr>
            </w:pPr>
          </w:p>
        </w:tc>
        <w:tc>
          <w:tcPr>
            <w:tcW w:w="860" w:type="dxa"/>
            <w:vAlign w:val="bottom"/>
            <w:shd w:val="clear" w:color="auto" w:fill="444444"/>
          </w:tcPr>
          <w:p>
            <w:pPr>
              <w:spacing w:after="0"/>
              <w:rPr>
                <w:sz w:val="13"/>
                <w:szCs w:val="13"/>
                <w:color w:val="auto"/>
              </w:rPr>
            </w:pPr>
          </w:p>
        </w:tc>
        <w:tc>
          <w:tcPr>
            <w:tcW w:w="680" w:type="dxa"/>
            <w:vAlign w:val="bottom"/>
            <w:shd w:val="clear" w:color="auto" w:fill="444444"/>
          </w:tcPr>
          <w:p>
            <w:pPr>
              <w:spacing w:after="0"/>
              <w:rPr>
                <w:sz w:val="13"/>
                <w:szCs w:val="13"/>
                <w:color w:val="auto"/>
              </w:rPr>
            </w:pPr>
          </w:p>
        </w:tc>
        <w:tc>
          <w:tcPr>
            <w:tcW w:w="1020" w:type="dxa"/>
            <w:vAlign w:val="bottom"/>
            <w:shd w:val="clear" w:color="auto" w:fill="444444"/>
          </w:tcPr>
          <w:p>
            <w:pPr>
              <w:spacing w:after="0"/>
              <w:rPr>
                <w:sz w:val="13"/>
                <w:szCs w:val="13"/>
                <w:color w:val="auto"/>
              </w:rPr>
            </w:pPr>
          </w:p>
        </w:tc>
        <w:tc>
          <w:tcPr>
            <w:tcW w:w="1020" w:type="dxa"/>
            <w:vAlign w:val="bottom"/>
            <w:shd w:val="clear" w:color="auto" w:fill="444444"/>
          </w:tcPr>
          <w:p>
            <w:pPr>
              <w:jc w:val="right"/>
              <w:ind w:right="15"/>
              <w:spacing w:after="0"/>
              <w:rPr>
                <w:sz w:val="20"/>
                <w:szCs w:val="20"/>
                <w:color w:val="auto"/>
              </w:rPr>
            </w:pPr>
            <w:r>
              <w:rPr>
                <w:rFonts w:ascii="Arial" w:cs="Arial" w:eastAsia="Arial" w:hAnsi="Arial"/>
                <w:sz w:val="13"/>
                <w:szCs w:val="13"/>
                <w:b w:val="1"/>
                <w:bCs w:val="1"/>
                <w:color w:val="FFFFFF"/>
              </w:rPr>
              <w:t>Changes in</w:t>
            </w:r>
          </w:p>
        </w:tc>
        <w:tc>
          <w:tcPr>
            <w:tcW w:w="1020" w:type="dxa"/>
            <w:vAlign w:val="bottom"/>
            <w:shd w:val="clear" w:color="auto" w:fill="444444"/>
          </w:tcPr>
          <w:p>
            <w:pPr>
              <w:spacing w:after="0"/>
              <w:rPr>
                <w:sz w:val="13"/>
                <w:szCs w:val="13"/>
                <w:color w:val="auto"/>
              </w:rPr>
            </w:pPr>
          </w:p>
        </w:tc>
        <w:tc>
          <w:tcPr>
            <w:tcW w:w="860" w:type="dxa"/>
            <w:vAlign w:val="bottom"/>
            <w:shd w:val="clear" w:color="auto" w:fill="444444"/>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00" w:type="dxa"/>
            <w:vAlign w:val="bottom"/>
            <w:shd w:val="clear" w:color="auto" w:fill="444444"/>
          </w:tcPr>
          <w:p>
            <w:pPr>
              <w:spacing w:after="0"/>
              <w:rPr>
                <w:sz w:val="11"/>
                <w:szCs w:val="11"/>
                <w:color w:val="auto"/>
              </w:rPr>
            </w:pPr>
          </w:p>
        </w:tc>
        <w:tc>
          <w:tcPr>
            <w:tcW w:w="580" w:type="dxa"/>
            <w:vAlign w:val="bottom"/>
            <w:shd w:val="clear" w:color="auto" w:fill="444444"/>
          </w:tcPr>
          <w:p>
            <w:pPr>
              <w:spacing w:after="0"/>
              <w:rPr>
                <w:sz w:val="11"/>
                <w:szCs w:val="11"/>
                <w:color w:val="auto"/>
              </w:rPr>
            </w:pPr>
          </w:p>
        </w:tc>
        <w:tc>
          <w:tcPr>
            <w:tcW w:w="800" w:type="dxa"/>
            <w:vAlign w:val="bottom"/>
            <w:shd w:val="clear" w:color="auto" w:fill="444444"/>
          </w:tcPr>
          <w:p>
            <w:pPr>
              <w:spacing w:after="0"/>
              <w:rPr>
                <w:sz w:val="11"/>
                <w:szCs w:val="11"/>
                <w:color w:val="auto"/>
              </w:rPr>
            </w:pPr>
          </w:p>
        </w:tc>
        <w:tc>
          <w:tcPr>
            <w:tcW w:w="880" w:type="dxa"/>
            <w:vAlign w:val="bottom"/>
            <w:shd w:val="clear" w:color="auto" w:fill="444444"/>
          </w:tcPr>
          <w:p>
            <w:pPr>
              <w:spacing w:after="0"/>
              <w:rPr>
                <w:sz w:val="11"/>
                <w:szCs w:val="11"/>
                <w:color w:val="auto"/>
              </w:rPr>
            </w:pPr>
          </w:p>
        </w:tc>
        <w:tc>
          <w:tcPr>
            <w:tcW w:w="860" w:type="dxa"/>
            <w:vAlign w:val="bottom"/>
            <w:shd w:val="clear" w:color="auto" w:fill="444444"/>
          </w:tcPr>
          <w:p>
            <w:pPr>
              <w:spacing w:after="0"/>
              <w:rPr>
                <w:sz w:val="11"/>
                <w:szCs w:val="11"/>
                <w:color w:val="auto"/>
              </w:rPr>
            </w:pPr>
          </w:p>
        </w:tc>
        <w:tc>
          <w:tcPr>
            <w:tcW w:w="680" w:type="dxa"/>
            <w:vAlign w:val="bottom"/>
            <w:shd w:val="clear" w:color="auto" w:fill="444444"/>
          </w:tcPr>
          <w:p>
            <w:pPr>
              <w:spacing w:after="0"/>
              <w:rPr>
                <w:sz w:val="11"/>
                <w:szCs w:val="11"/>
                <w:color w:val="auto"/>
              </w:rPr>
            </w:pPr>
          </w:p>
        </w:tc>
        <w:tc>
          <w:tcPr>
            <w:tcW w:w="1020" w:type="dxa"/>
            <w:vAlign w:val="bottom"/>
            <w:shd w:val="clear" w:color="auto" w:fill="444444"/>
          </w:tcPr>
          <w:p>
            <w:pPr>
              <w:spacing w:after="0"/>
              <w:rPr>
                <w:sz w:val="11"/>
                <w:szCs w:val="11"/>
                <w:color w:val="auto"/>
              </w:rPr>
            </w:pPr>
          </w:p>
        </w:tc>
        <w:tc>
          <w:tcPr>
            <w:tcW w:w="1020" w:type="dxa"/>
            <w:vAlign w:val="bottom"/>
            <w:shd w:val="clear" w:color="auto" w:fill="444444"/>
          </w:tcPr>
          <w:p>
            <w:pPr>
              <w:jc w:val="right"/>
              <w:ind w:right="15"/>
              <w:spacing w:after="0" w:line="135" w:lineRule="exact"/>
              <w:rPr>
                <w:sz w:val="20"/>
                <w:szCs w:val="20"/>
                <w:color w:val="auto"/>
              </w:rPr>
            </w:pPr>
            <w:r>
              <w:rPr>
                <w:rFonts w:ascii="Arial" w:cs="Arial" w:eastAsia="Arial" w:hAnsi="Arial"/>
                <w:sz w:val="13"/>
                <w:szCs w:val="13"/>
                <w:b w:val="1"/>
                <w:bCs w:val="1"/>
                <w:color w:val="FFFFFF"/>
              </w:rPr>
              <w:t>Pension Value</w:t>
            </w:r>
          </w:p>
        </w:tc>
        <w:tc>
          <w:tcPr>
            <w:tcW w:w="1020" w:type="dxa"/>
            <w:vAlign w:val="bottom"/>
            <w:shd w:val="clear" w:color="auto" w:fill="444444"/>
          </w:tcPr>
          <w:p>
            <w:pPr>
              <w:spacing w:after="0"/>
              <w:rPr>
                <w:sz w:val="11"/>
                <w:szCs w:val="11"/>
                <w:color w:val="auto"/>
              </w:rPr>
            </w:pPr>
          </w:p>
        </w:tc>
        <w:tc>
          <w:tcPr>
            <w:tcW w:w="860" w:type="dxa"/>
            <w:vAlign w:val="bottom"/>
            <w:shd w:val="clear" w:color="auto" w:fill="444444"/>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shd w:val="clear" w:color="auto" w:fill="444444"/>
          </w:tcPr>
          <w:p>
            <w:pPr>
              <w:spacing w:after="0"/>
              <w:rPr>
                <w:sz w:val="11"/>
                <w:szCs w:val="11"/>
                <w:color w:val="auto"/>
              </w:rPr>
            </w:pPr>
          </w:p>
        </w:tc>
        <w:tc>
          <w:tcPr>
            <w:tcW w:w="580" w:type="dxa"/>
            <w:vAlign w:val="bottom"/>
            <w:shd w:val="clear" w:color="auto" w:fill="444444"/>
          </w:tcPr>
          <w:p>
            <w:pPr>
              <w:spacing w:after="0"/>
              <w:rPr>
                <w:sz w:val="11"/>
                <w:szCs w:val="11"/>
                <w:color w:val="auto"/>
              </w:rPr>
            </w:pPr>
          </w:p>
        </w:tc>
        <w:tc>
          <w:tcPr>
            <w:tcW w:w="800" w:type="dxa"/>
            <w:vAlign w:val="bottom"/>
            <w:shd w:val="clear" w:color="auto" w:fill="444444"/>
          </w:tcPr>
          <w:p>
            <w:pPr>
              <w:spacing w:after="0"/>
              <w:rPr>
                <w:sz w:val="11"/>
                <w:szCs w:val="11"/>
                <w:color w:val="auto"/>
              </w:rPr>
            </w:pPr>
          </w:p>
        </w:tc>
        <w:tc>
          <w:tcPr>
            <w:tcW w:w="880" w:type="dxa"/>
            <w:vAlign w:val="bottom"/>
            <w:shd w:val="clear" w:color="auto" w:fill="444444"/>
          </w:tcPr>
          <w:p>
            <w:pPr>
              <w:spacing w:after="0"/>
              <w:rPr>
                <w:sz w:val="11"/>
                <w:szCs w:val="11"/>
                <w:color w:val="auto"/>
              </w:rPr>
            </w:pPr>
          </w:p>
        </w:tc>
        <w:tc>
          <w:tcPr>
            <w:tcW w:w="860" w:type="dxa"/>
            <w:vAlign w:val="bottom"/>
            <w:shd w:val="clear" w:color="auto" w:fill="444444"/>
          </w:tcPr>
          <w:p>
            <w:pPr>
              <w:spacing w:after="0"/>
              <w:rPr>
                <w:sz w:val="11"/>
                <w:szCs w:val="11"/>
                <w:color w:val="auto"/>
              </w:rPr>
            </w:pPr>
          </w:p>
        </w:tc>
        <w:tc>
          <w:tcPr>
            <w:tcW w:w="680" w:type="dxa"/>
            <w:vAlign w:val="bottom"/>
            <w:shd w:val="clear" w:color="auto" w:fill="444444"/>
          </w:tcPr>
          <w:p>
            <w:pPr>
              <w:spacing w:after="0"/>
              <w:rPr>
                <w:sz w:val="11"/>
                <w:szCs w:val="11"/>
                <w:color w:val="auto"/>
              </w:rPr>
            </w:pPr>
          </w:p>
        </w:tc>
        <w:tc>
          <w:tcPr>
            <w:tcW w:w="1020" w:type="dxa"/>
            <w:vAlign w:val="bottom"/>
            <w:shd w:val="clear" w:color="auto" w:fill="444444"/>
          </w:tcPr>
          <w:p>
            <w:pPr>
              <w:spacing w:after="0"/>
              <w:rPr>
                <w:sz w:val="11"/>
                <w:szCs w:val="11"/>
                <w:color w:val="auto"/>
              </w:rPr>
            </w:pPr>
          </w:p>
        </w:tc>
        <w:tc>
          <w:tcPr>
            <w:tcW w:w="1020" w:type="dxa"/>
            <w:vAlign w:val="bottom"/>
            <w:shd w:val="clear" w:color="auto" w:fill="444444"/>
          </w:tcPr>
          <w:p>
            <w:pPr>
              <w:jc w:val="right"/>
              <w:ind w:right="15"/>
              <w:spacing w:after="0" w:line="135" w:lineRule="exact"/>
              <w:rPr>
                <w:sz w:val="20"/>
                <w:szCs w:val="20"/>
                <w:color w:val="auto"/>
              </w:rPr>
            </w:pPr>
            <w:r>
              <w:rPr>
                <w:rFonts w:ascii="Arial" w:cs="Arial" w:eastAsia="Arial" w:hAnsi="Arial"/>
                <w:sz w:val="13"/>
                <w:szCs w:val="13"/>
                <w:b w:val="1"/>
                <w:bCs w:val="1"/>
                <w:color w:val="FFFFFF"/>
              </w:rPr>
              <w:t>and Non-</w:t>
            </w:r>
          </w:p>
        </w:tc>
        <w:tc>
          <w:tcPr>
            <w:tcW w:w="1020" w:type="dxa"/>
            <w:vAlign w:val="bottom"/>
            <w:shd w:val="clear" w:color="auto" w:fill="444444"/>
          </w:tcPr>
          <w:p>
            <w:pPr>
              <w:spacing w:after="0"/>
              <w:rPr>
                <w:sz w:val="11"/>
                <w:szCs w:val="11"/>
                <w:color w:val="auto"/>
              </w:rPr>
            </w:pPr>
          </w:p>
        </w:tc>
        <w:tc>
          <w:tcPr>
            <w:tcW w:w="860" w:type="dxa"/>
            <w:vAlign w:val="bottom"/>
            <w:shd w:val="clear" w:color="auto" w:fill="444444"/>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shd w:val="clear" w:color="auto" w:fill="444444"/>
          </w:tcPr>
          <w:p>
            <w:pPr>
              <w:spacing w:after="0"/>
              <w:rPr>
                <w:sz w:val="11"/>
                <w:szCs w:val="11"/>
                <w:color w:val="auto"/>
              </w:rPr>
            </w:pPr>
          </w:p>
        </w:tc>
        <w:tc>
          <w:tcPr>
            <w:tcW w:w="580" w:type="dxa"/>
            <w:vAlign w:val="bottom"/>
            <w:shd w:val="clear" w:color="auto" w:fill="444444"/>
          </w:tcPr>
          <w:p>
            <w:pPr>
              <w:spacing w:after="0"/>
              <w:rPr>
                <w:sz w:val="11"/>
                <w:szCs w:val="11"/>
                <w:color w:val="auto"/>
              </w:rPr>
            </w:pPr>
          </w:p>
        </w:tc>
        <w:tc>
          <w:tcPr>
            <w:tcW w:w="800" w:type="dxa"/>
            <w:vAlign w:val="bottom"/>
            <w:shd w:val="clear" w:color="auto" w:fill="444444"/>
          </w:tcPr>
          <w:p>
            <w:pPr>
              <w:spacing w:after="0"/>
              <w:rPr>
                <w:sz w:val="11"/>
                <w:szCs w:val="11"/>
                <w:color w:val="auto"/>
              </w:rPr>
            </w:pPr>
          </w:p>
        </w:tc>
        <w:tc>
          <w:tcPr>
            <w:tcW w:w="880" w:type="dxa"/>
            <w:vAlign w:val="bottom"/>
            <w:shd w:val="clear" w:color="auto" w:fill="444444"/>
          </w:tcPr>
          <w:p>
            <w:pPr>
              <w:spacing w:after="0"/>
              <w:rPr>
                <w:sz w:val="11"/>
                <w:szCs w:val="11"/>
                <w:color w:val="auto"/>
              </w:rPr>
            </w:pPr>
          </w:p>
        </w:tc>
        <w:tc>
          <w:tcPr>
            <w:tcW w:w="860" w:type="dxa"/>
            <w:vAlign w:val="bottom"/>
            <w:shd w:val="clear" w:color="auto" w:fill="444444"/>
          </w:tcPr>
          <w:p>
            <w:pPr>
              <w:spacing w:after="0"/>
              <w:rPr>
                <w:sz w:val="11"/>
                <w:szCs w:val="11"/>
                <w:color w:val="auto"/>
              </w:rPr>
            </w:pPr>
          </w:p>
        </w:tc>
        <w:tc>
          <w:tcPr>
            <w:tcW w:w="680" w:type="dxa"/>
            <w:vAlign w:val="bottom"/>
            <w:shd w:val="clear" w:color="auto" w:fill="444444"/>
          </w:tcPr>
          <w:p>
            <w:pPr>
              <w:spacing w:after="0"/>
              <w:rPr>
                <w:sz w:val="11"/>
                <w:szCs w:val="11"/>
                <w:color w:val="auto"/>
              </w:rPr>
            </w:pPr>
          </w:p>
        </w:tc>
        <w:tc>
          <w:tcPr>
            <w:tcW w:w="1020" w:type="dxa"/>
            <w:vAlign w:val="bottom"/>
            <w:shd w:val="clear" w:color="auto" w:fill="444444"/>
          </w:tcPr>
          <w:p>
            <w:pPr>
              <w:spacing w:after="0"/>
              <w:rPr>
                <w:sz w:val="11"/>
                <w:szCs w:val="11"/>
                <w:color w:val="auto"/>
              </w:rPr>
            </w:pPr>
          </w:p>
        </w:tc>
        <w:tc>
          <w:tcPr>
            <w:tcW w:w="1020" w:type="dxa"/>
            <w:vAlign w:val="bottom"/>
            <w:shd w:val="clear" w:color="auto" w:fill="444444"/>
          </w:tcPr>
          <w:p>
            <w:pPr>
              <w:jc w:val="right"/>
              <w:ind w:right="15"/>
              <w:spacing w:after="0" w:line="135" w:lineRule="exact"/>
              <w:rPr>
                <w:sz w:val="20"/>
                <w:szCs w:val="20"/>
                <w:color w:val="auto"/>
              </w:rPr>
            </w:pPr>
            <w:r>
              <w:rPr>
                <w:rFonts w:ascii="Arial" w:cs="Arial" w:eastAsia="Arial" w:hAnsi="Arial"/>
                <w:sz w:val="13"/>
                <w:szCs w:val="13"/>
                <w:b w:val="1"/>
                <w:bCs w:val="1"/>
                <w:color w:val="FFFFFF"/>
              </w:rPr>
              <w:t>qualified</w:t>
            </w:r>
          </w:p>
        </w:tc>
        <w:tc>
          <w:tcPr>
            <w:tcW w:w="1020" w:type="dxa"/>
            <w:vAlign w:val="bottom"/>
            <w:shd w:val="clear" w:color="auto" w:fill="444444"/>
          </w:tcPr>
          <w:p>
            <w:pPr>
              <w:spacing w:after="0"/>
              <w:rPr>
                <w:sz w:val="11"/>
                <w:szCs w:val="11"/>
                <w:color w:val="auto"/>
              </w:rPr>
            </w:pPr>
          </w:p>
        </w:tc>
        <w:tc>
          <w:tcPr>
            <w:tcW w:w="860" w:type="dxa"/>
            <w:vAlign w:val="bottom"/>
            <w:shd w:val="clear" w:color="auto" w:fill="444444"/>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shd w:val="clear" w:color="auto" w:fill="444444"/>
          </w:tcPr>
          <w:p>
            <w:pPr>
              <w:spacing w:after="0"/>
              <w:rPr>
                <w:sz w:val="11"/>
                <w:szCs w:val="11"/>
                <w:color w:val="auto"/>
              </w:rPr>
            </w:pPr>
          </w:p>
        </w:tc>
        <w:tc>
          <w:tcPr>
            <w:tcW w:w="580" w:type="dxa"/>
            <w:vAlign w:val="bottom"/>
            <w:shd w:val="clear" w:color="auto" w:fill="444444"/>
          </w:tcPr>
          <w:p>
            <w:pPr>
              <w:spacing w:after="0"/>
              <w:rPr>
                <w:sz w:val="11"/>
                <w:szCs w:val="11"/>
                <w:color w:val="auto"/>
              </w:rPr>
            </w:pPr>
          </w:p>
        </w:tc>
        <w:tc>
          <w:tcPr>
            <w:tcW w:w="800" w:type="dxa"/>
            <w:vAlign w:val="bottom"/>
            <w:shd w:val="clear" w:color="auto" w:fill="444444"/>
          </w:tcPr>
          <w:p>
            <w:pPr>
              <w:spacing w:after="0"/>
              <w:rPr>
                <w:sz w:val="11"/>
                <w:szCs w:val="11"/>
                <w:color w:val="auto"/>
              </w:rPr>
            </w:pPr>
          </w:p>
        </w:tc>
        <w:tc>
          <w:tcPr>
            <w:tcW w:w="880" w:type="dxa"/>
            <w:vAlign w:val="bottom"/>
            <w:shd w:val="clear" w:color="auto" w:fill="444444"/>
          </w:tcPr>
          <w:p>
            <w:pPr>
              <w:spacing w:after="0"/>
              <w:rPr>
                <w:sz w:val="11"/>
                <w:szCs w:val="11"/>
                <w:color w:val="auto"/>
              </w:rPr>
            </w:pPr>
          </w:p>
        </w:tc>
        <w:tc>
          <w:tcPr>
            <w:tcW w:w="860" w:type="dxa"/>
            <w:vAlign w:val="bottom"/>
            <w:shd w:val="clear" w:color="auto" w:fill="444444"/>
          </w:tcPr>
          <w:p>
            <w:pPr>
              <w:spacing w:after="0"/>
              <w:rPr>
                <w:sz w:val="11"/>
                <w:szCs w:val="11"/>
                <w:color w:val="auto"/>
              </w:rPr>
            </w:pPr>
          </w:p>
        </w:tc>
        <w:tc>
          <w:tcPr>
            <w:tcW w:w="680" w:type="dxa"/>
            <w:vAlign w:val="bottom"/>
            <w:shd w:val="clear" w:color="auto" w:fill="444444"/>
          </w:tcPr>
          <w:p>
            <w:pPr>
              <w:spacing w:after="0"/>
              <w:rPr>
                <w:sz w:val="11"/>
                <w:szCs w:val="11"/>
                <w:color w:val="auto"/>
              </w:rPr>
            </w:pPr>
          </w:p>
        </w:tc>
        <w:tc>
          <w:tcPr>
            <w:tcW w:w="1020" w:type="dxa"/>
            <w:vAlign w:val="bottom"/>
            <w:shd w:val="clear" w:color="auto" w:fill="444444"/>
          </w:tcPr>
          <w:p>
            <w:pPr>
              <w:jc w:val="right"/>
              <w:ind w:right="14"/>
              <w:spacing w:after="0" w:line="135" w:lineRule="exact"/>
              <w:rPr>
                <w:sz w:val="20"/>
                <w:szCs w:val="20"/>
                <w:color w:val="auto"/>
              </w:rPr>
            </w:pPr>
            <w:r>
              <w:rPr>
                <w:rFonts w:ascii="Arial" w:cs="Arial" w:eastAsia="Arial" w:hAnsi="Arial"/>
                <w:sz w:val="13"/>
                <w:szCs w:val="13"/>
                <w:b w:val="1"/>
                <w:bCs w:val="1"/>
                <w:color w:val="FFFFFF"/>
              </w:rPr>
              <w:t>Non-Equity</w:t>
            </w:r>
          </w:p>
        </w:tc>
        <w:tc>
          <w:tcPr>
            <w:tcW w:w="1020" w:type="dxa"/>
            <w:vAlign w:val="bottom"/>
            <w:shd w:val="clear" w:color="auto" w:fill="444444"/>
          </w:tcPr>
          <w:p>
            <w:pPr>
              <w:jc w:val="right"/>
              <w:ind w:right="15"/>
              <w:spacing w:after="0" w:line="135" w:lineRule="exact"/>
              <w:rPr>
                <w:sz w:val="20"/>
                <w:szCs w:val="20"/>
                <w:color w:val="auto"/>
              </w:rPr>
            </w:pPr>
            <w:r>
              <w:rPr>
                <w:rFonts w:ascii="Arial" w:cs="Arial" w:eastAsia="Arial" w:hAnsi="Arial"/>
                <w:sz w:val="13"/>
                <w:szCs w:val="13"/>
                <w:b w:val="1"/>
                <w:bCs w:val="1"/>
                <w:color w:val="FFFFFF"/>
              </w:rPr>
              <w:t>Deferred</w:t>
            </w:r>
          </w:p>
        </w:tc>
        <w:tc>
          <w:tcPr>
            <w:tcW w:w="1020" w:type="dxa"/>
            <w:vAlign w:val="bottom"/>
            <w:shd w:val="clear" w:color="auto" w:fill="444444"/>
          </w:tcPr>
          <w:p>
            <w:pPr>
              <w:spacing w:after="0"/>
              <w:rPr>
                <w:sz w:val="11"/>
                <w:szCs w:val="11"/>
                <w:color w:val="auto"/>
              </w:rPr>
            </w:pPr>
          </w:p>
        </w:tc>
        <w:tc>
          <w:tcPr>
            <w:tcW w:w="860" w:type="dxa"/>
            <w:vAlign w:val="bottom"/>
            <w:shd w:val="clear" w:color="auto" w:fill="444444"/>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vMerge w:val="restart"/>
            <w:shd w:val="clear" w:color="auto" w:fill="444444"/>
          </w:tcPr>
          <w:p>
            <w:pPr>
              <w:ind w:left="60"/>
              <w:spacing w:after="0"/>
              <w:rPr>
                <w:sz w:val="20"/>
                <w:szCs w:val="20"/>
                <w:color w:val="auto"/>
              </w:rPr>
            </w:pPr>
            <w:r>
              <w:rPr>
                <w:rFonts w:ascii="Arial" w:cs="Arial" w:eastAsia="Arial" w:hAnsi="Arial"/>
                <w:sz w:val="13"/>
                <w:szCs w:val="13"/>
                <w:b w:val="1"/>
                <w:bCs w:val="1"/>
                <w:color w:val="FFFFFF"/>
              </w:rPr>
              <w:t>Name and</w:t>
            </w:r>
          </w:p>
        </w:tc>
        <w:tc>
          <w:tcPr>
            <w:tcW w:w="580" w:type="dxa"/>
            <w:vAlign w:val="bottom"/>
            <w:shd w:val="clear" w:color="auto" w:fill="444444"/>
          </w:tcPr>
          <w:p>
            <w:pPr>
              <w:spacing w:after="0"/>
              <w:rPr>
                <w:sz w:val="11"/>
                <w:szCs w:val="11"/>
                <w:color w:val="auto"/>
              </w:rPr>
            </w:pPr>
          </w:p>
        </w:tc>
        <w:tc>
          <w:tcPr>
            <w:tcW w:w="800" w:type="dxa"/>
            <w:vAlign w:val="bottom"/>
            <w:shd w:val="clear" w:color="auto" w:fill="444444"/>
          </w:tcPr>
          <w:p>
            <w:pPr>
              <w:spacing w:after="0"/>
              <w:rPr>
                <w:sz w:val="11"/>
                <w:szCs w:val="11"/>
                <w:color w:val="auto"/>
              </w:rPr>
            </w:pPr>
          </w:p>
        </w:tc>
        <w:tc>
          <w:tcPr>
            <w:tcW w:w="880" w:type="dxa"/>
            <w:vAlign w:val="bottom"/>
            <w:shd w:val="clear" w:color="auto" w:fill="444444"/>
          </w:tcPr>
          <w:p>
            <w:pPr>
              <w:spacing w:after="0"/>
              <w:rPr>
                <w:sz w:val="11"/>
                <w:szCs w:val="11"/>
                <w:color w:val="auto"/>
              </w:rPr>
            </w:pPr>
          </w:p>
        </w:tc>
        <w:tc>
          <w:tcPr>
            <w:tcW w:w="860" w:type="dxa"/>
            <w:vAlign w:val="bottom"/>
            <w:shd w:val="clear" w:color="auto" w:fill="444444"/>
          </w:tcPr>
          <w:p>
            <w:pPr>
              <w:jc w:val="right"/>
              <w:ind w:right="34"/>
              <w:spacing w:after="0" w:line="135" w:lineRule="exact"/>
              <w:rPr>
                <w:sz w:val="20"/>
                <w:szCs w:val="20"/>
                <w:color w:val="auto"/>
              </w:rPr>
            </w:pPr>
            <w:r>
              <w:rPr>
                <w:rFonts w:ascii="Arial" w:cs="Arial" w:eastAsia="Arial" w:hAnsi="Arial"/>
                <w:sz w:val="13"/>
                <w:szCs w:val="13"/>
                <w:b w:val="1"/>
                <w:bCs w:val="1"/>
                <w:color w:val="FFFFFF"/>
              </w:rPr>
              <w:t>Stock</w:t>
            </w:r>
          </w:p>
        </w:tc>
        <w:tc>
          <w:tcPr>
            <w:tcW w:w="680" w:type="dxa"/>
            <w:vAlign w:val="bottom"/>
            <w:shd w:val="clear" w:color="auto" w:fill="444444"/>
          </w:tcPr>
          <w:p>
            <w:pPr>
              <w:jc w:val="right"/>
              <w:ind w:right="14"/>
              <w:spacing w:after="0" w:line="135" w:lineRule="exact"/>
              <w:rPr>
                <w:sz w:val="20"/>
                <w:szCs w:val="20"/>
                <w:color w:val="auto"/>
              </w:rPr>
            </w:pPr>
            <w:r>
              <w:rPr>
                <w:rFonts w:ascii="Arial" w:cs="Arial" w:eastAsia="Arial" w:hAnsi="Arial"/>
                <w:sz w:val="13"/>
                <w:szCs w:val="13"/>
                <w:b w:val="1"/>
                <w:bCs w:val="1"/>
                <w:color w:val="FFFFFF"/>
              </w:rPr>
              <w:t>Option</w:t>
            </w:r>
          </w:p>
        </w:tc>
        <w:tc>
          <w:tcPr>
            <w:tcW w:w="1020" w:type="dxa"/>
            <w:vAlign w:val="bottom"/>
            <w:shd w:val="clear" w:color="auto" w:fill="444444"/>
          </w:tcPr>
          <w:p>
            <w:pPr>
              <w:jc w:val="right"/>
              <w:ind w:right="14"/>
              <w:spacing w:after="0" w:line="135" w:lineRule="exact"/>
              <w:rPr>
                <w:sz w:val="20"/>
                <w:szCs w:val="20"/>
                <w:color w:val="auto"/>
              </w:rPr>
            </w:pPr>
            <w:r>
              <w:rPr>
                <w:rFonts w:ascii="Arial" w:cs="Arial" w:eastAsia="Arial" w:hAnsi="Arial"/>
                <w:sz w:val="13"/>
                <w:szCs w:val="13"/>
                <w:b w:val="1"/>
                <w:bCs w:val="1"/>
                <w:color w:val="FFFFFF"/>
              </w:rPr>
              <w:t>Incentive Plan</w:t>
            </w:r>
          </w:p>
        </w:tc>
        <w:tc>
          <w:tcPr>
            <w:tcW w:w="1020" w:type="dxa"/>
            <w:vAlign w:val="bottom"/>
            <w:shd w:val="clear" w:color="auto" w:fill="444444"/>
          </w:tcPr>
          <w:p>
            <w:pPr>
              <w:jc w:val="right"/>
              <w:ind w:right="15"/>
              <w:spacing w:after="0" w:line="135" w:lineRule="exact"/>
              <w:rPr>
                <w:sz w:val="20"/>
                <w:szCs w:val="20"/>
                <w:color w:val="auto"/>
              </w:rPr>
            </w:pPr>
            <w:r>
              <w:rPr>
                <w:rFonts w:ascii="Arial" w:cs="Arial" w:eastAsia="Arial" w:hAnsi="Arial"/>
                <w:sz w:val="13"/>
                <w:szCs w:val="13"/>
                <w:b w:val="1"/>
                <w:bCs w:val="1"/>
                <w:color w:val="FFFFFF"/>
              </w:rPr>
              <w:t>Compensation</w:t>
            </w:r>
          </w:p>
        </w:tc>
        <w:tc>
          <w:tcPr>
            <w:tcW w:w="1020" w:type="dxa"/>
            <w:vAlign w:val="bottom"/>
            <w:shd w:val="clear" w:color="auto" w:fill="444444"/>
          </w:tcPr>
          <w:p>
            <w:pPr>
              <w:jc w:val="right"/>
              <w:spacing w:after="0" w:line="135" w:lineRule="exact"/>
              <w:rPr>
                <w:sz w:val="20"/>
                <w:szCs w:val="20"/>
                <w:color w:val="auto"/>
              </w:rPr>
            </w:pPr>
            <w:r>
              <w:rPr>
                <w:rFonts w:ascii="Arial" w:cs="Arial" w:eastAsia="Arial" w:hAnsi="Arial"/>
                <w:sz w:val="13"/>
                <w:szCs w:val="13"/>
                <w:b w:val="1"/>
                <w:bCs w:val="1"/>
                <w:color w:val="FFFFFF"/>
              </w:rPr>
              <w:t>All Other</w:t>
            </w:r>
          </w:p>
        </w:tc>
        <w:tc>
          <w:tcPr>
            <w:tcW w:w="860" w:type="dxa"/>
            <w:vAlign w:val="bottom"/>
            <w:shd w:val="clear" w:color="auto" w:fill="444444"/>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300" w:type="dxa"/>
            <w:vAlign w:val="bottom"/>
            <w:vMerge w:val="continue"/>
            <w:shd w:val="clear" w:color="auto" w:fill="444444"/>
          </w:tcPr>
          <w:p>
            <w:pPr>
              <w:spacing w:after="0"/>
              <w:rPr>
                <w:sz w:val="11"/>
                <w:szCs w:val="11"/>
                <w:color w:val="auto"/>
              </w:rPr>
            </w:pPr>
          </w:p>
        </w:tc>
        <w:tc>
          <w:tcPr>
            <w:tcW w:w="580" w:type="dxa"/>
            <w:vAlign w:val="bottom"/>
            <w:shd w:val="clear" w:color="auto" w:fill="444444"/>
          </w:tcPr>
          <w:p>
            <w:pPr>
              <w:jc w:val="right"/>
              <w:ind w:right="33"/>
              <w:spacing w:after="0" w:line="130" w:lineRule="exact"/>
              <w:rPr>
                <w:sz w:val="20"/>
                <w:szCs w:val="20"/>
                <w:color w:val="auto"/>
              </w:rPr>
            </w:pPr>
            <w:r>
              <w:rPr>
                <w:rFonts w:ascii="Arial" w:cs="Arial" w:eastAsia="Arial" w:hAnsi="Arial"/>
                <w:sz w:val="13"/>
                <w:szCs w:val="13"/>
                <w:b w:val="1"/>
                <w:bCs w:val="1"/>
                <w:color w:val="FFFFFF"/>
              </w:rPr>
              <w:t>Fiscal</w:t>
            </w:r>
          </w:p>
        </w:tc>
        <w:tc>
          <w:tcPr>
            <w:tcW w:w="800" w:type="dxa"/>
            <w:vAlign w:val="bottom"/>
            <w:shd w:val="clear" w:color="auto" w:fill="444444"/>
          </w:tcPr>
          <w:p>
            <w:pPr>
              <w:jc w:val="right"/>
              <w:ind w:right="33"/>
              <w:spacing w:after="0" w:line="130" w:lineRule="exact"/>
              <w:rPr>
                <w:sz w:val="20"/>
                <w:szCs w:val="20"/>
                <w:color w:val="auto"/>
              </w:rPr>
            </w:pPr>
            <w:r>
              <w:rPr>
                <w:rFonts w:ascii="Arial" w:cs="Arial" w:eastAsia="Arial" w:hAnsi="Arial"/>
                <w:sz w:val="13"/>
                <w:szCs w:val="13"/>
                <w:b w:val="1"/>
                <w:bCs w:val="1"/>
                <w:color w:val="FFFFFF"/>
              </w:rPr>
              <w:t>Salary</w:t>
            </w:r>
          </w:p>
        </w:tc>
        <w:tc>
          <w:tcPr>
            <w:tcW w:w="880" w:type="dxa"/>
            <w:vAlign w:val="bottom"/>
            <w:shd w:val="clear" w:color="auto" w:fill="444444"/>
          </w:tcPr>
          <w:p>
            <w:pPr>
              <w:jc w:val="right"/>
              <w:ind w:right="33"/>
              <w:spacing w:after="0" w:line="130" w:lineRule="exact"/>
              <w:rPr>
                <w:sz w:val="20"/>
                <w:szCs w:val="20"/>
                <w:color w:val="auto"/>
              </w:rPr>
            </w:pPr>
            <w:r>
              <w:rPr>
                <w:rFonts w:ascii="Arial" w:cs="Arial" w:eastAsia="Arial" w:hAnsi="Arial"/>
                <w:sz w:val="13"/>
                <w:szCs w:val="13"/>
                <w:b w:val="1"/>
                <w:bCs w:val="1"/>
                <w:color w:val="FFFFFF"/>
              </w:rPr>
              <w:t>Bonus</w:t>
            </w:r>
          </w:p>
        </w:tc>
        <w:tc>
          <w:tcPr>
            <w:tcW w:w="860" w:type="dxa"/>
            <w:vAlign w:val="bottom"/>
            <w:shd w:val="clear" w:color="auto" w:fill="444444"/>
          </w:tcPr>
          <w:p>
            <w:pPr>
              <w:jc w:val="right"/>
              <w:ind w:right="34"/>
              <w:spacing w:after="0" w:line="130" w:lineRule="exact"/>
              <w:rPr>
                <w:sz w:val="20"/>
                <w:szCs w:val="20"/>
                <w:color w:val="auto"/>
              </w:rPr>
            </w:pPr>
            <w:r>
              <w:rPr>
                <w:rFonts w:ascii="Arial" w:cs="Arial" w:eastAsia="Arial" w:hAnsi="Arial"/>
                <w:sz w:val="13"/>
                <w:szCs w:val="13"/>
                <w:b w:val="1"/>
                <w:bCs w:val="1"/>
                <w:color w:val="FFFFFF"/>
              </w:rPr>
              <w:t>Awards</w:t>
            </w:r>
          </w:p>
        </w:tc>
        <w:tc>
          <w:tcPr>
            <w:tcW w:w="680" w:type="dxa"/>
            <w:vAlign w:val="bottom"/>
            <w:shd w:val="clear" w:color="auto" w:fill="444444"/>
          </w:tcPr>
          <w:p>
            <w:pPr>
              <w:jc w:val="right"/>
              <w:ind w:right="14"/>
              <w:spacing w:after="0" w:line="130" w:lineRule="exact"/>
              <w:rPr>
                <w:sz w:val="20"/>
                <w:szCs w:val="20"/>
                <w:color w:val="auto"/>
              </w:rPr>
            </w:pPr>
            <w:r>
              <w:rPr>
                <w:rFonts w:ascii="Arial" w:cs="Arial" w:eastAsia="Arial" w:hAnsi="Arial"/>
                <w:sz w:val="13"/>
                <w:szCs w:val="13"/>
                <w:b w:val="1"/>
                <w:bCs w:val="1"/>
                <w:color w:val="FFFFFF"/>
              </w:rPr>
              <w:t>Awards</w:t>
            </w:r>
          </w:p>
        </w:tc>
        <w:tc>
          <w:tcPr>
            <w:tcW w:w="1020" w:type="dxa"/>
            <w:vAlign w:val="bottom"/>
            <w:shd w:val="clear" w:color="auto" w:fill="444444"/>
          </w:tcPr>
          <w:p>
            <w:pPr>
              <w:jc w:val="right"/>
              <w:ind w:right="14"/>
              <w:spacing w:after="0" w:line="130" w:lineRule="exact"/>
              <w:rPr>
                <w:sz w:val="20"/>
                <w:szCs w:val="20"/>
                <w:color w:val="auto"/>
              </w:rPr>
            </w:pPr>
            <w:r>
              <w:rPr>
                <w:rFonts w:ascii="Arial" w:cs="Arial" w:eastAsia="Arial" w:hAnsi="Arial"/>
                <w:sz w:val="13"/>
                <w:szCs w:val="13"/>
                <w:b w:val="1"/>
                <w:bCs w:val="1"/>
                <w:color w:val="FFFFFF"/>
              </w:rPr>
              <w:t>Compensation</w:t>
            </w:r>
          </w:p>
        </w:tc>
        <w:tc>
          <w:tcPr>
            <w:tcW w:w="1020" w:type="dxa"/>
            <w:vAlign w:val="bottom"/>
            <w:shd w:val="clear" w:color="auto" w:fill="444444"/>
          </w:tcPr>
          <w:p>
            <w:pPr>
              <w:jc w:val="right"/>
              <w:ind w:right="15"/>
              <w:spacing w:after="0" w:line="130" w:lineRule="exact"/>
              <w:rPr>
                <w:sz w:val="20"/>
                <w:szCs w:val="20"/>
                <w:color w:val="auto"/>
              </w:rPr>
            </w:pPr>
            <w:r>
              <w:rPr>
                <w:rFonts w:ascii="Arial" w:cs="Arial" w:eastAsia="Arial" w:hAnsi="Arial"/>
                <w:sz w:val="13"/>
                <w:szCs w:val="13"/>
                <w:b w:val="1"/>
                <w:bCs w:val="1"/>
                <w:color w:val="FFFFFF"/>
              </w:rPr>
              <w:t>Earnings</w:t>
            </w:r>
          </w:p>
        </w:tc>
        <w:tc>
          <w:tcPr>
            <w:tcW w:w="1020" w:type="dxa"/>
            <w:vAlign w:val="bottom"/>
            <w:shd w:val="clear" w:color="auto" w:fill="444444"/>
          </w:tcPr>
          <w:p>
            <w:pPr>
              <w:jc w:val="right"/>
              <w:spacing w:after="0" w:line="130" w:lineRule="exact"/>
              <w:rPr>
                <w:sz w:val="20"/>
                <w:szCs w:val="20"/>
                <w:color w:val="auto"/>
              </w:rPr>
            </w:pPr>
            <w:r>
              <w:rPr>
                <w:rFonts w:ascii="Arial" w:cs="Arial" w:eastAsia="Arial" w:hAnsi="Arial"/>
                <w:sz w:val="13"/>
                <w:szCs w:val="13"/>
                <w:b w:val="1"/>
                <w:bCs w:val="1"/>
                <w:color w:val="FFFFFF"/>
              </w:rPr>
              <w:t>Compensation</w:t>
            </w:r>
          </w:p>
        </w:tc>
        <w:tc>
          <w:tcPr>
            <w:tcW w:w="860" w:type="dxa"/>
            <w:vAlign w:val="bottom"/>
            <w:shd w:val="clear" w:color="auto" w:fill="444444"/>
          </w:tcPr>
          <w:p>
            <w:pPr>
              <w:jc w:val="right"/>
              <w:ind w:right="53"/>
              <w:spacing w:after="0" w:line="130" w:lineRule="exact"/>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62"/>
        </w:trPr>
        <w:tc>
          <w:tcPr>
            <w:tcW w:w="3300" w:type="dxa"/>
            <w:vAlign w:val="bottom"/>
            <w:shd w:val="clear" w:color="auto" w:fill="444444"/>
          </w:tcPr>
          <w:p>
            <w:pPr>
              <w:ind w:left="60"/>
              <w:spacing w:after="0"/>
              <w:rPr>
                <w:sz w:val="20"/>
                <w:szCs w:val="20"/>
                <w:color w:val="auto"/>
              </w:rPr>
            </w:pPr>
            <w:r>
              <w:rPr>
                <w:rFonts w:ascii="Arial" w:cs="Arial" w:eastAsia="Arial" w:hAnsi="Arial"/>
                <w:sz w:val="13"/>
                <w:szCs w:val="13"/>
                <w:b w:val="1"/>
                <w:bCs w:val="1"/>
                <w:color w:val="FFFFFF"/>
              </w:rPr>
              <w:t>Principal Position</w:t>
            </w:r>
          </w:p>
        </w:tc>
        <w:tc>
          <w:tcPr>
            <w:tcW w:w="580" w:type="dxa"/>
            <w:vAlign w:val="bottom"/>
            <w:shd w:val="clear" w:color="auto" w:fill="444444"/>
          </w:tcPr>
          <w:p>
            <w:pPr>
              <w:jc w:val="right"/>
              <w:ind w:right="33"/>
              <w:spacing w:after="0"/>
              <w:rPr>
                <w:sz w:val="20"/>
                <w:szCs w:val="20"/>
                <w:color w:val="auto"/>
              </w:rPr>
            </w:pPr>
            <w:r>
              <w:rPr>
                <w:rFonts w:ascii="Arial" w:cs="Arial" w:eastAsia="Arial" w:hAnsi="Arial"/>
                <w:sz w:val="13"/>
                <w:szCs w:val="13"/>
                <w:b w:val="1"/>
                <w:bCs w:val="1"/>
                <w:color w:val="FFFFFF"/>
              </w:rPr>
              <w:t>Year</w:t>
            </w:r>
          </w:p>
        </w:tc>
        <w:tc>
          <w:tcPr>
            <w:tcW w:w="800" w:type="dxa"/>
            <w:vAlign w:val="bottom"/>
            <w:shd w:val="clear" w:color="auto" w:fill="444444"/>
          </w:tcPr>
          <w:p>
            <w:pPr>
              <w:jc w:val="right"/>
              <w:ind w:right="33"/>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8"/>
                <w:szCs w:val="8"/>
                <w:b w:val="1"/>
                <w:bCs w:val="1"/>
                <w:color w:val="FFFFFF"/>
              </w:rPr>
              <w:t>(1)</w:t>
            </w:r>
          </w:p>
        </w:tc>
        <w:tc>
          <w:tcPr>
            <w:tcW w:w="880" w:type="dxa"/>
            <w:vAlign w:val="bottom"/>
            <w:shd w:val="clear" w:color="auto" w:fill="444444"/>
          </w:tcPr>
          <w:p>
            <w:pPr>
              <w:jc w:val="right"/>
              <w:ind w:right="33"/>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8"/>
                <w:szCs w:val="8"/>
                <w:b w:val="1"/>
                <w:bCs w:val="1"/>
                <w:color w:val="FFFFFF"/>
              </w:rPr>
              <w:t>(2)</w:t>
            </w:r>
          </w:p>
        </w:tc>
        <w:tc>
          <w:tcPr>
            <w:tcW w:w="860" w:type="dxa"/>
            <w:vAlign w:val="bottom"/>
            <w:shd w:val="clear" w:color="auto" w:fill="444444"/>
          </w:tcPr>
          <w:p>
            <w:pPr>
              <w:jc w:val="right"/>
              <w:ind w:right="34"/>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8"/>
                <w:szCs w:val="8"/>
                <w:b w:val="1"/>
                <w:bCs w:val="1"/>
                <w:color w:val="FFFFFF"/>
              </w:rPr>
              <w:t>(3)</w:t>
            </w:r>
          </w:p>
        </w:tc>
        <w:tc>
          <w:tcPr>
            <w:tcW w:w="680" w:type="dxa"/>
            <w:vAlign w:val="bottom"/>
            <w:shd w:val="clear" w:color="auto" w:fill="444444"/>
          </w:tcPr>
          <w:p>
            <w:pPr>
              <w:jc w:val="right"/>
              <w:ind w:right="14"/>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8"/>
                <w:szCs w:val="8"/>
                <w:b w:val="1"/>
                <w:bCs w:val="1"/>
                <w:color w:val="FFFFFF"/>
              </w:rPr>
              <w:t>(4)</w:t>
            </w:r>
          </w:p>
        </w:tc>
        <w:tc>
          <w:tcPr>
            <w:tcW w:w="1020" w:type="dxa"/>
            <w:vAlign w:val="bottom"/>
            <w:shd w:val="clear" w:color="auto" w:fill="444444"/>
          </w:tcPr>
          <w:p>
            <w:pPr>
              <w:jc w:val="right"/>
              <w:ind w:right="14"/>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8"/>
                <w:szCs w:val="8"/>
                <w:b w:val="1"/>
                <w:bCs w:val="1"/>
                <w:color w:val="FFFFFF"/>
              </w:rPr>
              <w:t>(5)</w:t>
            </w:r>
          </w:p>
        </w:tc>
        <w:tc>
          <w:tcPr>
            <w:tcW w:w="1020" w:type="dxa"/>
            <w:vAlign w:val="bottom"/>
            <w:shd w:val="clear" w:color="auto" w:fill="444444"/>
          </w:tcPr>
          <w:p>
            <w:pPr>
              <w:jc w:val="right"/>
              <w:ind w:right="15"/>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8"/>
                <w:szCs w:val="8"/>
                <w:b w:val="1"/>
                <w:bCs w:val="1"/>
                <w:color w:val="FFFFFF"/>
              </w:rPr>
              <w:t>(6)</w:t>
            </w:r>
          </w:p>
        </w:tc>
        <w:tc>
          <w:tcPr>
            <w:tcW w:w="102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8"/>
                <w:szCs w:val="8"/>
                <w:b w:val="1"/>
                <w:bCs w:val="1"/>
                <w:color w:val="FFFFFF"/>
              </w:rPr>
              <w:t>(7)</w:t>
            </w:r>
          </w:p>
        </w:tc>
        <w:tc>
          <w:tcPr>
            <w:tcW w:w="860" w:type="dxa"/>
            <w:vAlign w:val="bottom"/>
            <w:shd w:val="clear" w:color="auto" w:fill="444444"/>
          </w:tcPr>
          <w:p>
            <w:pPr>
              <w:jc w:val="right"/>
              <w:ind w:right="53"/>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34"/>
        </w:trPr>
        <w:tc>
          <w:tcPr>
            <w:tcW w:w="3300" w:type="dxa"/>
            <w:vAlign w:val="bottom"/>
            <w:shd w:val="clear" w:color="auto" w:fill="E5E5E5"/>
          </w:tcPr>
          <w:p>
            <w:pPr>
              <w:ind w:left="60"/>
              <w:spacing w:after="0" w:line="134" w:lineRule="exact"/>
              <w:rPr>
                <w:sz w:val="20"/>
                <w:szCs w:val="20"/>
                <w:color w:val="auto"/>
              </w:rPr>
            </w:pPr>
            <w:r>
              <w:rPr>
                <w:rFonts w:ascii="Arial" w:cs="Arial" w:eastAsia="Arial" w:hAnsi="Arial"/>
                <w:sz w:val="13"/>
                <w:szCs w:val="13"/>
                <w:b w:val="1"/>
                <w:bCs w:val="1"/>
                <w:color w:val="auto"/>
              </w:rPr>
              <w:t>Michael Goettler</w:t>
            </w:r>
          </w:p>
        </w:tc>
        <w:tc>
          <w:tcPr>
            <w:tcW w:w="580" w:type="dxa"/>
            <w:vAlign w:val="bottom"/>
            <w:shd w:val="clear" w:color="auto" w:fill="E5E5E5"/>
          </w:tcPr>
          <w:p>
            <w:pPr>
              <w:jc w:val="right"/>
              <w:ind w:right="33"/>
              <w:spacing w:after="0" w:line="134" w:lineRule="exact"/>
              <w:rPr>
                <w:sz w:val="20"/>
                <w:szCs w:val="20"/>
                <w:color w:val="auto"/>
              </w:rPr>
            </w:pPr>
            <w:r>
              <w:rPr>
                <w:rFonts w:ascii="Arial" w:cs="Arial" w:eastAsia="Arial" w:hAnsi="Arial"/>
                <w:sz w:val="13"/>
                <w:szCs w:val="13"/>
                <w:color w:val="auto"/>
              </w:rPr>
              <w:t>2021</w:t>
            </w:r>
          </w:p>
        </w:tc>
        <w:tc>
          <w:tcPr>
            <w:tcW w:w="800" w:type="dxa"/>
            <w:vAlign w:val="bottom"/>
            <w:shd w:val="clear" w:color="auto" w:fill="E5E5E5"/>
          </w:tcPr>
          <w:p>
            <w:pPr>
              <w:jc w:val="right"/>
              <w:ind w:right="33"/>
              <w:spacing w:after="0" w:line="134" w:lineRule="exact"/>
              <w:rPr>
                <w:sz w:val="20"/>
                <w:szCs w:val="20"/>
                <w:color w:val="auto"/>
              </w:rPr>
            </w:pPr>
            <w:r>
              <w:rPr>
                <w:rFonts w:ascii="Arial" w:cs="Arial" w:eastAsia="Arial" w:hAnsi="Arial"/>
                <w:sz w:val="13"/>
                <w:szCs w:val="13"/>
                <w:color w:val="auto"/>
              </w:rPr>
              <w:t>1,300,000</w:t>
            </w:r>
          </w:p>
        </w:tc>
        <w:tc>
          <w:tcPr>
            <w:tcW w:w="880" w:type="dxa"/>
            <w:vAlign w:val="bottom"/>
            <w:shd w:val="clear" w:color="auto" w:fill="E5E5E5"/>
          </w:tcPr>
          <w:p>
            <w:pPr>
              <w:jc w:val="right"/>
              <w:ind w:right="33"/>
              <w:spacing w:after="0" w:line="134" w:lineRule="exact"/>
              <w:rPr>
                <w:sz w:val="20"/>
                <w:szCs w:val="20"/>
                <w:color w:val="auto"/>
              </w:rPr>
            </w:pPr>
            <w:r>
              <w:rPr>
                <w:rFonts w:ascii="Arial" w:cs="Arial" w:eastAsia="Arial" w:hAnsi="Arial"/>
                <w:sz w:val="13"/>
                <w:szCs w:val="13"/>
                <w:color w:val="auto"/>
              </w:rPr>
              <w:t>—</w:t>
            </w:r>
          </w:p>
        </w:tc>
        <w:tc>
          <w:tcPr>
            <w:tcW w:w="860" w:type="dxa"/>
            <w:vAlign w:val="bottom"/>
            <w:shd w:val="clear" w:color="auto" w:fill="E5E5E5"/>
          </w:tcPr>
          <w:p>
            <w:pPr>
              <w:jc w:val="right"/>
              <w:ind w:right="34"/>
              <w:spacing w:after="0" w:line="134" w:lineRule="exact"/>
              <w:rPr>
                <w:sz w:val="20"/>
                <w:szCs w:val="20"/>
                <w:color w:val="auto"/>
              </w:rPr>
            </w:pPr>
            <w:r>
              <w:rPr>
                <w:rFonts w:ascii="Arial" w:cs="Arial" w:eastAsia="Arial" w:hAnsi="Arial"/>
                <w:sz w:val="13"/>
                <w:szCs w:val="13"/>
                <w:color w:val="auto"/>
              </w:rPr>
              <w:t>9,100,015</w:t>
            </w:r>
          </w:p>
        </w:tc>
        <w:tc>
          <w:tcPr>
            <w:tcW w:w="680" w:type="dxa"/>
            <w:vAlign w:val="bottom"/>
            <w:shd w:val="clear" w:color="auto" w:fill="E5E5E5"/>
          </w:tcPr>
          <w:p>
            <w:pPr>
              <w:jc w:val="right"/>
              <w:ind w:right="14"/>
              <w:spacing w:after="0" w:line="134" w:lineRule="exact"/>
              <w:rPr>
                <w:sz w:val="20"/>
                <w:szCs w:val="20"/>
                <w:color w:val="auto"/>
              </w:rPr>
            </w:pPr>
            <w:r>
              <w:rPr>
                <w:rFonts w:ascii="Arial" w:cs="Arial" w:eastAsia="Arial" w:hAnsi="Arial"/>
                <w:sz w:val="13"/>
                <w:szCs w:val="13"/>
                <w:color w:val="auto"/>
              </w:rPr>
              <w:t>—</w:t>
            </w:r>
          </w:p>
        </w:tc>
        <w:tc>
          <w:tcPr>
            <w:tcW w:w="1020" w:type="dxa"/>
            <w:vAlign w:val="bottom"/>
            <w:shd w:val="clear" w:color="auto" w:fill="E5E5E5"/>
          </w:tcPr>
          <w:p>
            <w:pPr>
              <w:jc w:val="right"/>
              <w:ind w:right="14"/>
              <w:spacing w:after="0" w:line="134" w:lineRule="exact"/>
              <w:rPr>
                <w:sz w:val="20"/>
                <w:szCs w:val="20"/>
                <w:color w:val="auto"/>
              </w:rPr>
            </w:pPr>
            <w:r>
              <w:rPr>
                <w:rFonts w:ascii="Arial" w:cs="Arial" w:eastAsia="Arial" w:hAnsi="Arial"/>
                <w:sz w:val="13"/>
                <w:szCs w:val="13"/>
                <w:color w:val="auto"/>
              </w:rPr>
              <w:t>3,716,115</w:t>
            </w:r>
          </w:p>
        </w:tc>
        <w:tc>
          <w:tcPr>
            <w:tcW w:w="1020" w:type="dxa"/>
            <w:vAlign w:val="bottom"/>
            <w:shd w:val="clear" w:color="auto" w:fill="E5E5E5"/>
          </w:tcPr>
          <w:p>
            <w:pPr>
              <w:jc w:val="right"/>
              <w:ind w:right="15"/>
              <w:spacing w:after="0" w:line="134" w:lineRule="exact"/>
              <w:rPr>
                <w:sz w:val="20"/>
                <w:szCs w:val="20"/>
                <w:color w:val="auto"/>
              </w:rPr>
            </w:pPr>
            <w:r>
              <w:rPr>
                <w:rFonts w:ascii="Arial" w:cs="Arial" w:eastAsia="Arial" w:hAnsi="Arial"/>
                <w:sz w:val="13"/>
                <w:szCs w:val="13"/>
                <w:color w:val="auto"/>
              </w:rPr>
              <w:t>—</w:t>
            </w:r>
          </w:p>
        </w:tc>
        <w:tc>
          <w:tcPr>
            <w:tcW w:w="1020" w:type="dxa"/>
            <w:vAlign w:val="bottom"/>
            <w:shd w:val="clear" w:color="auto" w:fill="E5E5E5"/>
          </w:tcPr>
          <w:p>
            <w:pPr>
              <w:jc w:val="right"/>
              <w:spacing w:after="0" w:line="134" w:lineRule="exact"/>
              <w:rPr>
                <w:sz w:val="20"/>
                <w:szCs w:val="20"/>
                <w:color w:val="auto"/>
              </w:rPr>
            </w:pPr>
            <w:r>
              <w:rPr>
                <w:rFonts w:ascii="Arial" w:cs="Arial" w:eastAsia="Arial" w:hAnsi="Arial"/>
                <w:sz w:val="13"/>
                <w:szCs w:val="13"/>
                <w:color w:val="auto"/>
              </w:rPr>
              <w:t>553,462</w:t>
            </w:r>
          </w:p>
        </w:tc>
        <w:tc>
          <w:tcPr>
            <w:tcW w:w="860" w:type="dxa"/>
            <w:vAlign w:val="bottom"/>
            <w:shd w:val="clear" w:color="auto" w:fill="E5E5E5"/>
          </w:tcPr>
          <w:p>
            <w:pPr>
              <w:jc w:val="right"/>
              <w:ind w:right="53"/>
              <w:spacing w:after="0" w:line="134" w:lineRule="exact"/>
              <w:rPr>
                <w:sz w:val="20"/>
                <w:szCs w:val="20"/>
                <w:color w:val="auto"/>
              </w:rPr>
            </w:pPr>
            <w:r>
              <w:rPr>
                <w:rFonts w:ascii="Arial" w:cs="Arial" w:eastAsia="Arial" w:hAnsi="Arial"/>
                <w:sz w:val="13"/>
                <w:szCs w:val="13"/>
                <w:color w:val="auto"/>
              </w:rPr>
              <w:t>14,669,592</w:t>
            </w:r>
          </w:p>
        </w:tc>
        <w:tc>
          <w:tcPr>
            <w:tcW w:w="0" w:type="dxa"/>
            <w:vAlign w:val="bottom"/>
          </w:tcPr>
          <w:p>
            <w:pPr>
              <w:spacing w:after="0"/>
              <w:rPr>
                <w:sz w:val="1"/>
                <w:szCs w:val="1"/>
                <w:color w:val="auto"/>
              </w:rPr>
            </w:pPr>
          </w:p>
        </w:tc>
      </w:tr>
      <w:tr>
        <w:trPr>
          <w:trHeight w:val="177"/>
        </w:trPr>
        <w:tc>
          <w:tcPr>
            <w:tcW w:w="3300" w:type="dxa"/>
            <w:vAlign w:val="bottom"/>
            <w:shd w:val="clear" w:color="auto" w:fill="E5E5E5"/>
          </w:tcPr>
          <w:p>
            <w:pPr>
              <w:ind w:left="60"/>
              <w:spacing w:after="0"/>
              <w:rPr>
                <w:sz w:val="20"/>
                <w:szCs w:val="20"/>
                <w:color w:val="auto"/>
              </w:rPr>
            </w:pPr>
            <w:r>
              <w:rPr>
                <w:rFonts w:ascii="Arial" w:cs="Arial" w:eastAsia="Arial" w:hAnsi="Arial"/>
                <w:sz w:val="13"/>
                <w:szCs w:val="13"/>
                <w:i w:val="1"/>
                <w:iCs w:val="1"/>
                <w:color w:val="auto"/>
              </w:rPr>
              <w:t>Chief Executive Officer</w:t>
            </w:r>
          </w:p>
        </w:tc>
        <w:tc>
          <w:tcPr>
            <w:tcW w:w="580" w:type="dxa"/>
            <w:vAlign w:val="bottom"/>
            <w:shd w:val="clear" w:color="auto" w:fill="E5E5E5"/>
          </w:tcPr>
          <w:p>
            <w:pPr>
              <w:jc w:val="right"/>
              <w:ind w:right="33"/>
              <w:spacing w:after="0"/>
              <w:rPr>
                <w:sz w:val="20"/>
                <w:szCs w:val="20"/>
                <w:color w:val="auto"/>
              </w:rPr>
            </w:pPr>
            <w:r>
              <w:rPr>
                <w:rFonts w:ascii="Arial" w:cs="Arial" w:eastAsia="Arial" w:hAnsi="Arial"/>
                <w:sz w:val="13"/>
                <w:szCs w:val="13"/>
                <w:color w:val="auto"/>
              </w:rPr>
              <w:t>2020</w:t>
            </w: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3"/>
                <w:szCs w:val="13"/>
                <w:color w:val="auto"/>
              </w:rPr>
              <w:t>871,875</w:t>
            </w:r>
          </w:p>
        </w:tc>
        <w:tc>
          <w:tcPr>
            <w:tcW w:w="880" w:type="dxa"/>
            <w:vAlign w:val="bottom"/>
            <w:shd w:val="clear" w:color="auto" w:fill="E5E5E5"/>
          </w:tcPr>
          <w:p>
            <w:pPr>
              <w:jc w:val="right"/>
              <w:ind w:right="33"/>
              <w:spacing w:after="0"/>
              <w:rPr>
                <w:sz w:val="20"/>
                <w:szCs w:val="20"/>
                <w:color w:val="auto"/>
              </w:rPr>
            </w:pPr>
            <w:r>
              <w:rPr>
                <w:rFonts w:ascii="Arial" w:cs="Arial" w:eastAsia="Arial" w:hAnsi="Arial"/>
                <w:sz w:val="13"/>
                <w:szCs w:val="13"/>
                <w:color w:val="auto"/>
              </w:rPr>
              <w:t>1,000,000</w:t>
            </w:r>
          </w:p>
        </w:tc>
        <w:tc>
          <w:tcPr>
            <w:tcW w:w="86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2,400,000</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w:t>
            </w:r>
          </w:p>
        </w:tc>
        <w:tc>
          <w:tcPr>
            <w:tcW w:w="102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951,675</w:t>
            </w:r>
          </w:p>
        </w:tc>
        <w:tc>
          <w:tcPr>
            <w:tcW w:w="1020" w:type="dxa"/>
            <w:vAlign w:val="bottom"/>
            <w:shd w:val="clear" w:color="auto" w:fill="E5E5E5"/>
          </w:tcPr>
          <w:p>
            <w:pPr>
              <w:jc w:val="right"/>
              <w:ind w:right="15"/>
              <w:spacing w:after="0"/>
              <w:rPr>
                <w:sz w:val="20"/>
                <w:szCs w:val="20"/>
                <w:color w:val="auto"/>
              </w:rPr>
            </w:pPr>
            <w:r>
              <w:rPr>
                <w:rFonts w:ascii="Arial" w:cs="Arial" w:eastAsia="Arial" w:hAnsi="Arial"/>
                <w:sz w:val="13"/>
                <w:szCs w:val="13"/>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249,355</w:t>
            </w:r>
          </w:p>
        </w:tc>
        <w:tc>
          <w:tcPr>
            <w:tcW w:w="860" w:type="dxa"/>
            <w:vAlign w:val="bottom"/>
            <w:shd w:val="clear" w:color="auto" w:fill="E5E5E5"/>
          </w:tcPr>
          <w:p>
            <w:pPr>
              <w:jc w:val="right"/>
              <w:ind w:right="53"/>
              <w:spacing w:after="0"/>
              <w:rPr>
                <w:sz w:val="20"/>
                <w:szCs w:val="20"/>
                <w:color w:val="auto"/>
              </w:rPr>
            </w:pPr>
            <w:r>
              <w:rPr>
                <w:rFonts w:ascii="Arial" w:cs="Arial" w:eastAsia="Arial" w:hAnsi="Arial"/>
                <w:sz w:val="13"/>
                <w:szCs w:val="13"/>
                <w:color w:val="auto"/>
              </w:rPr>
              <w:t>5,472,905</w:t>
            </w:r>
          </w:p>
        </w:tc>
        <w:tc>
          <w:tcPr>
            <w:tcW w:w="0" w:type="dxa"/>
            <w:vAlign w:val="bottom"/>
          </w:tcPr>
          <w:p>
            <w:pPr>
              <w:spacing w:after="0"/>
              <w:rPr>
                <w:sz w:val="1"/>
                <w:szCs w:val="1"/>
                <w:color w:val="auto"/>
              </w:rPr>
            </w:pPr>
          </w:p>
        </w:tc>
      </w:tr>
      <w:tr>
        <w:trPr>
          <w:trHeight w:val="134"/>
        </w:trPr>
        <w:tc>
          <w:tcPr>
            <w:tcW w:w="330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Sanjeev Narula</w:t>
            </w:r>
          </w:p>
        </w:tc>
        <w:tc>
          <w:tcPr>
            <w:tcW w:w="580" w:type="dxa"/>
            <w:vAlign w:val="bottom"/>
          </w:tcPr>
          <w:p>
            <w:pPr>
              <w:jc w:val="right"/>
              <w:ind w:right="33"/>
              <w:spacing w:after="0" w:line="134" w:lineRule="exact"/>
              <w:rPr>
                <w:sz w:val="20"/>
                <w:szCs w:val="20"/>
                <w:color w:val="auto"/>
              </w:rPr>
            </w:pPr>
            <w:r>
              <w:rPr>
                <w:rFonts w:ascii="Arial" w:cs="Arial" w:eastAsia="Arial" w:hAnsi="Arial"/>
                <w:sz w:val="13"/>
                <w:szCs w:val="13"/>
                <w:color w:val="auto"/>
              </w:rPr>
              <w:t>2021</w:t>
            </w:r>
          </w:p>
        </w:tc>
        <w:tc>
          <w:tcPr>
            <w:tcW w:w="800" w:type="dxa"/>
            <w:vAlign w:val="bottom"/>
          </w:tcPr>
          <w:p>
            <w:pPr>
              <w:jc w:val="right"/>
              <w:ind w:right="33"/>
              <w:spacing w:after="0" w:line="134" w:lineRule="exact"/>
              <w:rPr>
                <w:sz w:val="20"/>
                <w:szCs w:val="20"/>
                <w:color w:val="auto"/>
              </w:rPr>
            </w:pPr>
            <w:r>
              <w:rPr>
                <w:rFonts w:ascii="Arial" w:cs="Arial" w:eastAsia="Arial" w:hAnsi="Arial"/>
                <w:sz w:val="13"/>
                <w:szCs w:val="13"/>
                <w:color w:val="auto"/>
              </w:rPr>
              <w:t>800,000</w:t>
            </w:r>
          </w:p>
        </w:tc>
        <w:tc>
          <w:tcPr>
            <w:tcW w:w="880" w:type="dxa"/>
            <w:vAlign w:val="bottom"/>
          </w:tcPr>
          <w:p>
            <w:pPr>
              <w:jc w:val="right"/>
              <w:ind w:right="33"/>
              <w:spacing w:after="0" w:line="134"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line="134" w:lineRule="exact"/>
              <w:rPr>
                <w:sz w:val="20"/>
                <w:szCs w:val="20"/>
                <w:color w:val="auto"/>
              </w:rPr>
            </w:pPr>
            <w:r>
              <w:rPr>
                <w:rFonts w:ascii="Arial" w:cs="Arial" w:eastAsia="Arial" w:hAnsi="Arial"/>
                <w:sz w:val="13"/>
                <w:szCs w:val="13"/>
                <w:color w:val="auto"/>
              </w:rPr>
              <w:t>2,800,011</w:t>
            </w:r>
          </w:p>
        </w:tc>
        <w:tc>
          <w:tcPr>
            <w:tcW w:w="680" w:type="dxa"/>
            <w:vAlign w:val="bottom"/>
          </w:tcPr>
          <w:p>
            <w:pPr>
              <w:jc w:val="right"/>
              <w:ind w:right="14"/>
              <w:spacing w:after="0" w:line="134"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14"/>
              <w:spacing w:after="0" w:line="134" w:lineRule="exact"/>
              <w:rPr>
                <w:sz w:val="20"/>
                <w:szCs w:val="20"/>
                <w:color w:val="auto"/>
              </w:rPr>
            </w:pPr>
            <w:r>
              <w:rPr>
                <w:rFonts w:ascii="Arial" w:cs="Arial" w:eastAsia="Arial" w:hAnsi="Arial"/>
                <w:sz w:val="13"/>
                <w:szCs w:val="13"/>
                <w:color w:val="auto"/>
              </w:rPr>
              <w:t>1,524,560</w:t>
            </w:r>
          </w:p>
        </w:tc>
        <w:tc>
          <w:tcPr>
            <w:tcW w:w="1020" w:type="dxa"/>
            <w:vAlign w:val="bottom"/>
          </w:tcPr>
          <w:p>
            <w:pPr>
              <w:jc w:val="right"/>
              <w:ind w:right="15"/>
              <w:spacing w:after="0" w:line="134" w:lineRule="exact"/>
              <w:rPr>
                <w:sz w:val="20"/>
                <w:szCs w:val="20"/>
                <w:color w:val="auto"/>
              </w:rPr>
            </w:pPr>
            <w:r>
              <w:rPr>
                <w:rFonts w:ascii="Arial" w:cs="Arial" w:eastAsia="Arial" w:hAnsi="Arial"/>
                <w:sz w:val="13"/>
                <w:szCs w:val="13"/>
                <w:color w:val="auto"/>
              </w:rPr>
              <w:t>—</w:t>
            </w:r>
          </w:p>
        </w:tc>
        <w:tc>
          <w:tcPr>
            <w:tcW w:w="1020" w:type="dxa"/>
            <w:vAlign w:val="bottom"/>
          </w:tcPr>
          <w:p>
            <w:pPr>
              <w:jc w:val="right"/>
              <w:spacing w:after="0" w:line="134" w:lineRule="exact"/>
              <w:rPr>
                <w:sz w:val="20"/>
                <w:szCs w:val="20"/>
                <w:color w:val="auto"/>
              </w:rPr>
            </w:pPr>
            <w:r>
              <w:rPr>
                <w:rFonts w:ascii="Arial" w:cs="Arial" w:eastAsia="Arial" w:hAnsi="Arial"/>
                <w:sz w:val="13"/>
                <w:szCs w:val="13"/>
                <w:color w:val="auto"/>
              </w:rPr>
              <w:t>526,114</w:t>
            </w:r>
          </w:p>
        </w:tc>
        <w:tc>
          <w:tcPr>
            <w:tcW w:w="860" w:type="dxa"/>
            <w:vAlign w:val="bottom"/>
          </w:tcPr>
          <w:p>
            <w:pPr>
              <w:jc w:val="right"/>
              <w:ind w:right="53"/>
              <w:spacing w:after="0" w:line="134" w:lineRule="exact"/>
              <w:rPr>
                <w:sz w:val="20"/>
                <w:szCs w:val="20"/>
                <w:color w:val="auto"/>
              </w:rPr>
            </w:pPr>
            <w:r>
              <w:rPr>
                <w:rFonts w:ascii="Arial" w:cs="Arial" w:eastAsia="Arial" w:hAnsi="Arial"/>
                <w:sz w:val="13"/>
                <w:szCs w:val="13"/>
                <w:color w:val="auto"/>
              </w:rPr>
              <w:t>5,650,685</w:t>
            </w:r>
          </w:p>
        </w:tc>
        <w:tc>
          <w:tcPr>
            <w:tcW w:w="0" w:type="dxa"/>
            <w:vAlign w:val="bottom"/>
          </w:tcPr>
          <w:p>
            <w:pPr>
              <w:spacing w:after="0"/>
              <w:rPr>
                <w:sz w:val="1"/>
                <w:szCs w:val="1"/>
                <w:color w:val="auto"/>
              </w:rPr>
            </w:pPr>
          </w:p>
        </w:tc>
      </w:tr>
      <w:tr>
        <w:trPr>
          <w:trHeight w:val="176"/>
        </w:trPr>
        <w:tc>
          <w:tcPr>
            <w:tcW w:w="3300" w:type="dxa"/>
            <w:vAlign w:val="bottom"/>
          </w:tcPr>
          <w:p>
            <w:pPr>
              <w:ind w:left="60"/>
              <w:spacing w:after="0"/>
              <w:rPr>
                <w:sz w:val="20"/>
                <w:szCs w:val="20"/>
                <w:color w:val="auto"/>
              </w:rPr>
            </w:pPr>
            <w:r>
              <w:rPr>
                <w:rFonts w:ascii="Arial" w:cs="Arial" w:eastAsia="Arial" w:hAnsi="Arial"/>
                <w:sz w:val="13"/>
                <w:szCs w:val="13"/>
                <w:i w:val="1"/>
                <w:iCs w:val="1"/>
                <w:color w:val="auto"/>
              </w:rPr>
              <w:t>Chief Financial Officer</w:t>
            </w:r>
          </w:p>
        </w:tc>
        <w:tc>
          <w:tcPr>
            <w:tcW w:w="580" w:type="dxa"/>
            <w:vAlign w:val="bottom"/>
          </w:tcPr>
          <w:p>
            <w:pPr>
              <w:jc w:val="right"/>
              <w:ind w:right="33"/>
              <w:spacing w:after="0"/>
              <w:rPr>
                <w:sz w:val="20"/>
                <w:szCs w:val="20"/>
                <w:color w:val="auto"/>
              </w:rPr>
            </w:pPr>
            <w:r>
              <w:rPr>
                <w:rFonts w:ascii="Arial" w:cs="Arial" w:eastAsia="Arial" w:hAnsi="Arial"/>
                <w:sz w:val="13"/>
                <w:szCs w:val="13"/>
                <w:color w:val="auto"/>
              </w:rPr>
              <w:t>2020</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539,183</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1,000,000</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425,000</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4"/>
              <w:spacing w:after="0"/>
              <w:rPr>
                <w:sz w:val="20"/>
                <w:szCs w:val="20"/>
                <w:color w:val="auto"/>
              </w:rPr>
            </w:pPr>
            <w:r>
              <w:rPr>
                <w:rFonts w:ascii="Arial" w:cs="Arial" w:eastAsia="Arial" w:hAnsi="Arial"/>
                <w:sz w:val="13"/>
                <w:szCs w:val="13"/>
                <w:color w:val="auto"/>
              </w:rPr>
              <w:t>303,021</w:t>
            </w:r>
          </w:p>
        </w:tc>
        <w:tc>
          <w:tcPr>
            <w:tcW w:w="102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661,719</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2,928,923</w:t>
            </w:r>
          </w:p>
        </w:tc>
        <w:tc>
          <w:tcPr>
            <w:tcW w:w="0" w:type="dxa"/>
            <w:vAlign w:val="bottom"/>
          </w:tcPr>
          <w:p>
            <w:pPr>
              <w:spacing w:after="0"/>
              <w:rPr>
                <w:sz w:val="1"/>
                <w:szCs w:val="1"/>
                <w:color w:val="auto"/>
              </w:rPr>
            </w:pPr>
          </w:p>
        </w:tc>
      </w:tr>
      <w:tr>
        <w:trPr>
          <w:trHeight w:val="134"/>
        </w:trPr>
        <w:tc>
          <w:tcPr>
            <w:tcW w:w="3300" w:type="dxa"/>
            <w:vAlign w:val="bottom"/>
            <w:shd w:val="clear" w:color="auto" w:fill="E5E5E5"/>
          </w:tcPr>
          <w:p>
            <w:pPr>
              <w:ind w:left="60"/>
              <w:spacing w:after="0" w:line="134" w:lineRule="exact"/>
              <w:rPr>
                <w:sz w:val="20"/>
                <w:szCs w:val="20"/>
                <w:color w:val="auto"/>
              </w:rPr>
            </w:pPr>
            <w:r>
              <w:rPr>
                <w:rFonts w:ascii="Arial" w:cs="Arial" w:eastAsia="Arial" w:hAnsi="Arial"/>
                <w:sz w:val="13"/>
                <w:szCs w:val="13"/>
                <w:b w:val="1"/>
                <w:bCs w:val="1"/>
                <w:color w:val="auto"/>
              </w:rPr>
              <w:t>Rajiv Malik</w:t>
            </w:r>
          </w:p>
        </w:tc>
        <w:tc>
          <w:tcPr>
            <w:tcW w:w="580" w:type="dxa"/>
            <w:vAlign w:val="bottom"/>
            <w:shd w:val="clear" w:color="auto" w:fill="E5E5E5"/>
          </w:tcPr>
          <w:p>
            <w:pPr>
              <w:jc w:val="right"/>
              <w:ind w:right="33"/>
              <w:spacing w:after="0" w:line="134" w:lineRule="exact"/>
              <w:rPr>
                <w:sz w:val="20"/>
                <w:szCs w:val="20"/>
                <w:color w:val="auto"/>
              </w:rPr>
            </w:pPr>
            <w:r>
              <w:rPr>
                <w:rFonts w:ascii="Arial" w:cs="Arial" w:eastAsia="Arial" w:hAnsi="Arial"/>
                <w:sz w:val="13"/>
                <w:szCs w:val="13"/>
                <w:color w:val="auto"/>
              </w:rPr>
              <w:t>2021</w:t>
            </w:r>
          </w:p>
        </w:tc>
        <w:tc>
          <w:tcPr>
            <w:tcW w:w="800" w:type="dxa"/>
            <w:vAlign w:val="bottom"/>
            <w:shd w:val="clear" w:color="auto" w:fill="E5E5E5"/>
          </w:tcPr>
          <w:p>
            <w:pPr>
              <w:jc w:val="right"/>
              <w:ind w:right="33"/>
              <w:spacing w:after="0" w:line="134" w:lineRule="exact"/>
              <w:rPr>
                <w:sz w:val="20"/>
                <w:szCs w:val="20"/>
                <w:color w:val="auto"/>
              </w:rPr>
            </w:pPr>
            <w:r>
              <w:rPr>
                <w:rFonts w:ascii="Arial" w:cs="Arial" w:eastAsia="Arial" w:hAnsi="Arial"/>
                <w:sz w:val="13"/>
                <w:szCs w:val="13"/>
                <w:color w:val="auto"/>
              </w:rPr>
              <w:t>1,200,000</w:t>
            </w:r>
          </w:p>
        </w:tc>
        <w:tc>
          <w:tcPr>
            <w:tcW w:w="880" w:type="dxa"/>
            <w:vAlign w:val="bottom"/>
            <w:shd w:val="clear" w:color="auto" w:fill="E5E5E5"/>
          </w:tcPr>
          <w:p>
            <w:pPr>
              <w:jc w:val="right"/>
              <w:ind w:right="33"/>
              <w:spacing w:after="0" w:line="134" w:lineRule="exact"/>
              <w:rPr>
                <w:sz w:val="20"/>
                <w:szCs w:val="20"/>
                <w:color w:val="auto"/>
              </w:rPr>
            </w:pPr>
            <w:r>
              <w:rPr>
                <w:rFonts w:ascii="Arial" w:cs="Arial" w:eastAsia="Arial" w:hAnsi="Arial"/>
                <w:sz w:val="13"/>
                <w:szCs w:val="13"/>
                <w:color w:val="auto"/>
              </w:rPr>
              <w:t>—</w:t>
            </w:r>
          </w:p>
        </w:tc>
        <w:tc>
          <w:tcPr>
            <w:tcW w:w="860" w:type="dxa"/>
            <w:vAlign w:val="bottom"/>
            <w:shd w:val="clear" w:color="auto" w:fill="E5E5E5"/>
          </w:tcPr>
          <w:p>
            <w:pPr>
              <w:jc w:val="right"/>
              <w:ind w:right="34"/>
              <w:spacing w:after="0" w:line="134" w:lineRule="exact"/>
              <w:rPr>
                <w:sz w:val="20"/>
                <w:szCs w:val="20"/>
                <w:color w:val="auto"/>
              </w:rPr>
            </w:pPr>
            <w:r>
              <w:rPr>
                <w:rFonts w:ascii="Arial" w:cs="Arial" w:eastAsia="Arial" w:hAnsi="Arial"/>
                <w:sz w:val="13"/>
                <w:szCs w:val="13"/>
                <w:color w:val="auto"/>
              </w:rPr>
              <w:t>7,200,017</w:t>
            </w:r>
          </w:p>
        </w:tc>
        <w:tc>
          <w:tcPr>
            <w:tcW w:w="680" w:type="dxa"/>
            <w:vAlign w:val="bottom"/>
            <w:shd w:val="clear" w:color="auto" w:fill="E5E5E5"/>
          </w:tcPr>
          <w:p>
            <w:pPr>
              <w:jc w:val="right"/>
              <w:ind w:right="14"/>
              <w:spacing w:after="0" w:line="134" w:lineRule="exact"/>
              <w:rPr>
                <w:sz w:val="20"/>
                <w:szCs w:val="20"/>
                <w:color w:val="auto"/>
              </w:rPr>
            </w:pPr>
            <w:r>
              <w:rPr>
                <w:rFonts w:ascii="Arial" w:cs="Arial" w:eastAsia="Arial" w:hAnsi="Arial"/>
                <w:sz w:val="13"/>
                <w:szCs w:val="13"/>
                <w:color w:val="auto"/>
              </w:rPr>
              <w:t>—</w:t>
            </w:r>
          </w:p>
        </w:tc>
        <w:tc>
          <w:tcPr>
            <w:tcW w:w="1020" w:type="dxa"/>
            <w:vAlign w:val="bottom"/>
            <w:shd w:val="clear" w:color="auto" w:fill="E5E5E5"/>
          </w:tcPr>
          <w:p>
            <w:pPr>
              <w:jc w:val="right"/>
              <w:ind w:right="14"/>
              <w:spacing w:after="0" w:line="134" w:lineRule="exact"/>
              <w:rPr>
                <w:sz w:val="20"/>
                <w:szCs w:val="20"/>
                <w:color w:val="auto"/>
              </w:rPr>
            </w:pPr>
            <w:r>
              <w:rPr>
                <w:rFonts w:ascii="Arial" w:cs="Arial" w:eastAsia="Arial" w:hAnsi="Arial"/>
                <w:sz w:val="13"/>
                <w:szCs w:val="13"/>
                <w:color w:val="auto"/>
              </w:rPr>
              <w:t>2,858,550</w:t>
            </w:r>
          </w:p>
        </w:tc>
        <w:tc>
          <w:tcPr>
            <w:tcW w:w="1020" w:type="dxa"/>
            <w:vAlign w:val="bottom"/>
            <w:shd w:val="clear" w:color="auto" w:fill="E5E5E5"/>
          </w:tcPr>
          <w:p>
            <w:pPr>
              <w:jc w:val="right"/>
              <w:ind w:right="15"/>
              <w:spacing w:after="0" w:line="134" w:lineRule="exact"/>
              <w:rPr>
                <w:sz w:val="20"/>
                <w:szCs w:val="20"/>
                <w:color w:val="auto"/>
              </w:rPr>
            </w:pPr>
            <w:r>
              <w:rPr>
                <w:rFonts w:ascii="Arial" w:cs="Arial" w:eastAsia="Arial" w:hAnsi="Arial"/>
                <w:sz w:val="13"/>
                <w:szCs w:val="13"/>
                <w:color w:val="auto"/>
              </w:rPr>
              <w:t>—</w:t>
            </w:r>
          </w:p>
        </w:tc>
        <w:tc>
          <w:tcPr>
            <w:tcW w:w="1020" w:type="dxa"/>
            <w:vAlign w:val="bottom"/>
            <w:shd w:val="clear" w:color="auto" w:fill="E5E5E5"/>
          </w:tcPr>
          <w:p>
            <w:pPr>
              <w:jc w:val="right"/>
              <w:spacing w:after="0" w:line="134" w:lineRule="exact"/>
              <w:rPr>
                <w:sz w:val="20"/>
                <w:szCs w:val="20"/>
                <w:color w:val="auto"/>
              </w:rPr>
            </w:pPr>
            <w:r>
              <w:rPr>
                <w:rFonts w:ascii="Arial" w:cs="Arial" w:eastAsia="Arial" w:hAnsi="Arial"/>
                <w:sz w:val="13"/>
                <w:szCs w:val="13"/>
                <w:color w:val="auto"/>
              </w:rPr>
              <w:t>363,683</w:t>
            </w:r>
          </w:p>
        </w:tc>
        <w:tc>
          <w:tcPr>
            <w:tcW w:w="860" w:type="dxa"/>
            <w:vAlign w:val="bottom"/>
            <w:shd w:val="clear" w:color="auto" w:fill="E5E5E5"/>
          </w:tcPr>
          <w:p>
            <w:pPr>
              <w:jc w:val="right"/>
              <w:ind w:right="53"/>
              <w:spacing w:after="0" w:line="134" w:lineRule="exact"/>
              <w:rPr>
                <w:sz w:val="20"/>
                <w:szCs w:val="20"/>
                <w:color w:val="auto"/>
              </w:rPr>
            </w:pPr>
            <w:r>
              <w:rPr>
                <w:rFonts w:ascii="Arial" w:cs="Arial" w:eastAsia="Arial" w:hAnsi="Arial"/>
                <w:sz w:val="13"/>
                <w:szCs w:val="13"/>
                <w:color w:val="auto"/>
              </w:rPr>
              <w:t>11,622,250</w:t>
            </w:r>
          </w:p>
        </w:tc>
        <w:tc>
          <w:tcPr>
            <w:tcW w:w="0" w:type="dxa"/>
            <w:vAlign w:val="bottom"/>
          </w:tcPr>
          <w:p>
            <w:pPr>
              <w:spacing w:after="0"/>
              <w:rPr>
                <w:sz w:val="1"/>
                <w:szCs w:val="1"/>
                <w:color w:val="auto"/>
              </w:rPr>
            </w:pPr>
          </w:p>
        </w:tc>
      </w:tr>
      <w:tr>
        <w:trPr>
          <w:trHeight w:val="177"/>
        </w:trPr>
        <w:tc>
          <w:tcPr>
            <w:tcW w:w="3300" w:type="dxa"/>
            <w:vAlign w:val="bottom"/>
            <w:shd w:val="clear" w:color="auto" w:fill="E5E5E5"/>
          </w:tcPr>
          <w:p>
            <w:pPr>
              <w:ind w:left="60"/>
              <w:spacing w:after="0"/>
              <w:rPr>
                <w:sz w:val="20"/>
                <w:szCs w:val="20"/>
                <w:color w:val="auto"/>
              </w:rPr>
            </w:pPr>
            <w:r>
              <w:rPr>
                <w:rFonts w:ascii="Arial" w:cs="Arial" w:eastAsia="Arial" w:hAnsi="Arial"/>
                <w:sz w:val="13"/>
                <w:szCs w:val="13"/>
                <w:i w:val="1"/>
                <w:iCs w:val="1"/>
                <w:color w:val="auto"/>
              </w:rPr>
              <w:t>President</w:t>
            </w:r>
          </w:p>
        </w:tc>
        <w:tc>
          <w:tcPr>
            <w:tcW w:w="580" w:type="dxa"/>
            <w:vAlign w:val="bottom"/>
            <w:shd w:val="clear" w:color="auto" w:fill="E5E5E5"/>
          </w:tcPr>
          <w:p>
            <w:pPr>
              <w:jc w:val="right"/>
              <w:ind w:right="33"/>
              <w:spacing w:after="0"/>
              <w:rPr>
                <w:sz w:val="20"/>
                <w:szCs w:val="20"/>
                <w:color w:val="auto"/>
              </w:rPr>
            </w:pPr>
            <w:r>
              <w:rPr>
                <w:rFonts w:ascii="Arial" w:cs="Arial" w:eastAsia="Arial" w:hAnsi="Arial"/>
                <w:sz w:val="13"/>
                <w:szCs w:val="13"/>
                <w:color w:val="auto"/>
              </w:rPr>
              <w:t>2020</w:t>
            </w: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3"/>
                <w:szCs w:val="13"/>
                <w:color w:val="auto"/>
              </w:rPr>
              <w:t>1,155,769</w:t>
            </w:r>
          </w:p>
        </w:tc>
        <w:tc>
          <w:tcPr>
            <w:tcW w:w="880" w:type="dxa"/>
            <w:vAlign w:val="bottom"/>
            <w:shd w:val="clear" w:color="auto" w:fill="E5E5E5"/>
          </w:tcPr>
          <w:p>
            <w:pPr>
              <w:jc w:val="right"/>
              <w:ind w:right="33"/>
              <w:spacing w:after="0"/>
              <w:rPr>
                <w:sz w:val="20"/>
                <w:szCs w:val="20"/>
                <w:color w:val="auto"/>
              </w:rPr>
            </w:pPr>
            <w:r>
              <w:rPr>
                <w:rFonts w:ascii="Arial" w:cs="Arial" w:eastAsia="Arial" w:hAnsi="Arial"/>
                <w:sz w:val="13"/>
                <w:szCs w:val="13"/>
                <w:color w:val="auto"/>
              </w:rPr>
              <w:t>2,500,000</w:t>
            </w:r>
          </w:p>
        </w:tc>
        <w:tc>
          <w:tcPr>
            <w:tcW w:w="86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6,210,015</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690,001</w:t>
            </w:r>
          </w:p>
        </w:tc>
        <w:tc>
          <w:tcPr>
            <w:tcW w:w="102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2,358,386</w:t>
            </w:r>
          </w:p>
        </w:tc>
        <w:tc>
          <w:tcPr>
            <w:tcW w:w="1020" w:type="dxa"/>
            <w:vAlign w:val="bottom"/>
            <w:shd w:val="clear" w:color="auto" w:fill="E5E5E5"/>
          </w:tcPr>
          <w:p>
            <w:pPr>
              <w:jc w:val="right"/>
              <w:ind w:right="15"/>
              <w:spacing w:after="0"/>
              <w:rPr>
                <w:sz w:val="20"/>
                <w:szCs w:val="20"/>
                <w:color w:val="auto"/>
              </w:rPr>
            </w:pPr>
            <w:r>
              <w:rPr>
                <w:rFonts w:ascii="Arial" w:cs="Arial" w:eastAsia="Arial" w:hAnsi="Arial"/>
                <w:sz w:val="13"/>
                <w:szCs w:val="13"/>
                <w:color w:val="auto"/>
              </w:rPr>
              <w:t>336,290</w:t>
            </w:r>
          </w:p>
        </w:tc>
        <w:tc>
          <w:tcPr>
            <w:tcW w:w="10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851,522</w:t>
            </w:r>
          </w:p>
        </w:tc>
        <w:tc>
          <w:tcPr>
            <w:tcW w:w="860" w:type="dxa"/>
            <w:vAlign w:val="bottom"/>
            <w:shd w:val="clear" w:color="auto" w:fill="E5E5E5"/>
          </w:tcPr>
          <w:p>
            <w:pPr>
              <w:jc w:val="right"/>
              <w:ind w:right="53"/>
              <w:spacing w:after="0"/>
              <w:rPr>
                <w:sz w:val="20"/>
                <w:szCs w:val="20"/>
                <w:color w:val="auto"/>
              </w:rPr>
            </w:pPr>
            <w:r>
              <w:rPr>
                <w:rFonts w:ascii="Arial" w:cs="Arial" w:eastAsia="Arial" w:hAnsi="Arial"/>
                <w:sz w:val="13"/>
                <w:szCs w:val="13"/>
                <w:color w:val="auto"/>
              </w:rPr>
              <w:t>14,101,983</w:t>
            </w:r>
          </w:p>
        </w:tc>
        <w:tc>
          <w:tcPr>
            <w:tcW w:w="0" w:type="dxa"/>
            <w:vAlign w:val="bottom"/>
          </w:tcPr>
          <w:p>
            <w:pPr>
              <w:spacing w:after="0"/>
              <w:rPr>
                <w:sz w:val="1"/>
                <w:szCs w:val="1"/>
                <w:color w:val="auto"/>
              </w:rPr>
            </w:pPr>
          </w:p>
        </w:tc>
      </w:tr>
      <w:tr>
        <w:trPr>
          <w:trHeight w:val="134"/>
        </w:trPr>
        <w:tc>
          <w:tcPr>
            <w:tcW w:w="330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Anthony Mauro</w:t>
            </w:r>
          </w:p>
        </w:tc>
        <w:tc>
          <w:tcPr>
            <w:tcW w:w="580" w:type="dxa"/>
            <w:vAlign w:val="bottom"/>
          </w:tcPr>
          <w:p>
            <w:pPr>
              <w:jc w:val="right"/>
              <w:ind w:right="33"/>
              <w:spacing w:after="0" w:line="134" w:lineRule="exact"/>
              <w:rPr>
                <w:sz w:val="20"/>
                <w:szCs w:val="20"/>
                <w:color w:val="auto"/>
              </w:rPr>
            </w:pPr>
            <w:r>
              <w:rPr>
                <w:rFonts w:ascii="Arial" w:cs="Arial" w:eastAsia="Arial" w:hAnsi="Arial"/>
                <w:sz w:val="13"/>
                <w:szCs w:val="13"/>
                <w:color w:val="auto"/>
              </w:rPr>
              <w:t>2021</w:t>
            </w:r>
          </w:p>
        </w:tc>
        <w:tc>
          <w:tcPr>
            <w:tcW w:w="800" w:type="dxa"/>
            <w:vAlign w:val="bottom"/>
          </w:tcPr>
          <w:p>
            <w:pPr>
              <w:jc w:val="right"/>
              <w:ind w:right="33"/>
              <w:spacing w:after="0" w:line="134" w:lineRule="exact"/>
              <w:rPr>
                <w:sz w:val="20"/>
                <w:szCs w:val="20"/>
                <w:color w:val="auto"/>
              </w:rPr>
            </w:pPr>
            <w:r>
              <w:rPr>
                <w:rFonts w:ascii="Arial" w:cs="Arial" w:eastAsia="Arial" w:hAnsi="Arial"/>
                <w:sz w:val="13"/>
                <w:szCs w:val="13"/>
                <w:color w:val="auto"/>
              </w:rPr>
              <w:t>800,000</w:t>
            </w:r>
          </w:p>
        </w:tc>
        <w:tc>
          <w:tcPr>
            <w:tcW w:w="880" w:type="dxa"/>
            <w:vAlign w:val="bottom"/>
          </w:tcPr>
          <w:p>
            <w:pPr>
              <w:jc w:val="right"/>
              <w:ind w:right="33"/>
              <w:spacing w:after="0" w:line="134"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line="134" w:lineRule="exact"/>
              <w:rPr>
                <w:sz w:val="20"/>
                <w:szCs w:val="20"/>
                <w:color w:val="auto"/>
              </w:rPr>
            </w:pPr>
            <w:r>
              <w:rPr>
                <w:rFonts w:ascii="Arial" w:cs="Arial" w:eastAsia="Arial" w:hAnsi="Arial"/>
                <w:sz w:val="13"/>
                <w:szCs w:val="13"/>
                <w:color w:val="auto"/>
              </w:rPr>
              <w:t>3,200,017</w:t>
            </w:r>
          </w:p>
        </w:tc>
        <w:tc>
          <w:tcPr>
            <w:tcW w:w="680" w:type="dxa"/>
            <w:vAlign w:val="bottom"/>
          </w:tcPr>
          <w:p>
            <w:pPr>
              <w:jc w:val="right"/>
              <w:ind w:right="14"/>
              <w:spacing w:after="0" w:line="134"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14"/>
              <w:spacing w:after="0" w:line="134" w:lineRule="exact"/>
              <w:rPr>
                <w:sz w:val="20"/>
                <w:szCs w:val="20"/>
                <w:color w:val="auto"/>
              </w:rPr>
            </w:pPr>
            <w:r>
              <w:rPr>
                <w:rFonts w:ascii="Arial" w:cs="Arial" w:eastAsia="Arial" w:hAnsi="Arial"/>
                <w:sz w:val="13"/>
                <w:szCs w:val="13"/>
                <w:color w:val="auto"/>
              </w:rPr>
              <w:t>1,753,244</w:t>
            </w:r>
          </w:p>
        </w:tc>
        <w:tc>
          <w:tcPr>
            <w:tcW w:w="1020" w:type="dxa"/>
            <w:vAlign w:val="bottom"/>
          </w:tcPr>
          <w:p>
            <w:pPr>
              <w:jc w:val="right"/>
              <w:ind w:right="15"/>
              <w:spacing w:after="0" w:line="134" w:lineRule="exact"/>
              <w:rPr>
                <w:sz w:val="20"/>
                <w:szCs w:val="20"/>
                <w:color w:val="auto"/>
              </w:rPr>
            </w:pPr>
            <w:r>
              <w:rPr>
                <w:rFonts w:ascii="Arial" w:cs="Arial" w:eastAsia="Arial" w:hAnsi="Arial"/>
                <w:sz w:val="13"/>
                <w:szCs w:val="13"/>
                <w:color w:val="auto"/>
              </w:rPr>
              <w:t>—</w:t>
            </w:r>
          </w:p>
        </w:tc>
        <w:tc>
          <w:tcPr>
            <w:tcW w:w="1020" w:type="dxa"/>
            <w:vAlign w:val="bottom"/>
          </w:tcPr>
          <w:p>
            <w:pPr>
              <w:jc w:val="right"/>
              <w:spacing w:after="0" w:line="134" w:lineRule="exact"/>
              <w:rPr>
                <w:sz w:val="20"/>
                <w:szCs w:val="20"/>
                <w:color w:val="auto"/>
              </w:rPr>
            </w:pPr>
            <w:r>
              <w:rPr>
                <w:rFonts w:ascii="Arial" w:cs="Arial" w:eastAsia="Arial" w:hAnsi="Arial"/>
                <w:sz w:val="13"/>
                <w:szCs w:val="13"/>
                <w:color w:val="auto"/>
              </w:rPr>
              <w:t>296,654</w:t>
            </w:r>
          </w:p>
        </w:tc>
        <w:tc>
          <w:tcPr>
            <w:tcW w:w="860" w:type="dxa"/>
            <w:vAlign w:val="bottom"/>
          </w:tcPr>
          <w:p>
            <w:pPr>
              <w:jc w:val="right"/>
              <w:ind w:right="53"/>
              <w:spacing w:after="0" w:line="134" w:lineRule="exact"/>
              <w:rPr>
                <w:sz w:val="20"/>
                <w:szCs w:val="20"/>
                <w:color w:val="auto"/>
              </w:rPr>
            </w:pPr>
            <w:r>
              <w:rPr>
                <w:rFonts w:ascii="Arial" w:cs="Arial" w:eastAsia="Arial" w:hAnsi="Arial"/>
                <w:sz w:val="13"/>
                <w:szCs w:val="13"/>
                <w:color w:val="auto"/>
              </w:rPr>
              <w:t>6,049,915</w:t>
            </w:r>
          </w:p>
        </w:tc>
        <w:tc>
          <w:tcPr>
            <w:tcW w:w="0" w:type="dxa"/>
            <w:vAlign w:val="bottom"/>
          </w:tcPr>
          <w:p>
            <w:pPr>
              <w:spacing w:after="0"/>
              <w:rPr>
                <w:sz w:val="1"/>
                <w:szCs w:val="1"/>
                <w:color w:val="auto"/>
              </w:rPr>
            </w:pPr>
          </w:p>
        </w:tc>
      </w:tr>
      <w:tr>
        <w:trPr>
          <w:trHeight w:val="176"/>
        </w:trPr>
        <w:tc>
          <w:tcPr>
            <w:tcW w:w="3300" w:type="dxa"/>
            <w:vAlign w:val="bottom"/>
          </w:tcPr>
          <w:p>
            <w:pPr>
              <w:ind w:left="60"/>
              <w:spacing w:after="0"/>
              <w:rPr>
                <w:sz w:val="20"/>
                <w:szCs w:val="20"/>
                <w:color w:val="auto"/>
              </w:rPr>
            </w:pPr>
            <w:r>
              <w:rPr>
                <w:rFonts w:ascii="Arial" w:cs="Arial" w:eastAsia="Arial" w:hAnsi="Arial"/>
                <w:sz w:val="13"/>
                <w:szCs w:val="13"/>
                <w:i w:val="1"/>
                <w:iCs w:val="1"/>
                <w:color w:val="auto"/>
              </w:rPr>
              <w:t>President, Developed Markets</w:t>
            </w:r>
          </w:p>
        </w:tc>
        <w:tc>
          <w:tcPr>
            <w:tcW w:w="580" w:type="dxa"/>
            <w:vAlign w:val="bottom"/>
          </w:tcPr>
          <w:p>
            <w:pPr>
              <w:jc w:val="right"/>
              <w:ind w:right="33"/>
              <w:spacing w:after="0"/>
              <w:rPr>
                <w:sz w:val="20"/>
                <w:szCs w:val="20"/>
                <w:color w:val="auto"/>
              </w:rPr>
            </w:pPr>
            <w:r>
              <w:rPr>
                <w:rFonts w:ascii="Arial" w:cs="Arial" w:eastAsia="Arial" w:hAnsi="Arial"/>
                <w:sz w:val="13"/>
                <w:szCs w:val="13"/>
                <w:color w:val="auto"/>
              </w:rPr>
              <w:t>2020</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800,000</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1,000,000</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2,880,022</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320,005</w:t>
            </w:r>
          </w:p>
        </w:tc>
        <w:tc>
          <w:tcPr>
            <w:tcW w:w="1020" w:type="dxa"/>
            <w:vAlign w:val="bottom"/>
          </w:tcPr>
          <w:p>
            <w:pPr>
              <w:jc w:val="right"/>
              <w:ind w:right="14"/>
              <w:spacing w:after="0"/>
              <w:rPr>
                <w:sz w:val="20"/>
                <w:szCs w:val="20"/>
                <w:color w:val="auto"/>
              </w:rPr>
            </w:pPr>
            <w:r>
              <w:rPr>
                <w:rFonts w:ascii="Arial" w:cs="Arial" w:eastAsia="Arial" w:hAnsi="Arial"/>
                <w:sz w:val="13"/>
                <w:szCs w:val="13"/>
                <w:color w:val="auto"/>
              </w:rPr>
              <w:t>1,501,164</w:t>
            </w:r>
          </w:p>
        </w:tc>
        <w:tc>
          <w:tcPr>
            <w:tcW w:w="102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243,446</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6,744,637</w:t>
            </w:r>
          </w:p>
        </w:tc>
        <w:tc>
          <w:tcPr>
            <w:tcW w:w="0" w:type="dxa"/>
            <w:vAlign w:val="bottom"/>
          </w:tcPr>
          <w:p>
            <w:pPr>
              <w:spacing w:after="0"/>
              <w:rPr>
                <w:sz w:val="1"/>
                <w:szCs w:val="1"/>
                <w:color w:val="auto"/>
              </w:rPr>
            </w:pPr>
          </w:p>
        </w:tc>
      </w:tr>
      <w:tr>
        <w:trPr>
          <w:trHeight w:val="134"/>
        </w:trPr>
        <w:tc>
          <w:tcPr>
            <w:tcW w:w="3300" w:type="dxa"/>
            <w:vAlign w:val="bottom"/>
            <w:shd w:val="clear" w:color="auto" w:fill="E5E5E5"/>
          </w:tcPr>
          <w:p>
            <w:pPr>
              <w:ind w:left="60"/>
              <w:spacing w:after="0" w:line="134" w:lineRule="exact"/>
              <w:rPr>
                <w:sz w:val="20"/>
                <w:szCs w:val="20"/>
                <w:color w:val="auto"/>
              </w:rPr>
            </w:pPr>
            <w:r>
              <w:rPr>
                <w:rFonts w:ascii="Arial" w:cs="Arial" w:eastAsia="Arial" w:hAnsi="Arial"/>
                <w:sz w:val="13"/>
                <w:szCs w:val="13"/>
                <w:b w:val="1"/>
                <w:bCs w:val="1"/>
                <w:color w:val="auto"/>
              </w:rPr>
              <w:t>Robert J. Coury</w:t>
            </w:r>
          </w:p>
        </w:tc>
        <w:tc>
          <w:tcPr>
            <w:tcW w:w="580" w:type="dxa"/>
            <w:vAlign w:val="bottom"/>
            <w:shd w:val="clear" w:color="auto" w:fill="E5E5E5"/>
          </w:tcPr>
          <w:p>
            <w:pPr>
              <w:jc w:val="right"/>
              <w:ind w:right="33"/>
              <w:spacing w:after="0" w:line="134" w:lineRule="exact"/>
              <w:rPr>
                <w:sz w:val="20"/>
                <w:szCs w:val="20"/>
                <w:color w:val="auto"/>
              </w:rPr>
            </w:pPr>
            <w:r>
              <w:rPr>
                <w:rFonts w:ascii="Arial" w:cs="Arial" w:eastAsia="Arial" w:hAnsi="Arial"/>
                <w:sz w:val="13"/>
                <w:szCs w:val="13"/>
                <w:color w:val="auto"/>
              </w:rPr>
              <w:t>2021</w:t>
            </w:r>
          </w:p>
        </w:tc>
        <w:tc>
          <w:tcPr>
            <w:tcW w:w="800" w:type="dxa"/>
            <w:vAlign w:val="bottom"/>
            <w:shd w:val="clear" w:color="auto" w:fill="E5E5E5"/>
          </w:tcPr>
          <w:p>
            <w:pPr>
              <w:jc w:val="right"/>
              <w:ind w:right="33"/>
              <w:spacing w:after="0" w:line="134" w:lineRule="exact"/>
              <w:rPr>
                <w:sz w:val="20"/>
                <w:szCs w:val="20"/>
                <w:color w:val="auto"/>
              </w:rPr>
            </w:pPr>
            <w:r>
              <w:rPr>
                <w:rFonts w:ascii="Arial" w:cs="Arial" w:eastAsia="Arial" w:hAnsi="Arial"/>
                <w:sz w:val="13"/>
                <w:szCs w:val="13"/>
                <w:color w:val="auto"/>
              </w:rPr>
              <w:t>1,800,000</w:t>
            </w:r>
          </w:p>
        </w:tc>
        <w:tc>
          <w:tcPr>
            <w:tcW w:w="880" w:type="dxa"/>
            <w:vAlign w:val="bottom"/>
            <w:shd w:val="clear" w:color="auto" w:fill="E5E5E5"/>
          </w:tcPr>
          <w:p>
            <w:pPr>
              <w:jc w:val="right"/>
              <w:ind w:right="33"/>
              <w:spacing w:after="0" w:line="134" w:lineRule="exact"/>
              <w:rPr>
                <w:sz w:val="20"/>
                <w:szCs w:val="20"/>
                <w:color w:val="auto"/>
              </w:rPr>
            </w:pPr>
            <w:r>
              <w:rPr>
                <w:rFonts w:ascii="Arial" w:cs="Arial" w:eastAsia="Arial" w:hAnsi="Arial"/>
                <w:sz w:val="13"/>
                <w:szCs w:val="13"/>
                <w:color w:val="auto"/>
              </w:rPr>
              <w:t>—</w:t>
            </w:r>
          </w:p>
        </w:tc>
        <w:tc>
          <w:tcPr>
            <w:tcW w:w="860" w:type="dxa"/>
            <w:vAlign w:val="bottom"/>
            <w:shd w:val="clear" w:color="auto" w:fill="E5E5E5"/>
          </w:tcPr>
          <w:p>
            <w:pPr>
              <w:jc w:val="right"/>
              <w:ind w:right="34"/>
              <w:spacing w:after="0" w:line="134" w:lineRule="exact"/>
              <w:rPr>
                <w:sz w:val="20"/>
                <w:szCs w:val="20"/>
                <w:color w:val="auto"/>
              </w:rPr>
            </w:pPr>
            <w:r>
              <w:rPr>
                <w:rFonts w:ascii="Arial" w:cs="Arial" w:eastAsia="Arial" w:hAnsi="Arial"/>
                <w:sz w:val="13"/>
                <w:szCs w:val="13"/>
                <w:color w:val="auto"/>
              </w:rPr>
              <w:t>10,800,010</w:t>
            </w:r>
          </w:p>
        </w:tc>
        <w:tc>
          <w:tcPr>
            <w:tcW w:w="680" w:type="dxa"/>
            <w:vAlign w:val="bottom"/>
            <w:shd w:val="clear" w:color="auto" w:fill="E5E5E5"/>
          </w:tcPr>
          <w:p>
            <w:pPr>
              <w:jc w:val="right"/>
              <w:ind w:right="14"/>
              <w:spacing w:after="0" w:line="134" w:lineRule="exact"/>
              <w:rPr>
                <w:sz w:val="20"/>
                <w:szCs w:val="20"/>
                <w:color w:val="auto"/>
              </w:rPr>
            </w:pPr>
            <w:r>
              <w:rPr>
                <w:rFonts w:ascii="Arial" w:cs="Arial" w:eastAsia="Arial" w:hAnsi="Arial"/>
                <w:sz w:val="13"/>
                <w:szCs w:val="13"/>
                <w:color w:val="auto"/>
              </w:rPr>
              <w:t>—</w:t>
            </w:r>
          </w:p>
        </w:tc>
        <w:tc>
          <w:tcPr>
            <w:tcW w:w="1020" w:type="dxa"/>
            <w:vAlign w:val="bottom"/>
            <w:shd w:val="clear" w:color="auto" w:fill="E5E5E5"/>
          </w:tcPr>
          <w:p>
            <w:pPr>
              <w:jc w:val="right"/>
              <w:ind w:right="14"/>
              <w:spacing w:after="0" w:line="134" w:lineRule="exact"/>
              <w:rPr>
                <w:sz w:val="20"/>
                <w:szCs w:val="20"/>
                <w:color w:val="auto"/>
              </w:rPr>
            </w:pPr>
            <w:r>
              <w:rPr>
                <w:rFonts w:ascii="Arial" w:cs="Arial" w:eastAsia="Arial" w:hAnsi="Arial"/>
                <w:sz w:val="13"/>
                <w:szCs w:val="13"/>
                <w:color w:val="auto"/>
              </w:rPr>
              <w:t>5,145,390</w:t>
            </w:r>
          </w:p>
        </w:tc>
        <w:tc>
          <w:tcPr>
            <w:tcW w:w="1020" w:type="dxa"/>
            <w:vAlign w:val="bottom"/>
            <w:shd w:val="clear" w:color="auto" w:fill="E5E5E5"/>
          </w:tcPr>
          <w:p>
            <w:pPr>
              <w:jc w:val="right"/>
              <w:ind w:right="15"/>
              <w:spacing w:after="0" w:line="134" w:lineRule="exact"/>
              <w:rPr>
                <w:sz w:val="20"/>
                <w:szCs w:val="20"/>
                <w:color w:val="auto"/>
              </w:rPr>
            </w:pPr>
            <w:r>
              <w:rPr>
                <w:rFonts w:ascii="Arial" w:cs="Arial" w:eastAsia="Arial" w:hAnsi="Arial"/>
                <w:sz w:val="13"/>
                <w:szCs w:val="13"/>
                <w:color w:val="auto"/>
              </w:rPr>
              <w:t>—</w:t>
            </w:r>
          </w:p>
        </w:tc>
        <w:tc>
          <w:tcPr>
            <w:tcW w:w="1020" w:type="dxa"/>
            <w:vAlign w:val="bottom"/>
            <w:shd w:val="clear" w:color="auto" w:fill="E5E5E5"/>
          </w:tcPr>
          <w:p>
            <w:pPr>
              <w:jc w:val="right"/>
              <w:spacing w:after="0" w:line="134" w:lineRule="exact"/>
              <w:rPr>
                <w:sz w:val="20"/>
                <w:szCs w:val="20"/>
                <w:color w:val="auto"/>
              </w:rPr>
            </w:pPr>
            <w:r>
              <w:rPr>
                <w:rFonts w:ascii="Arial" w:cs="Arial" w:eastAsia="Arial" w:hAnsi="Arial"/>
                <w:sz w:val="13"/>
                <w:szCs w:val="13"/>
                <w:color w:val="auto"/>
              </w:rPr>
              <w:t>806,678</w:t>
            </w:r>
          </w:p>
        </w:tc>
        <w:tc>
          <w:tcPr>
            <w:tcW w:w="860" w:type="dxa"/>
            <w:vAlign w:val="bottom"/>
            <w:shd w:val="clear" w:color="auto" w:fill="E5E5E5"/>
          </w:tcPr>
          <w:p>
            <w:pPr>
              <w:jc w:val="right"/>
              <w:ind w:right="53"/>
              <w:spacing w:after="0" w:line="134" w:lineRule="exact"/>
              <w:rPr>
                <w:sz w:val="20"/>
                <w:szCs w:val="20"/>
                <w:color w:val="auto"/>
              </w:rPr>
            </w:pPr>
            <w:r>
              <w:rPr>
                <w:rFonts w:ascii="Arial" w:cs="Arial" w:eastAsia="Arial" w:hAnsi="Arial"/>
                <w:sz w:val="13"/>
                <w:szCs w:val="13"/>
                <w:color w:val="auto"/>
              </w:rPr>
              <w:t>18,552,078</w:t>
            </w:r>
          </w:p>
        </w:tc>
        <w:tc>
          <w:tcPr>
            <w:tcW w:w="0" w:type="dxa"/>
            <w:vAlign w:val="bottom"/>
          </w:tcPr>
          <w:p>
            <w:pPr>
              <w:spacing w:after="0"/>
              <w:rPr>
                <w:sz w:val="1"/>
                <w:szCs w:val="1"/>
                <w:color w:val="auto"/>
              </w:rPr>
            </w:pPr>
          </w:p>
        </w:tc>
      </w:tr>
      <w:tr>
        <w:trPr>
          <w:trHeight w:val="177"/>
        </w:trPr>
        <w:tc>
          <w:tcPr>
            <w:tcW w:w="3300" w:type="dxa"/>
            <w:vAlign w:val="bottom"/>
            <w:shd w:val="clear" w:color="auto" w:fill="E5E5E5"/>
          </w:tcPr>
          <w:p>
            <w:pPr>
              <w:ind w:left="60"/>
              <w:spacing w:after="0"/>
              <w:rPr>
                <w:sz w:val="20"/>
                <w:szCs w:val="20"/>
                <w:color w:val="auto"/>
              </w:rPr>
            </w:pPr>
            <w:r>
              <w:rPr>
                <w:rFonts w:ascii="Arial" w:cs="Arial" w:eastAsia="Arial" w:hAnsi="Arial"/>
                <w:sz w:val="13"/>
                <w:szCs w:val="13"/>
                <w:i w:val="1"/>
                <w:iCs w:val="1"/>
                <w:color w:val="auto"/>
              </w:rPr>
              <w:t>Executive Chairman</w:t>
            </w:r>
          </w:p>
        </w:tc>
        <w:tc>
          <w:tcPr>
            <w:tcW w:w="580" w:type="dxa"/>
            <w:vAlign w:val="bottom"/>
            <w:shd w:val="clear" w:color="auto" w:fill="E5E5E5"/>
          </w:tcPr>
          <w:p>
            <w:pPr>
              <w:jc w:val="right"/>
              <w:ind w:right="33"/>
              <w:spacing w:after="0"/>
              <w:rPr>
                <w:sz w:val="20"/>
                <w:szCs w:val="20"/>
                <w:color w:val="auto"/>
              </w:rPr>
            </w:pPr>
            <w:r>
              <w:rPr>
                <w:rFonts w:ascii="Arial" w:cs="Arial" w:eastAsia="Arial" w:hAnsi="Arial"/>
                <w:sz w:val="13"/>
                <w:szCs w:val="13"/>
                <w:color w:val="auto"/>
              </w:rPr>
              <w:t>2020</w:t>
            </w: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3"/>
                <w:szCs w:val="13"/>
                <w:color w:val="auto"/>
              </w:rPr>
              <w:t>1,800,000</w:t>
            </w:r>
          </w:p>
        </w:tc>
        <w:tc>
          <w:tcPr>
            <w:tcW w:w="880" w:type="dxa"/>
            <w:vAlign w:val="bottom"/>
            <w:shd w:val="clear" w:color="auto" w:fill="E5E5E5"/>
          </w:tcPr>
          <w:p>
            <w:pPr>
              <w:jc w:val="right"/>
              <w:ind w:right="33"/>
              <w:spacing w:after="0"/>
              <w:rPr>
                <w:sz w:val="20"/>
                <w:szCs w:val="20"/>
                <w:color w:val="auto"/>
              </w:rPr>
            </w:pPr>
            <w:r>
              <w:rPr>
                <w:rFonts w:ascii="Arial" w:cs="Arial" w:eastAsia="Arial" w:hAnsi="Arial"/>
                <w:sz w:val="13"/>
                <w:szCs w:val="13"/>
                <w:color w:val="auto"/>
              </w:rPr>
              <w:t>10,000,000</w:t>
            </w:r>
          </w:p>
        </w:tc>
        <w:tc>
          <w:tcPr>
            <w:tcW w:w="86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12,451,936</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w:t>
            </w:r>
          </w:p>
        </w:tc>
        <w:tc>
          <w:tcPr>
            <w:tcW w:w="102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4,405,590</w:t>
            </w:r>
          </w:p>
        </w:tc>
        <w:tc>
          <w:tcPr>
            <w:tcW w:w="1020" w:type="dxa"/>
            <w:vAlign w:val="bottom"/>
            <w:shd w:val="clear" w:color="auto" w:fill="E5E5E5"/>
          </w:tcPr>
          <w:p>
            <w:pPr>
              <w:jc w:val="right"/>
              <w:ind w:right="15"/>
              <w:spacing w:after="0"/>
              <w:rPr>
                <w:sz w:val="20"/>
                <w:szCs w:val="20"/>
                <w:color w:val="auto"/>
              </w:rPr>
            </w:pPr>
            <w:r>
              <w:rPr>
                <w:rFonts w:ascii="Arial" w:cs="Arial" w:eastAsia="Arial" w:hAnsi="Arial"/>
                <w:sz w:val="13"/>
                <w:szCs w:val="13"/>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399,850</w:t>
            </w:r>
          </w:p>
        </w:tc>
        <w:tc>
          <w:tcPr>
            <w:tcW w:w="860" w:type="dxa"/>
            <w:vAlign w:val="bottom"/>
            <w:shd w:val="clear" w:color="auto" w:fill="E5E5E5"/>
          </w:tcPr>
          <w:p>
            <w:pPr>
              <w:jc w:val="right"/>
              <w:ind w:right="53"/>
              <w:spacing w:after="0"/>
              <w:rPr>
                <w:sz w:val="20"/>
                <w:szCs w:val="20"/>
                <w:color w:val="auto"/>
              </w:rPr>
            </w:pPr>
            <w:r>
              <w:rPr>
                <w:rFonts w:ascii="Arial" w:cs="Arial" w:eastAsia="Arial" w:hAnsi="Arial"/>
                <w:sz w:val="13"/>
                <w:szCs w:val="13"/>
                <w:color w:val="auto"/>
              </w:rPr>
              <w:t>29,057,376</w:t>
            </w:r>
          </w:p>
        </w:tc>
        <w:tc>
          <w:tcPr>
            <w:tcW w:w="0" w:type="dxa"/>
            <w:vAlign w:val="bottom"/>
          </w:tcPr>
          <w:p>
            <w:pPr>
              <w:spacing w:after="0"/>
              <w:rPr>
                <w:sz w:val="1"/>
                <w:szCs w:val="1"/>
                <w:color w:val="auto"/>
              </w:rPr>
            </w:pPr>
          </w:p>
        </w:tc>
      </w:tr>
    </w:tbl>
    <w:p>
      <w:pPr>
        <w:jc w:val="both"/>
        <w:ind w:left="540" w:hanging="424"/>
        <w:spacing w:after="0" w:line="247" w:lineRule="auto"/>
        <w:tabs>
          <w:tab w:leader="none" w:pos="540"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base salary actually paid to the NEO in 2021 and 2020. The 2020 amount includes the salary paid by Mylan or Upjohn, as applicable, prior to the closing of the Combination and by Viatris after the closing of the Combination. For Mr. Coury, the amount includes the cash retainer received while serving as Mylan’s non-executive Chairman from January 1, 2020 through April 15, 2020, his base salary for serving as Mylan’s Executive Chairman from April 15, 2020 to the closing of the Combination, and his base salary for serving as Viatris’ Executive Chairman for the remainder of 2020.</w:t>
      </w:r>
    </w:p>
    <w:p>
      <w:pPr>
        <w:jc w:val="both"/>
        <w:ind w:left="540" w:hanging="424"/>
        <w:spacing w:after="0" w:line="246" w:lineRule="auto"/>
        <w:tabs>
          <w:tab w:leader="none" w:pos="540"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In connection with the Combination in 2020, Messrs. Goettler and Narula each became entitled to receive a $1 million transaction-related payment previously granted to them by Pfizer. In connection with the Combination, Mr. Malik and Mr. Mauro received cash awards equal to $2.5 million and $1 million, respectively, in recognition of their significant efforts in connection with integration planning matters related to the Combination in addition to their customary responsibilities. In connection with the Combination, Mr. Coury received a one-time cash recognition award of $10 million (which recognized and rewarded Mr. Coury for, among other things: the fact that Mr. Coury assumed an executive role with Mylan in April 2020 but did not receive an annual equity grant at that time (which, had it been awarded, would have been valued at approximately $10.8 million); his strategic leadership of Mylan; the unexpected and significantly increased efforts expended by Mr. Coury on company matters since April 2020, including during the COVID-19 pandemic; his significant leadership in the analysis and negotiation relating to the Combination and integration planning matters with respect to the Combination; and his expected leadership, direction and efforts for the combined company so that shareholders can realize the significant opportunity and benefits that are expected from the Combination).</w:t>
      </w:r>
    </w:p>
    <w:p>
      <w:pPr>
        <w:spacing w:after="0" w:line="4" w:lineRule="exact"/>
        <w:rPr>
          <w:rFonts w:ascii="Arial" w:cs="Arial" w:eastAsia="Arial" w:hAnsi="Arial"/>
          <w:sz w:val="16"/>
          <w:szCs w:val="16"/>
          <w:i w:val="1"/>
          <w:iCs w:val="1"/>
          <w:color w:val="auto"/>
        </w:rPr>
      </w:pPr>
    </w:p>
    <w:p>
      <w:pPr>
        <w:ind w:left="540" w:right="20" w:hanging="424"/>
        <w:spacing w:after="0" w:line="260" w:lineRule="auto"/>
        <w:tabs>
          <w:tab w:leader="none" w:pos="540"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grant date fair value of the long-term incentive awards granted to the NEO in 2021 and 2020, as applicable. The grant date fair value of PRSUs for 2021 is based on the target value and is as follows:</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86"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540"/>
        <w:spacing w:after="0" w:line="248" w:lineRule="auto"/>
        <w:rPr>
          <w:sz w:val="20"/>
          <w:szCs w:val="20"/>
          <w:color w:val="auto"/>
        </w:rPr>
      </w:pPr>
      <w:r>
        <w:rPr>
          <w:rFonts w:ascii="Arial" w:cs="Arial" w:eastAsia="Arial" w:hAnsi="Arial"/>
          <w:sz w:val="16"/>
          <w:szCs w:val="16"/>
          <w:i w:val="1"/>
          <w:iCs w:val="1"/>
          <w:color w:val="auto"/>
        </w:rPr>
        <w:t>Messrs. Goettler ($5,460,009), Narula ($1,680,004), Malik ($4,320,010), Mauro ($1,920,004) and Coury ($6,480,001). If the maximum achievement of performance goals had been assumed, the grant date fair value of the PRSUs for 2021 would have been as follows: Messrs. Goettler ($10,647,022), Narula ($3,276,011), Malik ($8,424,026), Mauro ($3,744,009) and Coury ($12,636,004). With respect to Messrs. Goettler and Narula’s 2020 award, the grant date fair value represents cash-based awards granted by Pfizer in 2020 prior to the Combination, equal to $2,400,000 and $425,000, respectively. In connection with the Combination, these and certain other Pfizer awards were canceled and forfeited and Messrs. Goettler and Narula were granted Viatris RSUs to replace such forfeited Pfizer awards. With respect to Messrs. Malik and Mauro’s 2020 award, the grant date fair value represents RSUs and PRSUs granted by Mylan in 2020 prior to the Combination. In the case of PRSUs, value is based on the target value as follows: Mr. Malik ($3,450,010) and Mr. Mauro ($1,600,014). In connection with the Combination, PRSUs were converted into an award of Viatris RSUs on a one-for-one basis assuming target level performance and RSUs were also converted into Viatris RSUs on a one-for-one basis. With respect to Mr. Coury, the grant date fair value of stock awards for 2020 represents the 1.6 million PRSUs granted by Viatris in connection with the Combination pursuant to his Value Creation Award, based on the Monte Carlo value equal to $12,451,936. For information regarding assumptions used in determining the expense of such awards, please refer to Note 13 to the Company’s Consolidated Financial Statements contained in the Original Filing.</w:t>
      </w:r>
    </w:p>
    <w:p>
      <w:pPr>
        <w:spacing w:after="0" w:line="1" w:lineRule="exact"/>
        <w:rPr>
          <w:sz w:val="20"/>
          <w:szCs w:val="20"/>
          <w:color w:val="auto"/>
        </w:rPr>
      </w:pPr>
    </w:p>
    <w:p>
      <w:pPr>
        <w:ind w:left="540" w:right="20" w:hanging="424"/>
        <w:spacing w:after="0" w:line="246" w:lineRule="auto"/>
        <w:tabs>
          <w:tab w:leader="none" w:pos="54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grant date fair value of the option awards granted by Mylan in 2020 prior to the Combination. In connection with the Combination, these option awards were converted into options to purchase shares of Viatris common stock on a one-for-one basis.</w:t>
      </w:r>
    </w:p>
    <w:p>
      <w:pPr>
        <w:ind w:left="540" w:right="20" w:hanging="424"/>
        <w:spacing w:after="0" w:line="246" w:lineRule="auto"/>
        <w:tabs>
          <w:tab w:leader="none" w:pos="54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amounts paid under the Company’s annual short-term incentive plan. For a discussion of this plan, see “2021 Annual Incentive Compensation Program” on page 27 of this Form 10-K/A.</w:t>
      </w:r>
    </w:p>
    <w:p>
      <w:pPr>
        <w:jc w:val="both"/>
        <w:ind w:left="540" w:hanging="424"/>
        <w:spacing w:after="0" w:line="246" w:lineRule="auto"/>
        <w:tabs>
          <w:tab w:leader="none" w:pos="54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aggregate change in present value of Mr. Malik’s accumulated benefit under Mr. Malik’s Retirement Benefit Agreement. Mr. Malik’s Retirement Benefit Agreement was frozen as of the Combination and Mr. Malik no longer accrues additional benefits under the agreement. In computing this amount, we used the same assumptions that were used to determine the expense amounts recognized in our 2020 financial statements. In 2020, the impact of a decrease in the applicable discount rates led to an increase in the present value of accumulated benefits of $336,290 for Mr. Malik. For further information concerning Mr. Malik’s Retirement Benefit Agreement, see the Pension Benefits for 2021 Table on page 42. Messrs. Goettler and Narula participated in pension plans of Pfizer prior to the Combination, and Pfizer retained all liabilities with respect to such plans.</w:t>
      </w:r>
    </w:p>
    <w:p>
      <w:pPr>
        <w:spacing w:after="0" w:line="2" w:lineRule="exact"/>
        <w:rPr>
          <w:rFonts w:ascii="Arial" w:cs="Arial" w:eastAsia="Arial" w:hAnsi="Arial"/>
          <w:sz w:val="16"/>
          <w:szCs w:val="16"/>
          <w:i w:val="1"/>
          <w:iCs w:val="1"/>
          <w:color w:val="auto"/>
        </w:rPr>
      </w:pPr>
    </w:p>
    <w:p>
      <w:pPr>
        <w:ind w:left="540" w:hanging="424"/>
        <w:spacing w:after="0"/>
        <w:tabs>
          <w:tab w:leader="none" w:pos="54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Amounts shown in this column are detailed in the following chart.</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520" w:type="dxa"/>
            <w:vAlign w:val="bottom"/>
            <w:shd w:val="clear" w:color="auto" w:fill="444444"/>
          </w:tcPr>
          <w:p>
            <w:pPr>
              <w:spacing w:after="0"/>
              <w:rPr>
                <w:sz w:val="13"/>
                <w:szCs w:val="13"/>
                <w:color w:val="auto"/>
              </w:rPr>
            </w:pPr>
          </w:p>
        </w:tc>
        <w:tc>
          <w:tcPr>
            <w:tcW w:w="780" w:type="dxa"/>
            <w:vAlign w:val="bottom"/>
            <w:shd w:val="clear" w:color="auto" w:fill="444444"/>
          </w:tcPr>
          <w:p>
            <w:pPr>
              <w:spacing w:after="0"/>
              <w:rPr>
                <w:sz w:val="13"/>
                <w:szCs w:val="13"/>
                <w:color w:val="auto"/>
              </w:rPr>
            </w:pPr>
          </w:p>
        </w:tc>
        <w:tc>
          <w:tcPr>
            <w:tcW w:w="980" w:type="dxa"/>
            <w:vAlign w:val="bottom"/>
            <w:shd w:val="clear" w:color="auto" w:fill="444444"/>
          </w:tcPr>
          <w:p>
            <w:pPr>
              <w:spacing w:after="0"/>
              <w:rPr>
                <w:sz w:val="13"/>
                <w:szCs w:val="13"/>
                <w:color w:val="auto"/>
              </w:rPr>
            </w:pPr>
          </w:p>
        </w:tc>
        <w:tc>
          <w:tcPr>
            <w:tcW w:w="880" w:type="dxa"/>
            <w:vAlign w:val="bottom"/>
            <w:shd w:val="clear" w:color="auto" w:fill="444444"/>
          </w:tcPr>
          <w:p>
            <w:pPr>
              <w:spacing w:after="0"/>
              <w:rPr>
                <w:sz w:val="13"/>
                <w:szCs w:val="13"/>
                <w:color w:val="auto"/>
              </w:rPr>
            </w:pPr>
          </w:p>
        </w:tc>
        <w:tc>
          <w:tcPr>
            <w:tcW w:w="920" w:type="dxa"/>
            <w:vAlign w:val="bottom"/>
            <w:shd w:val="clear" w:color="auto" w:fill="444444"/>
          </w:tcPr>
          <w:p>
            <w:pPr>
              <w:spacing w:after="0"/>
              <w:rPr>
                <w:sz w:val="13"/>
                <w:szCs w:val="13"/>
                <w:color w:val="auto"/>
              </w:rPr>
            </w:pPr>
          </w:p>
        </w:tc>
        <w:tc>
          <w:tcPr>
            <w:tcW w:w="1060" w:type="dxa"/>
            <w:vAlign w:val="bottom"/>
            <w:shd w:val="clear" w:color="auto" w:fill="444444"/>
          </w:tcPr>
          <w:p>
            <w:pPr>
              <w:jc w:val="right"/>
              <w:ind w:right="89"/>
              <w:spacing w:after="0"/>
              <w:rPr>
                <w:sz w:val="20"/>
                <w:szCs w:val="20"/>
                <w:color w:val="auto"/>
              </w:rPr>
            </w:pPr>
            <w:r>
              <w:rPr>
                <w:rFonts w:ascii="Arial" w:cs="Arial" w:eastAsia="Arial" w:hAnsi="Arial"/>
                <w:sz w:val="13"/>
                <w:szCs w:val="13"/>
                <w:b w:val="1"/>
                <w:bCs w:val="1"/>
                <w:color w:val="FFFFFF"/>
              </w:rPr>
              <w:t>401(k) and</w:t>
            </w:r>
          </w:p>
        </w:tc>
        <w:tc>
          <w:tcPr>
            <w:tcW w:w="1020" w:type="dxa"/>
            <w:vAlign w:val="bottom"/>
            <w:shd w:val="clear" w:color="auto" w:fill="444444"/>
          </w:tcPr>
          <w:p>
            <w:pPr>
              <w:spacing w:after="0"/>
              <w:rPr>
                <w:sz w:val="13"/>
                <w:szCs w:val="13"/>
                <w:color w:val="auto"/>
              </w:rPr>
            </w:pPr>
          </w:p>
        </w:tc>
        <w:tc>
          <w:tcPr>
            <w:tcW w:w="840" w:type="dxa"/>
            <w:vAlign w:val="bottom"/>
            <w:shd w:val="clear" w:color="auto" w:fill="444444"/>
          </w:tcPr>
          <w:p>
            <w:pPr>
              <w:spacing w:after="0"/>
              <w:rPr>
                <w:sz w:val="13"/>
                <w:szCs w:val="13"/>
                <w:color w:val="auto"/>
              </w:rPr>
            </w:pPr>
          </w:p>
        </w:tc>
        <w:tc>
          <w:tcPr>
            <w:tcW w:w="1020" w:type="dxa"/>
            <w:vAlign w:val="bottom"/>
            <w:shd w:val="clear" w:color="auto" w:fill="444444"/>
          </w:tcPr>
          <w:p>
            <w:pPr>
              <w:spacing w:after="0"/>
              <w:rPr>
                <w:sz w:val="13"/>
                <w:szCs w:val="13"/>
                <w:color w:val="auto"/>
              </w:rPr>
            </w:pPr>
          </w:p>
        </w:tc>
      </w:tr>
      <w:tr>
        <w:trPr>
          <w:trHeight w:val="135"/>
        </w:trPr>
        <w:tc>
          <w:tcPr>
            <w:tcW w:w="3520" w:type="dxa"/>
            <w:vAlign w:val="bottom"/>
            <w:shd w:val="clear" w:color="auto" w:fill="444444"/>
          </w:tcPr>
          <w:p>
            <w:pPr>
              <w:spacing w:after="0"/>
              <w:rPr>
                <w:sz w:val="11"/>
                <w:szCs w:val="11"/>
                <w:color w:val="auto"/>
              </w:rPr>
            </w:pPr>
          </w:p>
        </w:tc>
        <w:tc>
          <w:tcPr>
            <w:tcW w:w="780" w:type="dxa"/>
            <w:vAlign w:val="bottom"/>
            <w:shd w:val="clear" w:color="auto" w:fill="444444"/>
          </w:tcPr>
          <w:p>
            <w:pPr>
              <w:spacing w:after="0"/>
              <w:rPr>
                <w:sz w:val="11"/>
                <w:szCs w:val="11"/>
                <w:color w:val="auto"/>
              </w:rPr>
            </w:pPr>
          </w:p>
        </w:tc>
        <w:tc>
          <w:tcPr>
            <w:tcW w:w="980" w:type="dxa"/>
            <w:vAlign w:val="bottom"/>
            <w:shd w:val="clear" w:color="auto" w:fill="444444"/>
          </w:tcPr>
          <w:p>
            <w:pPr>
              <w:spacing w:after="0"/>
              <w:rPr>
                <w:sz w:val="11"/>
                <w:szCs w:val="11"/>
                <w:color w:val="auto"/>
              </w:rPr>
            </w:pPr>
          </w:p>
        </w:tc>
        <w:tc>
          <w:tcPr>
            <w:tcW w:w="880" w:type="dxa"/>
            <w:vAlign w:val="bottom"/>
            <w:shd w:val="clear" w:color="auto" w:fill="444444"/>
          </w:tcPr>
          <w:p>
            <w:pPr>
              <w:spacing w:after="0"/>
              <w:rPr>
                <w:sz w:val="11"/>
                <w:szCs w:val="11"/>
                <w:color w:val="auto"/>
              </w:rPr>
            </w:pPr>
          </w:p>
        </w:tc>
        <w:tc>
          <w:tcPr>
            <w:tcW w:w="920" w:type="dxa"/>
            <w:vAlign w:val="bottom"/>
            <w:shd w:val="clear" w:color="auto" w:fill="444444"/>
          </w:tcPr>
          <w:p>
            <w:pPr>
              <w:spacing w:after="0"/>
              <w:rPr>
                <w:sz w:val="11"/>
                <w:szCs w:val="11"/>
                <w:color w:val="auto"/>
              </w:rPr>
            </w:pPr>
          </w:p>
        </w:tc>
        <w:tc>
          <w:tcPr>
            <w:tcW w:w="1060" w:type="dxa"/>
            <w:vAlign w:val="bottom"/>
            <w:shd w:val="clear" w:color="auto" w:fill="444444"/>
          </w:tcPr>
          <w:p>
            <w:pPr>
              <w:jc w:val="right"/>
              <w:ind w:right="89"/>
              <w:spacing w:after="0" w:line="135" w:lineRule="exact"/>
              <w:rPr>
                <w:sz w:val="20"/>
                <w:szCs w:val="20"/>
                <w:color w:val="auto"/>
              </w:rPr>
            </w:pPr>
            <w:r>
              <w:rPr>
                <w:rFonts w:ascii="Arial" w:cs="Arial" w:eastAsia="Arial" w:hAnsi="Arial"/>
                <w:sz w:val="13"/>
                <w:szCs w:val="13"/>
                <w:b w:val="1"/>
                <w:bCs w:val="1"/>
                <w:color w:val="FFFFFF"/>
              </w:rPr>
              <w:t>Profit</w:t>
            </w:r>
          </w:p>
        </w:tc>
        <w:tc>
          <w:tcPr>
            <w:tcW w:w="1020" w:type="dxa"/>
            <w:vAlign w:val="bottom"/>
            <w:shd w:val="clear" w:color="auto" w:fill="444444"/>
          </w:tcPr>
          <w:p>
            <w:pPr>
              <w:spacing w:after="0"/>
              <w:rPr>
                <w:sz w:val="11"/>
                <w:szCs w:val="11"/>
                <w:color w:val="auto"/>
              </w:rPr>
            </w:pPr>
          </w:p>
        </w:tc>
        <w:tc>
          <w:tcPr>
            <w:tcW w:w="840" w:type="dxa"/>
            <w:vAlign w:val="bottom"/>
            <w:shd w:val="clear" w:color="auto" w:fill="444444"/>
          </w:tcPr>
          <w:p>
            <w:pPr>
              <w:spacing w:after="0"/>
              <w:rPr>
                <w:sz w:val="11"/>
                <w:szCs w:val="11"/>
                <w:color w:val="auto"/>
              </w:rPr>
            </w:pPr>
          </w:p>
        </w:tc>
        <w:tc>
          <w:tcPr>
            <w:tcW w:w="1020" w:type="dxa"/>
            <w:vAlign w:val="bottom"/>
            <w:shd w:val="clear" w:color="auto" w:fill="444444"/>
          </w:tcPr>
          <w:p>
            <w:pPr>
              <w:spacing w:after="0"/>
              <w:rPr>
                <w:sz w:val="11"/>
                <w:szCs w:val="11"/>
                <w:color w:val="auto"/>
              </w:rPr>
            </w:pPr>
          </w:p>
        </w:tc>
      </w:tr>
      <w:tr>
        <w:trPr>
          <w:trHeight w:val="135"/>
        </w:trPr>
        <w:tc>
          <w:tcPr>
            <w:tcW w:w="3520" w:type="dxa"/>
            <w:vAlign w:val="bottom"/>
            <w:shd w:val="clear" w:color="auto" w:fill="444444"/>
          </w:tcPr>
          <w:p>
            <w:pPr>
              <w:spacing w:after="0"/>
              <w:rPr>
                <w:sz w:val="11"/>
                <w:szCs w:val="11"/>
                <w:color w:val="auto"/>
              </w:rPr>
            </w:pPr>
          </w:p>
        </w:tc>
        <w:tc>
          <w:tcPr>
            <w:tcW w:w="780" w:type="dxa"/>
            <w:vAlign w:val="bottom"/>
            <w:shd w:val="clear" w:color="auto" w:fill="444444"/>
          </w:tcPr>
          <w:p>
            <w:pPr>
              <w:spacing w:after="0"/>
              <w:rPr>
                <w:sz w:val="11"/>
                <w:szCs w:val="11"/>
                <w:color w:val="auto"/>
              </w:rPr>
            </w:pPr>
          </w:p>
        </w:tc>
        <w:tc>
          <w:tcPr>
            <w:tcW w:w="980" w:type="dxa"/>
            <w:vAlign w:val="bottom"/>
            <w:shd w:val="clear" w:color="auto" w:fill="444444"/>
          </w:tcPr>
          <w:p>
            <w:pPr>
              <w:spacing w:after="0"/>
              <w:rPr>
                <w:sz w:val="11"/>
                <w:szCs w:val="11"/>
                <w:color w:val="auto"/>
              </w:rPr>
            </w:pPr>
          </w:p>
        </w:tc>
        <w:tc>
          <w:tcPr>
            <w:tcW w:w="880" w:type="dxa"/>
            <w:vAlign w:val="bottom"/>
            <w:shd w:val="clear" w:color="auto" w:fill="444444"/>
          </w:tcPr>
          <w:p>
            <w:pPr>
              <w:spacing w:after="0"/>
              <w:rPr>
                <w:sz w:val="11"/>
                <w:szCs w:val="11"/>
                <w:color w:val="auto"/>
              </w:rPr>
            </w:pPr>
          </w:p>
        </w:tc>
        <w:tc>
          <w:tcPr>
            <w:tcW w:w="920" w:type="dxa"/>
            <w:vAlign w:val="bottom"/>
            <w:shd w:val="clear" w:color="auto" w:fill="444444"/>
          </w:tcPr>
          <w:p>
            <w:pPr>
              <w:spacing w:after="0"/>
              <w:rPr>
                <w:sz w:val="11"/>
                <w:szCs w:val="11"/>
                <w:color w:val="auto"/>
              </w:rPr>
            </w:pPr>
          </w:p>
        </w:tc>
        <w:tc>
          <w:tcPr>
            <w:tcW w:w="1060" w:type="dxa"/>
            <w:vAlign w:val="bottom"/>
            <w:shd w:val="clear" w:color="auto" w:fill="444444"/>
          </w:tcPr>
          <w:p>
            <w:pPr>
              <w:jc w:val="right"/>
              <w:ind w:right="89"/>
              <w:spacing w:after="0" w:line="135" w:lineRule="exact"/>
              <w:rPr>
                <w:sz w:val="20"/>
                <w:szCs w:val="20"/>
                <w:color w:val="auto"/>
              </w:rPr>
            </w:pPr>
            <w:r>
              <w:rPr>
                <w:rFonts w:ascii="Arial" w:cs="Arial" w:eastAsia="Arial" w:hAnsi="Arial"/>
                <w:sz w:val="13"/>
                <w:szCs w:val="13"/>
                <w:b w:val="1"/>
                <w:bCs w:val="1"/>
                <w:color w:val="FFFFFF"/>
              </w:rPr>
              <w:t>Sharing</w:t>
            </w:r>
          </w:p>
        </w:tc>
        <w:tc>
          <w:tcPr>
            <w:tcW w:w="1020" w:type="dxa"/>
            <w:vAlign w:val="bottom"/>
            <w:shd w:val="clear" w:color="auto" w:fill="444444"/>
          </w:tcPr>
          <w:p>
            <w:pPr>
              <w:spacing w:after="0"/>
              <w:rPr>
                <w:sz w:val="11"/>
                <w:szCs w:val="11"/>
                <w:color w:val="auto"/>
              </w:rPr>
            </w:pPr>
          </w:p>
        </w:tc>
        <w:tc>
          <w:tcPr>
            <w:tcW w:w="840" w:type="dxa"/>
            <w:vAlign w:val="bottom"/>
            <w:shd w:val="clear" w:color="auto" w:fill="444444"/>
          </w:tcPr>
          <w:p>
            <w:pPr>
              <w:spacing w:after="0"/>
              <w:rPr>
                <w:sz w:val="11"/>
                <w:szCs w:val="11"/>
                <w:color w:val="auto"/>
              </w:rPr>
            </w:pPr>
          </w:p>
        </w:tc>
        <w:tc>
          <w:tcPr>
            <w:tcW w:w="1020" w:type="dxa"/>
            <w:vAlign w:val="bottom"/>
            <w:shd w:val="clear" w:color="auto" w:fill="444444"/>
          </w:tcPr>
          <w:p>
            <w:pPr>
              <w:spacing w:after="0"/>
              <w:rPr>
                <w:sz w:val="11"/>
                <w:szCs w:val="11"/>
                <w:color w:val="auto"/>
              </w:rPr>
            </w:pPr>
          </w:p>
        </w:tc>
      </w:tr>
      <w:tr>
        <w:trPr>
          <w:trHeight w:val="135"/>
        </w:trPr>
        <w:tc>
          <w:tcPr>
            <w:tcW w:w="3520" w:type="dxa"/>
            <w:vAlign w:val="bottom"/>
            <w:shd w:val="clear" w:color="auto" w:fill="444444"/>
          </w:tcPr>
          <w:p>
            <w:pPr>
              <w:spacing w:after="0"/>
              <w:rPr>
                <w:sz w:val="11"/>
                <w:szCs w:val="11"/>
                <w:color w:val="auto"/>
              </w:rPr>
            </w:pPr>
          </w:p>
        </w:tc>
        <w:tc>
          <w:tcPr>
            <w:tcW w:w="780" w:type="dxa"/>
            <w:vAlign w:val="bottom"/>
            <w:shd w:val="clear" w:color="auto" w:fill="444444"/>
          </w:tcPr>
          <w:p>
            <w:pPr>
              <w:spacing w:after="0"/>
              <w:rPr>
                <w:sz w:val="11"/>
                <w:szCs w:val="11"/>
                <w:color w:val="auto"/>
              </w:rPr>
            </w:pPr>
          </w:p>
        </w:tc>
        <w:tc>
          <w:tcPr>
            <w:tcW w:w="980" w:type="dxa"/>
            <w:vAlign w:val="bottom"/>
            <w:shd w:val="clear" w:color="auto" w:fill="444444"/>
          </w:tcPr>
          <w:p>
            <w:pPr>
              <w:spacing w:after="0"/>
              <w:rPr>
                <w:sz w:val="11"/>
                <w:szCs w:val="11"/>
                <w:color w:val="auto"/>
              </w:rPr>
            </w:pPr>
          </w:p>
        </w:tc>
        <w:tc>
          <w:tcPr>
            <w:tcW w:w="880" w:type="dxa"/>
            <w:vAlign w:val="bottom"/>
            <w:shd w:val="clear" w:color="auto" w:fill="444444"/>
          </w:tcPr>
          <w:p>
            <w:pPr>
              <w:spacing w:after="0"/>
              <w:rPr>
                <w:sz w:val="11"/>
                <w:szCs w:val="11"/>
                <w:color w:val="auto"/>
              </w:rPr>
            </w:pPr>
          </w:p>
        </w:tc>
        <w:tc>
          <w:tcPr>
            <w:tcW w:w="920" w:type="dxa"/>
            <w:vAlign w:val="bottom"/>
            <w:shd w:val="clear" w:color="auto" w:fill="444444"/>
          </w:tcPr>
          <w:p>
            <w:pPr>
              <w:spacing w:after="0"/>
              <w:rPr>
                <w:sz w:val="11"/>
                <w:szCs w:val="11"/>
                <w:color w:val="auto"/>
              </w:rPr>
            </w:pPr>
          </w:p>
        </w:tc>
        <w:tc>
          <w:tcPr>
            <w:tcW w:w="1060" w:type="dxa"/>
            <w:vAlign w:val="bottom"/>
            <w:shd w:val="clear" w:color="auto" w:fill="444444"/>
          </w:tcPr>
          <w:p>
            <w:pPr>
              <w:jc w:val="right"/>
              <w:ind w:right="89"/>
              <w:spacing w:after="0" w:line="135" w:lineRule="exact"/>
              <w:rPr>
                <w:sz w:val="20"/>
                <w:szCs w:val="20"/>
                <w:color w:val="auto"/>
              </w:rPr>
            </w:pPr>
            <w:r>
              <w:rPr>
                <w:rFonts w:ascii="Arial" w:cs="Arial" w:eastAsia="Arial" w:hAnsi="Arial"/>
                <w:sz w:val="13"/>
                <w:szCs w:val="13"/>
                <w:b w:val="1"/>
                <w:bCs w:val="1"/>
                <w:color w:val="FFFFFF"/>
              </w:rPr>
              <w:t>Plan</w:t>
            </w:r>
          </w:p>
        </w:tc>
        <w:tc>
          <w:tcPr>
            <w:tcW w:w="1020" w:type="dxa"/>
            <w:vAlign w:val="bottom"/>
            <w:shd w:val="clear" w:color="auto" w:fill="444444"/>
          </w:tcPr>
          <w:p>
            <w:pPr>
              <w:spacing w:after="0"/>
              <w:rPr>
                <w:sz w:val="11"/>
                <w:szCs w:val="11"/>
                <w:color w:val="auto"/>
              </w:rPr>
            </w:pPr>
          </w:p>
        </w:tc>
        <w:tc>
          <w:tcPr>
            <w:tcW w:w="840" w:type="dxa"/>
            <w:vAlign w:val="bottom"/>
            <w:shd w:val="clear" w:color="auto" w:fill="444444"/>
          </w:tcPr>
          <w:p>
            <w:pPr>
              <w:spacing w:after="0"/>
              <w:rPr>
                <w:sz w:val="11"/>
                <w:szCs w:val="11"/>
                <w:color w:val="auto"/>
              </w:rPr>
            </w:pPr>
          </w:p>
        </w:tc>
        <w:tc>
          <w:tcPr>
            <w:tcW w:w="1020" w:type="dxa"/>
            <w:vAlign w:val="bottom"/>
            <w:shd w:val="clear" w:color="auto" w:fill="444444"/>
          </w:tcPr>
          <w:p>
            <w:pPr>
              <w:spacing w:after="0"/>
              <w:rPr>
                <w:sz w:val="11"/>
                <w:szCs w:val="11"/>
                <w:color w:val="auto"/>
              </w:rPr>
            </w:pPr>
          </w:p>
        </w:tc>
      </w:tr>
      <w:tr>
        <w:trPr>
          <w:trHeight w:val="135"/>
        </w:trPr>
        <w:tc>
          <w:tcPr>
            <w:tcW w:w="3520" w:type="dxa"/>
            <w:vAlign w:val="bottom"/>
            <w:shd w:val="clear" w:color="auto" w:fill="444444"/>
          </w:tcPr>
          <w:p>
            <w:pPr>
              <w:spacing w:after="0"/>
              <w:rPr>
                <w:sz w:val="11"/>
                <w:szCs w:val="11"/>
                <w:color w:val="auto"/>
              </w:rPr>
            </w:pPr>
          </w:p>
        </w:tc>
        <w:tc>
          <w:tcPr>
            <w:tcW w:w="780" w:type="dxa"/>
            <w:vAlign w:val="bottom"/>
            <w:shd w:val="clear" w:color="auto" w:fill="444444"/>
          </w:tcPr>
          <w:p>
            <w:pPr>
              <w:spacing w:after="0"/>
              <w:rPr>
                <w:sz w:val="11"/>
                <w:szCs w:val="11"/>
                <w:color w:val="auto"/>
              </w:rPr>
            </w:pPr>
          </w:p>
        </w:tc>
        <w:tc>
          <w:tcPr>
            <w:tcW w:w="980" w:type="dxa"/>
            <w:vAlign w:val="bottom"/>
            <w:shd w:val="clear" w:color="auto" w:fill="444444"/>
          </w:tcPr>
          <w:p>
            <w:pPr>
              <w:jc w:val="right"/>
              <w:ind w:right="67"/>
              <w:spacing w:after="0" w:line="135" w:lineRule="exact"/>
              <w:rPr>
                <w:sz w:val="20"/>
                <w:szCs w:val="20"/>
                <w:color w:val="auto"/>
              </w:rPr>
            </w:pPr>
            <w:r>
              <w:rPr>
                <w:rFonts w:ascii="Arial" w:cs="Arial" w:eastAsia="Arial" w:hAnsi="Arial"/>
                <w:sz w:val="13"/>
                <w:szCs w:val="13"/>
                <w:b w:val="1"/>
                <w:bCs w:val="1"/>
                <w:color w:val="FFFFFF"/>
              </w:rPr>
              <w:t>Use of</w:t>
            </w:r>
          </w:p>
        </w:tc>
        <w:tc>
          <w:tcPr>
            <w:tcW w:w="880" w:type="dxa"/>
            <w:vAlign w:val="bottom"/>
            <w:shd w:val="clear" w:color="auto" w:fill="444444"/>
          </w:tcPr>
          <w:p>
            <w:pPr>
              <w:jc w:val="right"/>
              <w:ind w:right="87"/>
              <w:spacing w:after="0" w:line="135" w:lineRule="exact"/>
              <w:rPr>
                <w:sz w:val="20"/>
                <w:szCs w:val="20"/>
                <w:color w:val="auto"/>
              </w:rPr>
            </w:pPr>
            <w:r>
              <w:rPr>
                <w:rFonts w:ascii="Arial" w:cs="Arial" w:eastAsia="Arial" w:hAnsi="Arial"/>
                <w:sz w:val="13"/>
                <w:szCs w:val="13"/>
                <w:b w:val="1"/>
                <w:bCs w:val="1"/>
                <w:color w:val="FFFFFF"/>
              </w:rPr>
              <w:t>Personal</w:t>
            </w:r>
          </w:p>
        </w:tc>
        <w:tc>
          <w:tcPr>
            <w:tcW w:w="920" w:type="dxa"/>
            <w:vAlign w:val="bottom"/>
            <w:shd w:val="clear" w:color="auto" w:fill="444444"/>
          </w:tcPr>
          <w:p>
            <w:pPr>
              <w:spacing w:after="0"/>
              <w:rPr>
                <w:sz w:val="11"/>
                <w:szCs w:val="11"/>
                <w:color w:val="auto"/>
              </w:rPr>
            </w:pPr>
          </w:p>
        </w:tc>
        <w:tc>
          <w:tcPr>
            <w:tcW w:w="1060" w:type="dxa"/>
            <w:vAlign w:val="bottom"/>
            <w:shd w:val="clear" w:color="auto" w:fill="444444"/>
          </w:tcPr>
          <w:p>
            <w:pPr>
              <w:jc w:val="right"/>
              <w:ind w:right="89"/>
              <w:spacing w:after="0" w:line="135" w:lineRule="exact"/>
              <w:rPr>
                <w:sz w:val="20"/>
                <w:szCs w:val="20"/>
                <w:color w:val="auto"/>
              </w:rPr>
            </w:pPr>
            <w:r>
              <w:rPr>
                <w:rFonts w:ascii="Arial" w:cs="Arial" w:eastAsia="Arial" w:hAnsi="Arial"/>
                <w:sz w:val="13"/>
                <w:szCs w:val="13"/>
                <w:b w:val="1"/>
                <w:bCs w:val="1"/>
                <w:color w:val="FFFFFF"/>
              </w:rPr>
              <w:t>Matching</w:t>
            </w:r>
          </w:p>
        </w:tc>
        <w:tc>
          <w:tcPr>
            <w:tcW w:w="1020" w:type="dxa"/>
            <w:vAlign w:val="bottom"/>
            <w:shd w:val="clear" w:color="auto" w:fill="444444"/>
          </w:tcPr>
          <w:p>
            <w:pPr>
              <w:spacing w:after="0"/>
              <w:rPr>
                <w:sz w:val="11"/>
                <w:szCs w:val="11"/>
                <w:color w:val="auto"/>
              </w:rPr>
            </w:pPr>
          </w:p>
        </w:tc>
        <w:tc>
          <w:tcPr>
            <w:tcW w:w="840" w:type="dxa"/>
            <w:vAlign w:val="bottom"/>
            <w:shd w:val="clear" w:color="auto" w:fill="444444"/>
          </w:tcPr>
          <w:p>
            <w:pPr>
              <w:spacing w:after="0"/>
              <w:rPr>
                <w:sz w:val="11"/>
                <w:szCs w:val="11"/>
                <w:color w:val="auto"/>
              </w:rPr>
            </w:pPr>
          </w:p>
        </w:tc>
        <w:tc>
          <w:tcPr>
            <w:tcW w:w="1020" w:type="dxa"/>
            <w:vAlign w:val="bottom"/>
            <w:shd w:val="clear" w:color="auto" w:fill="444444"/>
          </w:tcPr>
          <w:p>
            <w:pPr>
              <w:spacing w:after="0"/>
              <w:rPr>
                <w:sz w:val="11"/>
                <w:szCs w:val="11"/>
                <w:color w:val="auto"/>
              </w:rPr>
            </w:pPr>
          </w:p>
        </w:tc>
      </w:tr>
      <w:tr>
        <w:trPr>
          <w:trHeight w:val="135"/>
        </w:trPr>
        <w:tc>
          <w:tcPr>
            <w:tcW w:w="3520" w:type="dxa"/>
            <w:vAlign w:val="bottom"/>
            <w:shd w:val="clear" w:color="auto" w:fill="444444"/>
          </w:tcPr>
          <w:p>
            <w:pPr>
              <w:spacing w:after="0"/>
              <w:rPr>
                <w:sz w:val="11"/>
                <w:szCs w:val="11"/>
                <w:color w:val="auto"/>
              </w:rPr>
            </w:pPr>
          </w:p>
        </w:tc>
        <w:tc>
          <w:tcPr>
            <w:tcW w:w="780" w:type="dxa"/>
            <w:vAlign w:val="bottom"/>
            <w:shd w:val="clear" w:color="auto" w:fill="444444"/>
          </w:tcPr>
          <w:p>
            <w:pPr>
              <w:spacing w:after="0"/>
              <w:rPr>
                <w:sz w:val="11"/>
                <w:szCs w:val="11"/>
                <w:color w:val="auto"/>
              </w:rPr>
            </w:pPr>
          </w:p>
        </w:tc>
        <w:tc>
          <w:tcPr>
            <w:tcW w:w="980" w:type="dxa"/>
            <w:vAlign w:val="bottom"/>
            <w:shd w:val="clear" w:color="auto" w:fill="444444"/>
          </w:tcPr>
          <w:p>
            <w:pPr>
              <w:jc w:val="right"/>
              <w:ind w:right="67"/>
              <w:spacing w:after="0" w:line="135" w:lineRule="exact"/>
              <w:rPr>
                <w:sz w:val="20"/>
                <w:szCs w:val="20"/>
                <w:color w:val="auto"/>
              </w:rPr>
            </w:pPr>
            <w:r>
              <w:rPr>
                <w:rFonts w:ascii="Arial" w:cs="Arial" w:eastAsia="Arial" w:hAnsi="Arial"/>
                <w:sz w:val="13"/>
                <w:szCs w:val="13"/>
                <w:b w:val="1"/>
                <w:bCs w:val="1"/>
                <w:color w:val="FFFFFF"/>
              </w:rPr>
              <w:t>Company</w:t>
            </w:r>
          </w:p>
        </w:tc>
        <w:tc>
          <w:tcPr>
            <w:tcW w:w="880" w:type="dxa"/>
            <w:vAlign w:val="bottom"/>
            <w:shd w:val="clear" w:color="auto" w:fill="444444"/>
          </w:tcPr>
          <w:p>
            <w:pPr>
              <w:jc w:val="right"/>
              <w:ind w:right="87"/>
              <w:spacing w:after="0" w:line="135" w:lineRule="exact"/>
              <w:rPr>
                <w:sz w:val="20"/>
                <w:szCs w:val="20"/>
                <w:color w:val="auto"/>
              </w:rPr>
            </w:pPr>
            <w:r>
              <w:rPr>
                <w:rFonts w:ascii="Arial" w:cs="Arial" w:eastAsia="Arial" w:hAnsi="Arial"/>
                <w:sz w:val="13"/>
                <w:szCs w:val="13"/>
                <w:b w:val="1"/>
                <w:bCs w:val="1"/>
                <w:color w:val="FFFFFF"/>
              </w:rPr>
              <w:t>Use of</w:t>
            </w:r>
          </w:p>
        </w:tc>
        <w:tc>
          <w:tcPr>
            <w:tcW w:w="920" w:type="dxa"/>
            <w:vAlign w:val="bottom"/>
            <w:shd w:val="clear" w:color="auto" w:fill="444444"/>
          </w:tcPr>
          <w:p>
            <w:pPr>
              <w:spacing w:after="0"/>
              <w:rPr>
                <w:sz w:val="11"/>
                <w:szCs w:val="11"/>
                <w:color w:val="auto"/>
              </w:rPr>
            </w:pPr>
          </w:p>
        </w:tc>
        <w:tc>
          <w:tcPr>
            <w:tcW w:w="1060" w:type="dxa"/>
            <w:vAlign w:val="bottom"/>
            <w:shd w:val="clear" w:color="auto" w:fill="444444"/>
          </w:tcPr>
          <w:p>
            <w:pPr>
              <w:jc w:val="right"/>
              <w:ind w:right="89"/>
              <w:spacing w:after="0" w:line="135" w:lineRule="exact"/>
              <w:rPr>
                <w:sz w:val="20"/>
                <w:szCs w:val="20"/>
                <w:color w:val="auto"/>
              </w:rPr>
            </w:pPr>
            <w:r>
              <w:rPr>
                <w:rFonts w:ascii="Arial" w:cs="Arial" w:eastAsia="Arial" w:hAnsi="Arial"/>
                <w:sz w:val="13"/>
                <w:szCs w:val="13"/>
                <w:b w:val="1"/>
                <w:bCs w:val="1"/>
                <w:color w:val="FFFFFF"/>
              </w:rPr>
              <w:t>and Profit</w:t>
            </w:r>
          </w:p>
        </w:tc>
        <w:tc>
          <w:tcPr>
            <w:tcW w:w="1020" w:type="dxa"/>
            <w:vAlign w:val="bottom"/>
            <w:shd w:val="clear" w:color="auto" w:fill="444444"/>
          </w:tcPr>
          <w:p>
            <w:pPr>
              <w:jc w:val="right"/>
              <w:ind w:right="46"/>
              <w:spacing w:after="0" w:line="135" w:lineRule="exact"/>
              <w:rPr>
                <w:sz w:val="20"/>
                <w:szCs w:val="20"/>
                <w:color w:val="auto"/>
              </w:rPr>
            </w:pPr>
            <w:r>
              <w:rPr>
                <w:rFonts w:ascii="Arial" w:cs="Arial" w:eastAsia="Arial" w:hAnsi="Arial"/>
                <w:sz w:val="13"/>
                <w:szCs w:val="13"/>
                <w:b w:val="1"/>
                <w:bCs w:val="1"/>
                <w:color w:val="FFFFFF"/>
              </w:rPr>
              <w:t>Restoration</w:t>
            </w:r>
          </w:p>
        </w:tc>
        <w:tc>
          <w:tcPr>
            <w:tcW w:w="840" w:type="dxa"/>
            <w:vAlign w:val="bottom"/>
            <w:shd w:val="clear" w:color="auto" w:fill="444444"/>
          </w:tcPr>
          <w:p>
            <w:pPr>
              <w:spacing w:after="0"/>
              <w:rPr>
                <w:sz w:val="11"/>
                <w:szCs w:val="11"/>
                <w:color w:val="auto"/>
              </w:rPr>
            </w:pPr>
          </w:p>
        </w:tc>
        <w:tc>
          <w:tcPr>
            <w:tcW w:w="1020" w:type="dxa"/>
            <w:vAlign w:val="bottom"/>
            <w:shd w:val="clear" w:color="auto" w:fill="444444"/>
          </w:tcPr>
          <w:p>
            <w:pPr>
              <w:spacing w:after="0"/>
              <w:rPr>
                <w:sz w:val="11"/>
                <w:szCs w:val="11"/>
                <w:color w:val="auto"/>
              </w:rPr>
            </w:pPr>
          </w:p>
        </w:tc>
      </w:tr>
      <w:tr>
        <w:trPr>
          <w:trHeight w:val="135"/>
        </w:trPr>
        <w:tc>
          <w:tcPr>
            <w:tcW w:w="3520" w:type="dxa"/>
            <w:vAlign w:val="bottom"/>
            <w:shd w:val="clear" w:color="auto" w:fill="444444"/>
          </w:tcPr>
          <w:p>
            <w:pPr>
              <w:spacing w:after="0"/>
              <w:rPr>
                <w:sz w:val="11"/>
                <w:szCs w:val="11"/>
                <w:color w:val="auto"/>
              </w:rPr>
            </w:pPr>
          </w:p>
        </w:tc>
        <w:tc>
          <w:tcPr>
            <w:tcW w:w="780" w:type="dxa"/>
            <w:vAlign w:val="bottom"/>
            <w:shd w:val="clear" w:color="auto" w:fill="444444"/>
          </w:tcPr>
          <w:p>
            <w:pPr>
              <w:spacing w:after="0"/>
              <w:rPr>
                <w:sz w:val="11"/>
                <w:szCs w:val="11"/>
                <w:color w:val="auto"/>
              </w:rPr>
            </w:pPr>
          </w:p>
        </w:tc>
        <w:tc>
          <w:tcPr>
            <w:tcW w:w="980" w:type="dxa"/>
            <w:vAlign w:val="bottom"/>
            <w:shd w:val="clear" w:color="auto" w:fill="444444"/>
          </w:tcPr>
          <w:p>
            <w:pPr>
              <w:jc w:val="right"/>
              <w:ind w:right="67"/>
              <w:spacing w:after="0" w:line="135" w:lineRule="exact"/>
              <w:rPr>
                <w:sz w:val="20"/>
                <w:szCs w:val="20"/>
                <w:color w:val="auto"/>
              </w:rPr>
            </w:pPr>
            <w:r>
              <w:rPr>
                <w:rFonts w:ascii="Arial" w:cs="Arial" w:eastAsia="Arial" w:hAnsi="Arial"/>
                <w:sz w:val="13"/>
                <w:szCs w:val="13"/>
                <w:b w:val="1"/>
                <w:bCs w:val="1"/>
                <w:color w:val="FFFFFF"/>
              </w:rPr>
              <w:t>Provided</w:t>
            </w:r>
          </w:p>
        </w:tc>
        <w:tc>
          <w:tcPr>
            <w:tcW w:w="880" w:type="dxa"/>
            <w:vAlign w:val="bottom"/>
            <w:shd w:val="clear" w:color="auto" w:fill="444444"/>
          </w:tcPr>
          <w:p>
            <w:pPr>
              <w:jc w:val="right"/>
              <w:ind w:right="87"/>
              <w:spacing w:after="0" w:line="135" w:lineRule="exact"/>
              <w:rPr>
                <w:sz w:val="20"/>
                <w:szCs w:val="20"/>
                <w:color w:val="auto"/>
              </w:rPr>
            </w:pPr>
            <w:r>
              <w:rPr>
                <w:rFonts w:ascii="Arial" w:cs="Arial" w:eastAsia="Arial" w:hAnsi="Arial"/>
                <w:sz w:val="13"/>
                <w:szCs w:val="13"/>
                <w:b w:val="1"/>
                <w:bCs w:val="1"/>
                <w:color w:val="FFFFFF"/>
              </w:rPr>
              <w:t>Company</w:t>
            </w:r>
          </w:p>
        </w:tc>
        <w:tc>
          <w:tcPr>
            <w:tcW w:w="920" w:type="dxa"/>
            <w:vAlign w:val="bottom"/>
            <w:shd w:val="clear" w:color="auto" w:fill="444444"/>
          </w:tcPr>
          <w:p>
            <w:pPr>
              <w:jc w:val="right"/>
              <w:ind w:right="65"/>
              <w:spacing w:after="0" w:line="135" w:lineRule="exact"/>
              <w:rPr>
                <w:sz w:val="20"/>
                <w:szCs w:val="20"/>
                <w:color w:val="auto"/>
              </w:rPr>
            </w:pPr>
            <w:r>
              <w:rPr>
                <w:rFonts w:ascii="Arial" w:cs="Arial" w:eastAsia="Arial" w:hAnsi="Arial"/>
                <w:sz w:val="13"/>
                <w:szCs w:val="13"/>
                <w:b w:val="1"/>
                <w:bCs w:val="1"/>
                <w:color w:val="FFFFFF"/>
              </w:rPr>
              <w:t>Expatriate</w:t>
            </w:r>
          </w:p>
        </w:tc>
        <w:tc>
          <w:tcPr>
            <w:tcW w:w="1060" w:type="dxa"/>
            <w:vAlign w:val="bottom"/>
            <w:shd w:val="clear" w:color="auto" w:fill="444444"/>
          </w:tcPr>
          <w:p>
            <w:pPr>
              <w:jc w:val="right"/>
              <w:ind w:right="89"/>
              <w:spacing w:after="0" w:line="135" w:lineRule="exact"/>
              <w:rPr>
                <w:sz w:val="20"/>
                <w:szCs w:val="20"/>
                <w:color w:val="auto"/>
              </w:rPr>
            </w:pPr>
            <w:r>
              <w:rPr>
                <w:rFonts w:ascii="Arial" w:cs="Arial" w:eastAsia="Arial" w:hAnsi="Arial"/>
                <w:sz w:val="13"/>
                <w:szCs w:val="13"/>
                <w:b w:val="1"/>
                <w:bCs w:val="1"/>
                <w:color w:val="FFFFFF"/>
              </w:rPr>
              <w:t>Sharing</w:t>
            </w:r>
          </w:p>
        </w:tc>
        <w:tc>
          <w:tcPr>
            <w:tcW w:w="1020" w:type="dxa"/>
            <w:vAlign w:val="bottom"/>
            <w:shd w:val="clear" w:color="auto" w:fill="444444"/>
          </w:tcPr>
          <w:p>
            <w:pPr>
              <w:jc w:val="right"/>
              <w:ind w:right="46"/>
              <w:spacing w:after="0" w:line="135" w:lineRule="exact"/>
              <w:rPr>
                <w:sz w:val="20"/>
                <w:szCs w:val="20"/>
                <w:color w:val="auto"/>
              </w:rPr>
            </w:pPr>
            <w:r>
              <w:rPr>
                <w:rFonts w:ascii="Arial" w:cs="Arial" w:eastAsia="Arial" w:hAnsi="Arial"/>
                <w:sz w:val="13"/>
                <w:szCs w:val="13"/>
                <w:b w:val="1"/>
                <w:bCs w:val="1"/>
                <w:color w:val="FFFFFF"/>
              </w:rPr>
              <w:t>Plan</w:t>
            </w:r>
          </w:p>
        </w:tc>
        <w:tc>
          <w:tcPr>
            <w:tcW w:w="840" w:type="dxa"/>
            <w:vAlign w:val="bottom"/>
            <w:shd w:val="clear" w:color="auto" w:fill="444444"/>
          </w:tcPr>
          <w:p>
            <w:pPr>
              <w:spacing w:after="0"/>
              <w:rPr>
                <w:sz w:val="11"/>
                <w:szCs w:val="11"/>
                <w:color w:val="auto"/>
              </w:rPr>
            </w:pPr>
          </w:p>
        </w:tc>
        <w:tc>
          <w:tcPr>
            <w:tcW w:w="1020" w:type="dxa"/>
            <w:vAlign w:val="bottom"/>
            <w:shd w:val="clear" w:color="auto" w:fill="444444"/>
          </w:tcPr>
          <w:p>
            <w:pPr>
              <w:spacing w:after="0"/>
              <w:rPr>
                <w:sz w:val="11"/>
                <w:szCs w:val="11"/>
                <w:color w:val="auto"/>
              </w:rPr>
            </w:pPr>
          </w:p>
        </w:tc>
      </w:tr>
      <w:tr>
        <w:trPr>
          <w:trHeight w:val="135"/>
        </w:trPr>
        <w:tc>
          <w:tcPr>
            <w:tcW w:w="3520" w:type="dxa"/>
            <w:vAlign w:val="bottom"/>
            <w:shd w:val="clear" w:color="auto" w:fill="444444"/>
          </w:tcPr>
          <w:p>
            <w:pPr>
              <w:spacing w:after="0"/>
              <w:rPr>
                <w:sz w:val="11"/>
                <w:szCs w:val="11"/>
                <w:color w:val="auto"/>
              </w:rPr>
            </w:pPr>
          </w:p>
        </w:tc>
        <w:tc>
          <w:tcPr>
            <w:tcW w:w="780" w:type="dxa"/>
            <w:vAlign w:val="bottom"/>
            <w:shd w:val="clear" w:color="auto" w:fill="444444"/>
          </w:tcPr>
          <w:p>
            <w:pPr>
              <w:ind w:left="220"/>
              <w:spacing w:after="0" w:line="135" w:lineRule="exact"/>
              <w:rPr>
                <w:sz w:val="20"/>
                <w:szCs w:val="20"/>
                <w:color w:val="auto"/>
              </w:rPr>
            </w:pPr>
            <w:r>
              <w:rPr>
                <w:rFonts w:ascii="Arial" w:cs="Arial" w:eastAsia="Arial" w:hAnsi="Arial"/>
                <w:sz w:val="13"/>
                <w:szCs w:val="13"/>
                <w:b w:val="1"/>
                <w:bCs w:val="1"/>
                <w:color w:val="FFFFFF"/>
              </w:rPr>
              <w:t>Fiscal</w:t>
            </w:r>
          </w:p>
        </w:tc>
        <w:tc>
          <w:tcPr>
            <w:tcW w:w="980" w:type="dxa"/>
            <w:vAlign w:val="bottom"/>
            <w:shd w:val="clear" w:color="auto" w:fill="444444"/>
          </w:tcPr>
          <w:p>
            <w:pPr>
              <w:jc w:val="right"/>
              <w:ind w:right="67"/>
              <w:spacing w:after="0" w:line="135" w:lineRule="exact"/>
              <w:rPr>
                <w:sz w:val="20"/>
                <w:szCs w:val="20"/>
                <w:color w:val="auto"/>
              </w:rPr>
            </w:pPr>
            <w:r>
              <w:rPr>
                <w:rFonts w:ascii="Arial" w:cs="Arial" w:eastAsia="Arial" w:hAnsi="Arial"/>
                <w:sz w:val="13"/>
                <w:szCs w:val="13"/>
                <w:b w:val="1"/>
                <w:bCs w:val="1"/>
                <w:color w:val="FFFFFF"/>
              </w:rPr>
              <w:t>Automobile</w:t>
            </w:r>
          </w:p>
        </w:tc>
        <w:tc>
          <w:tcPr>
            <w:tcW w:w="880" w:type="dxa"/>
            <w:vAlign w:val="bottom"/>
            <w:shd w:val="clear" w:color="auto" w:fill="444444"/>
          </w:tcPr>
          <w:p>
            <w:pPr>
              <w:jc w:val="right"/>
              <w:ind w:right="87"/>
              <w:spacing w:after="0" w:line="135" w:lineRule="exact"/>
              <w:rPr>
                <w:sz w:val="20"/>
                <w:szCs w:val="20"/>
                <w:color w:val="auto"/>
              </w:rPr>
            </w:pPr>
            <w:r>
              <w:rPr>
                <w:rFonts w:ascii="Arial" w:cs="Arial" w:eastAsia="Arial" w:hAnsi="Arial"/>
                <w:sz w:val="13"/>
                <w:szCs w:val="13"/>
                <w:b w:val="1"/>
                <w:bCs w:val="1"/>
                <w:color w:val="FFFFFF"/>
              </w:rPr>
              <w:t>Aircraft</w:t>
            </w:r>
          </w:p>
        </w:tc>
        <w:tc>
          <w:tcPr>
            <w:tcW w:w="920" w:type="dxa"/>
            <w:vAlign w:val="bottom"/>
            <w:shd w:val="clear" w:color="auto" w:fill="444444"/>
          </w:tcPr>
          <w:p>
            <w:pPr>
              <w:jc w:val="right"/>
              <w:ind w:right="65"/>
              <w:spacing w:after="0" w:line="135" w:lineRule="exact"/>
              <w:rPr>
                <w:sz w:val="20"/>
                <w:szCs w:val="20"/>
                <w:color w:val="auto"/>
              </w:rPr>
            </w:pPr>
            <w:r>
              <w:rPr>
                <w:rFonts w:ascii="Arial" w:cs="Arial" w:eastAsia="Arial" w:hAnsi="Arial"/>
                <w:sz w:val="13"/>
                <w:szCs w:val="13"/>
                <w:b w:val="1"/>
                <w:bCs w:val="1"/>
                <w:color w:val="FFFFFF"/>
              </w:rPr>
              <w:t>Benefits</w:t>
            </w:r>
          </w:p>
        </w:tc>
        <w:tc>
          <w:tcPr>
            <w:tcW w:w="1060" w:type="dxa"/>
            <w:vAlign w:val="bottom"/>
            <w:shd w:val="clear" w:color="auto" w:fill="444444"/>
          </w:tcPr>
          <w:p>
            <w:pPr>
              <w:jc w:val="right"/>
              <w:ind w:right="89"/>
              <w:spacing w:after="0" w:line="135" w:lineRule="exact"/>
              <w:rPr>
                <w:sz w:val="20"/>
                <w:szCs w:val="20"/>
                <w:color w:val="auto"/>
              </w:rPr>
            </w:pPr>
            <w:r>
              <w:rPr>
                <w:rFonts w:ascii="Arial" w:cs="Arial" w:eastAsia="Arial" w:hAnsi="Arial"/>
                <w:sz w:val="13"/>
                <w:szCs w:val="13"/>
                <w:b w:val="1"/>
                <w:bCs w:val="1"/>
                <w:color w:val="FFFFFF"/>
              </w:rPr>
              <w:t>Contribution</w:t>
            </w:r>
          </w:p>
        </w:tc>
        <w:tc>
          <w:tcPr>
            <w:tcW w:w="1020" w:type="dxa"/>
            <w:vAlign w:val="bottom"/>
            <w:shd w:val="clear" w:color="auto" w:fill="444444"/>
          </w:tcPr>
          <w:p>
            <w:pPr>
              <w:jc w:val="right"/>
              <w:ind w:right="46"/>
              <w:spacing w:after="0" w:line="135" w:lineRule="exact"/>
              <w:rPr>
                <w:sz w:val="20"/>
                <w:szCs w:val="20"/>
                <w:color w:val="auto"/>
              </w:rPr>
            </w:pPr>
            <w:r>
              <w:rPr>
                <w:rFonts w:ascii="Arial" w:cs="Arial" w:eastAsia="Arial" w:hAnsi="Arial"/>
                <w:sz w:val="13"/>
                <w:szCs w:val="13"/>
                <w:b w:val="1"/>
                <w:bCs w:val="1"/>
                <w:color w:val="FFFFFF"/>
              </w:rPr>
              <w:t>Contribution</w:t>
            </w:r>
          </w:p>
        </w:tc>
        <w:tc>
          <w:tcPr>
            <w:tcW w:w="840" w:type="dxa"/>
            <w:vAlign w:val="bottom"/>
            <w:shd w:val="clear" w:color="auto" w:fill="444444"/>
          </w:tcPr>
          <w:p>
            <w:pPr>
              <w:jc w:val="right"/>
              <w:ind w:right="144"/>
              <w:spacing w:after="0" w:line="135" w:lineRule="exact"/>
              <w:rPr>
                <w:sz w:val="20"/>
                <w:szCs w:val="20"/>
                <w:color w:val="auto"/>
              </w:rPr>
            </w:pPr>
            <w:r>
              <w:rPr>
                <w:rFonts w:ascii="Arial" w:cs="Arial" w:eastAsia="Arial" w:hAnsi="Arial"/>
                <w:sz w:val="13"/>
                <w:szCs w:val="13"/>
                <w:b w:val="1"/>
                <w:bCs w:val="1"/>
                <w:color w:val="FFFFFF"/>
              </w:rPr>
              <w:t>Other</w:t>
            </w:r>
          </w:p>
        </w:tc>
        <w:tc>
          <w:tcPr>
            <w:tcW w:w="1020" w:type="dxa"/>
            <w:vAlign w:val="bottom"/>
            <w:shd w:val="clear" w:color="auto" w:fill="444444"/>
          </w:tcPr>
          <w:p>
            <w:pPr>
              <w:jc w:val="right"/>
              <w:ind w:right="142"/>
              <w:spacing w:after="0" w:line="135" w:lineRule="exact"/>
              <w:rPr>
                <w:sz w:val="20"/>
                <w:szCs w:val="20"/>
                <w:color w:val="auto"/>
              </w:rPr>
            </w:pPr>
            <w:r>
              <w:rPr>
                <w:rFonts w:ascii="Arial" w:cs="Arial" w:eastAsia="Arial" w:hAnsi="Arial"/>
                <w:sz w:val="13"/>
                <w:szCs w:val="13"/>
                <w:b w:val="1"/>
                <w:bCs w:val="1"/>
                <w:color w:val="FFFFFF"/>
              </w:rPr>
              <w:t>Total</w:t>
            </w:r>
          </w:p>
        </w:tc>
      </w:tr>
      <w:tr>
        <w:trPr>
          <w:trHeight w:val="157"/>
        </w:trPr>
        <w:tc>
          <w:tcPr>
            <w:tcW w:w="3520" w:type="dxa"/>
            <w:vAlign w:val="bottom"/>
            <w:shd w:val="clear" w:color="auto" w:fill="444444"/>
          </w:tcPr>
          <w:p>
            <w:pPr>
              <w:ind w:left="60"/>
              <w:spacing w:after="0"/>
              <w:rPr>
                <w:sz w:val="20"/>
                <w:szCs w:val="20"/>
                <w:color w:val="auto"/>
              </w:rPr>
            </w:pPr>
            <w:r>
              <w:rPr>
                <w:rFonts w:ascii="Arial" w:cs="Arial" w:eastAsia="Arial" w:hAnsi="Arial"/>
                <w:sz w:val="13"/>
                <w:szCs w:val="13"/>
                <w:b w:val="1"/>
                <w:bCs w:val="1"/>
                <w:color w:val="FFFFFF"/>
              </w:rPr>
              <w:t>Name</w:t>
            </w:r>
          </w:p>
        </w:tc>
        <w:tc>
          <w:tcPr>
            <w:tcW w:w="780" w:type="dxa"/>
            <w:vAlign w:val="bottom"/>
            <w:shd w:val="clear" w:color="auto" w:fill="444444"/>
          </w:tcPr>
          <w:p>
            <w:pPr>
              <w:ind w:left="220"/>
              <w:spacing w:after="0"/>
              <w:rPr>
                <w:sz w:val="20"/>
                <w:szCs w:val="20"/>
                <w:color w:val="auto"/>
              </w:rPr>
            </w:pPr>
            <w:r>
              <w:rPr>
                <w:rFonts w:ascii="Arial" w:cs="Arial" w:eastAsia="Arial" w:hAnsi="Arial"/>
                <w:sz w:val="13"/>
                <w:szCs w:val="13"/>
                <w:b w:val="1"/>
                <w:bCs w:val="1"/>
                <w:color w:val="FFFFFF"/>
              </w:rPr>
              <w:t>Year</w:t>
            </w:r>
          </w:p>
        </w:tc>
        <w:tc>
          <w:tcPr>
            <w:tcW w:w="980" w:type="dxa"/>
            <w:vAlign w:val="bottom"/>
            <w:shd w:val="clear" w:color="auto" w:fill="444444"/>
          </w:tcPr>
          <w:p>
            <w:pPr>
              <w:jc w:val="right"/>
              <w:ind w:right="67"/>
              <w:spacing w:after="0" w:line="157" w:lineRule="exact"/>
              <w:rPr>
                <w:sz w:val="20"/>
                <w:szCs w:val="20"/>
                <w:color w:val="auto"/>
              </w:rPr>
            </w:pPr>
            <w:r>
              <w:rPr>
                <w:rFonts w:ascii="Arial" w:cs="Arial" w:eastAsia="Arial" w:hAnsi="Arial"/>
                <w:sz w:val="18"/>
                <w:szCs w:val="18"/>
                <w:b w:val="1"/>
                <w:bCs w:val="1"/>
                <w:color w:val="FFFFFF"/>
                <w:vertAlign w:val="subscript"/>
              </w:rPr>
              <w:t>($)</w:t>
            </w:r>
            <w:r>
              <w:rPr>
                <w:rFonts w:ascii="Arial" w:cs="Arial" w:eastAsia="Arial" w:hAnsi="Arial"/>
                <w:sz w:val="8"/>
                <w:szCs w:val="8"/>
                <w:b w:val="1"/>
                <w:bCs w:val="1"/>
                <w:color w:val="FFFFFF"/>
              </w:rPr>
              <w:t>(a)</w:t>
            </w:r>
          </w:p>
        </w:tc>
        <w:tc>
          <w:tcPr>
            <w:tcW w:w="880" w:type="dxa"/>
            <w:vAlign w:val="bottom"/>
            <w:shd w:val="clear" w:color="auto" w:fill="444444"/>
          </w:tcPr>
          <w:p>
            <w:pPr>
              <w:jc w:val="right"/>
              <w:ind w:right="87"/>
              <w:spacing w:after="0" w:line="157" w:lineRule="exact"/>
              <w:rPr>
                <w:sz w:val="20"/>
                <w:szCs w:val="20"/>
                <w:color w:val="auto"/>
              </w:rPr>
            </w:pPr>
            <w:r>
              <w:rPr>
                <w:rFonts w:ascii="Arial" w:cs="Arial" w:eastAsia="Arial" w:hAnsi="Arial"/>
                <w:sz w:val="18"/>
                <w:szCs w:val="18"/>
                <w:b w:val="1"/>
                <w:bCs w:val="1"/>
                <w:color w:val="FFFFFF"/>
                <w:vertAlign w:val="subscript"/>
              </w:rPr>
              <w:t>($)</w:t>
            </w:r>
            <w:r>
              <w:rPr>
                <w:rFonts w:ascii="Arial" w:cs="Arial" w:eastAsia="Arial" w:hAnsi="Arial"/>
                <w:sz w:val="8"/>
                <w:szCs w:val="8"/>
                <w:b w:val="1"/>
                <w:bCs w:val="1"/>
                <w:color w:val="FFFFFF"/>
              </w:rPr>
              <w:t>(b)</w:t>
            </w:r>
          </w:p>
        </w:tc>
        <w:tc>
          <w:tcPr>
            <w:tcW w:w="920" w:type="dxa"/>
            <w:vAlign w:val="bottom"/>
            <w:shd w:val="clear" w:color="auto" w:fill="444444"/>
          </w:tcPr>
          <w:p>
            <w:pPr>
              <w:jc w:val="right"/>
              <w:ind w:right="65"/>
              <w:spacing w:after="0" w:line="157" w:lineRule="exact"/>
              <w:rPr>
                <w:sz w:val="20"/>
                <w:szCs w:val="20"/>
                <w:color w:val="auto"/>
              </w:rPr>
            </w:pPr>
            <w:r>
              <w:rPr>
                <w:rFonts w:ascii="Arial" w:cs="Arial" w:eastAsia="Arial" w:hAnsi="Arial"/>
                <w:sz w:val="18"/>
                <w:szCs w:val="18"/>
                <w:b w:val="1"/>
                <w:bCs w:val="1"/>
                <w:color w:val="FFFFFF"/>
                <w:vertAlign w:val="subscript"/>
              </w:rPr>
              <w:t>($)</w:t>
            </w:r>
            <w:r>
              <w:rPr>
                <w:rFonts w:ascii="Arial" w:cs="Arial" w:eastAsia="Arial" w:hAnsi="Arial"/>
                <w:sz w:val="8"/>
                <w:szCs w:val="8"/>
                <w:b w:val="1"/>
                <w:bCs w:val="1"/>
                <w:color w:val="FFFFFF"/>
              </w:rPr>
              <w:t>(c)</w:t>
            </w:r>
          </w:p>
        </w:tc>
        <w:tc>
          <w:tcPr>
            <w:tcW w:w="1060" w:type="dxa"/>
            <w:vAlign w:val="bottom"/>
            <w:shd w:val="clear" w:color="auto" w:fill="444444"/>
          </w:tcPr>
          <w:p>
            <w:pPr>
              <w:jc w:val="right"/>
              <w:ind w:right="89"/>
              <w:spacing w:after="0" w:line="157" w:lineRule="exact"/>
              <w:rPr>
                <w:sz w:val="20"/>
                <w:szCs w:val="20"/>
                <w:color w:val="auto"/>
              </w:rPr>
            </w:pPr>
            <w:r>
              <w:rPr>
                <w:rFonts w:ascii="Arial" w:cs="Arial" w:eastAsia="Arial" w:hAnsi="Arial"/>
                <w:sz w:val="18"/>
                <w:szCs w:val="18"/>
                <w:b w:val="1"/>
                <w:bCs w:val="1"/>
                <w:color w:val="FFFFFF"/>
                <w:vertAlign w:val="subscript"/>
              </w:rPr>
              <w:t>($)</w:t>
            </w:r>
            <w:r>
              <w:rPr>
                <w:rFonts w:ascii="Arial" w:cs="Arial" w:eastAsia="Arial" w:hAnsi="Arial"/>
                <w:sz w:val="8"/>
                <w:szCs w:val="8"/>
                <w:b w:val="1"/>
                <w:bCs w:val="1"/>
                <w:color w:val="FFFFFF"/>
              </w:rPr>
              <w:t>(d)</w:t>
            </w:r>
          </w:p>
        </w:tc>
        <w:tc>
          <w:tcPr>
            <w:tcW w:w="1020" w:type="dxa"/>
            <w:vAlign w:val="bottom"/>
            <w:shd w:val="clear" w:color="auto" w:fill="444444"/>
          </w:tcPr>
          <w:p>
            <w:pPr>
              <w:jc w:val="right"/>
              <w:ind w:right="46"/>
              <w:spacing w:after="0" w:line="157" w:lineRule="exact"/>
              <w:rPr>
                <w:sz w:val="20"/>
                <w:szCs w:val="20"/>
                <w:color w:val="auto"/>
              </w:rPr>
            </w:pPr>
            <w:r>
              <w:rPr>
                <w:rFonts w:ascii="Arial" w:cs="Arial" w:eastAsia="Arial" w:hAnsi="Arial"/>
                <w:sz w:val="18"/>
                <w:szCs w:val="18"/>
                <w:b w:val="1"/>
                <w:bCs w:val="1"/>
                <w:color w:val="FFFFFF"/>
                <w:vertAlign w:val="subscript"/>
              </w:rPr>
              <w:t>($)</w:t>
            </w:r>
            <w:r>
              <w:rPr>
                <w:rFonts w:ascii="Arial" w:cs="Arial" w:eastAsia="Arial" w:hAnsi="Arial"/>
                <w:sz w:val="8"/>
                <w:szCs w:val="8"/>
                <w:b w:val="1"/>
                <w:bCs w:val="1"/>
                <w:color w:val="FFFFFF"/>
              </w:rPr>
              <w:t>(e)</w:t>
            </w:r>
          </w:p>
        </w:tc>
        <w:tc>
          <w:tcPr>
            <w:tcW w:w="840" w:type="dxa"/>
            <w:vAlign w:val="bottom"/>
            <w:shd w:val="clear" w:color="auto" w:fill="444444"/>
          </w:tcPr>
          <w:p>
            <w:pPr>
              <w:jc w:val="right"/>
              <w:ind w:right="144"/>
              <w:spacing w:after="0" w:line="157" w:lineRule="exact"/>
              <w:rPr>
                <w:sz w:val="20"/>
                <w:szCs w:val="20"/>
                <w:color w:val="auto"/>
              </w:rPr>
            </w:pPr>
            <w:r>
              <w:rPr>
                <w:rFonts w:ascii="Arial" w:cs="Arial" w:eastAsia="Arial" w:hAnsi="Arial"/>
                <w:sz w:val="18"/>
                <w:szCs w:val="18"/>
                <w:b w:val="1"/>
                <w:bCs w:val="1"/>
                <w:color w:val="FFFFFF"/>
                <w:vertAlign w:val="subscript"/>
              </w:rPr>
              <w:t>($)</w:t>
            </w:r>
            <w:r>
              <w:rPr>
                <w:rFonts w:ascii="Arial" w:cs="Arial" w:eastAsia="Arial" w:hAnsi="Arial"/>
                <w:sz w:val="8"/>
                <w:szCs w:val="8"/>
                <w:b w:val="1"/>
                <w:bCs w:val="1"/>
                <w:color w:val="FFFFFF"/>
              </w:rPr>
              <w:t>(f)</w:t>
            </w:r>
          </w:p>
        </w:tc>
        <w:tc>
          <w:tcPr>
            <w:tcW w:w="1020" w:type="dxa"/>
            <w:vAlign w:val="bottom"/>
            <w:shd w:val="clear" w:color="auto" w:fill="444444"/>
          </w:tcPr>
          <w:p>
            <w:pPr>
              <w:jc w:val="right"/>
              <w:ind w:right="142"/>
              <w:spacing w:after="0"/>
              <w:rPr>
                <w:sz w:val="20"/>
                <w:szCs w:val="20"/>
                <w:color w:val="auto"/>
              </w:rPr>
            </w:pPr>
            <w:r>
              <w:rPr>
                <w:rFonts w:ascii="Arial" w:cs="Arial" w:eastAsia="Arial" w:hAnsi="Arial"/>
                <w:sz w:val="13"/>
                <w:szCs w:val="13"/>
                <w:b w:val="1"/>
                <w:bCs w:val="1"/>
                <w:color w:val="FFFFFF"/>
              </w:rPr>
              <w:t>($)</w:t>
            </w:r>
          </w:p>
        </w:tc>
      </w:tr>
      <w:tr>
        <w:trPr>
          <w:trHeight w:val="191"/>
        </w:trPr>
        <w:tc>
          <w:tcPr>
            <w:tcW w:w="3520" w:type="dxa"/>
            <w:vAlign w:val="bottom"/>
            <w:shd w:val="clear" w:color="auto" w:fill="E5E5E5"/>
          </w:tcPr>
          <w:p>
            <w:pPr>
              <w:ind w:left="60"/>
              <w:spacing w:after="0"/>
              <w:rPr>
                <w:sz w:val="20"/>
                <w:szCs w:val="20"/>
                <w:color w:val="auto"/>
              </w:rPr>
            </w:pPr>
            <w:r>
              <w:rPr>
                <w:rFonts w:ascii="Arial" w:cs="Arial" w:eastAsia="Arial" w:hAnsi="Arial"/>
                <w:sz w:val="16"/>
                <w:szCs w:val="16"/>
                <w:color w:val="auto"/>
              </w:rPr>
              <w:t>Michael Goettler</w:t>
            </w:r>
          </w:p>
        </w:tc>
        <w:tc>
          <w:tcPr>
            <w:tcW w:w="780" w:type="dxa"/>
            <w:vAlign w:val="bottom"/>
            <w:shd w:val="clear" w:color="auto" w:fill="E5E5E5"/>
          </w:tcPr>
          <w:p>
            <w:pPr>
              <w:jc w:val="right"/>
              <w:ind w:right="62"/>
              <w:spacing w:after="0"/>
              <w:rPr>
                <w:sz w:val="20"/>
                <w:szCs w:val="20"/>
                <w:color w:val="auto"/>
              </w:rPr>
            </w:pPr>
            <w:r>
              <w:rPr>
                <w:rFonts w:ascii="Arial" w:cs="Arial" w:eastAsia="Arial" w:hAnsi="Arial"/>
                <w:sz w:val="16"/>
                <w:szCs w:val="16"/>
                <w:color w:val="auto"/>
              </w:rPr>
              <w:t>2021</w:t>
            </w:r>
          </w:p>
        </w:tc>
        <w:tc>
          <w:tcPr>
            <w:tcW w:w="980" w:type="dxa"/>
            <w:vAlign w:val="bottom"/>
            <w:shd w:val="clear" w:color="auto" w:fill="E5E5E5"/>
          </w:tcPr>
          <w:p>
            <w:pPr>
              <w:jc w:val="right"/>
              <w:ind w:right="67"/>
              <w:spacing w:after="0"/>
              <w:rPr>
                <w:sz w:val="20"/>
                <w:szCs w:val="20"/>
                <w:color w:val="auto"/>
              </w:rPr>
            </w:pPr>
            <w:r>
              <w:rPr>
                <w:rFonts w:ascii="Arial" w:cs="Arial" w:eastAsia="Arial" w:hAnsi="Arial"/>
                <w:sz w:val="16"/>
                <w:szCs w:val="16"/>
                <w:color w:val="auto"/>
              </w:rPr>
              <w:t>19,451</w:t>
            </w:r>
          </w:p>
        </w:tc>
        <w:tc>
          <w:tcPr>
            <w:tcW w:w="880" w:type="dxa"/>
            <w:vAlign w:val="bottom"/>
            <w:shd w:val="clear" w:color="auto" w:fill="E5E5E5"/>
          </w:tcPr>
          <w:p>
            <w:pPr>
              <w:jc w:val="right"/>
              <w:ind w:right="87"/>
              <w:spacing w:after="0"/>
              <w:rPr>
                <w:sz w:val="20"/>
                <w:szCs w:val="20"/>
                <w:color w:val="auto"/>
              </w:rPr>
            </w:pPr>
            <w:r>
              <w:rPr>
                <w:rFonts w:ascii="Arial" w:cs="Arial" w:eastAsia="Arial" w:hAnsi="Arial"/>
                <w:sz w:val="16"/>
                <w:szCs w:val="16"/>
                <w:color w:val="auto"/>
              </w:rPr>
              <w:t>58,797</w:t>
            </w:r>
          </w:p>
        </w:tc>
        <w:tc>
          <w:tcPr>
            <w:tcW w:w="920" w:type="dxa"/>
            <w:vAlign w:val="bottom"/>
            <w:shd w:val="clear" w:color="auto" w:fill="E5E5E5"/>
          </w:tcPr>
          <w:p>
            <w:pPr>
              <w:jc w:val="right"/>
              <w:ind w:right="65"/>
              <w:spacing w:after="0"/>
              <w:rPr>
                <w:sz w:val="20"/>
                <w:szCs w:val="20"/>
                <w:color w:val="auto"/>
              </w:rPr>
            </w:pPr>
            <w:r>
              <w:rPr>
                <w:rFonts w:ascii="Arial" w:cs="Arial" w:eastAsia="Arial" w:hAnsi="Arial"/>
                <w:sz w:val="16"/>
                <w:szCs w:val="16"/>
                <w:color w:val="auto"/>
              </w:rPr>
              <w:t>227,481</w:t>
            </w:r>
          </w:p>
        </w:tc>
        <w:tc>
          <w:tcPr>
            <w:tcW w:w="1060" w:type="dxa"/>
            <w:vAlign w:val="bottom"/>
            <w:shd w:val="clear" w:color="auto" w:fill="E5E5E5"/>
          </w:tcPr>
          <w:p>
            <w:pPr>
              <w:jc w:val="right"/>
              <w:ind w:right="89"/>
              <w:spacing w:after="0"/>
              <w:rPr>
                <w:sz w:val="20"/>
                <w:szCs w:val="20"/>
                <w:color w:val="auto"/>
              </w:rPr>
            </w:pPr>
            <w:r>
              <w:rPr>
                <w:rFonts w:ascii="Arial" w:cs="Arial" w:eastAsia="Arial" w:hAnsi="Arial"/>
                <w:sz w:val="16"/>
                <w:szCs w:val="16"/>
                <w:color w:val="auto"/>
              </w:rPr>
              <w:t>30,300</w:t>
            </w:r>
          </w:p>
        </w:tc>
        <w:tc>
          <w:tcPr>
            <w:tcW w:w="1020" w:type="dxa"/>
            <w:vAlign w:val="bottom"/>
            <w:shd w:val="clear" w:color="auto" w:fill="E5E5E5"/>
          </w:tcPr>
          <w:p>
            <w:pPr>
              <w:jc w:val="right"/>
              <w:ind w:right="46"/>
              <w:spacing w:after="0"/>
              <w:rPr>
                <w:sz w:val="20"/>
                <w:szCs w:val="20"/>
                <w:color w:val="auto"/>
              </w:rPr>
            </w:pPr>
            <w:r>
              <w:rPr>
                <w:rFonts w:ascii="Arial" w:cs="Arial" w:eastAsia="Arial" w:hAnsi="Arial"/>
                <w:sz w:val="16"/>
                <w:szCs w:val="16"/>
                <w:color w:val="auto"/>
              </w:rPr>
              <w:t>215,784</w:t>
            </w:r>
          </w:p>
        </w:tc>
        <w:tc>
          <w:tcPr>
            <w:tcW w:w="840" w:type="dxa"/>
            <w:vAlign w:val="bottom"/>
            <w:shd w:val="clear" w:color="auto" w:fill="E5E5E5"/>
          </w:tcPr>
          <w:p>
            <w:pPr>
              <w:jc w:val="right"/>
              <w:ind w:right="144"/>
              <w:spacing w:after="0"/>
              <w:rPr>
                <w:sz w:val="20"/>
                <w:szCs w:val="20"/>
                <w:color w:val="auto"/>
              </w:rPr>
            </w:pPr>
            <w:r>
              <w:rPr>
                <w:rFonts w:ascii="Arial" w:cs="Arial" w:eastAsia="Arial" w:hAnsi="Arial"/>
                <w:sz w:val="16"/>
                <w:szCs w:val="16"/>
                <w:color w:val="auto"/>
              </w:rPr>
              <w:t>1,649</w:t>
            </w:r>
          </w:p>
        </w:tc>
        <w:tc>
          <w:tcPr>
            <w:tcW w:w="1020" w:type="dxa"/>
            <w:vAlign w:val="bottom"/>
            <w:shd w:val="clear" w:color="auto" w:fill="E5E5E5"/>
          </w:tcPr>
          <w:p>
            <w:pPr>
              <w:jc w:val="right"/>
              <w:ind w:right="142"/>
              <w:spacing w:after="0"/>
              <w:rPr>
                <w:sz w:val="20"/>
                <w:szCs w:val="20"/>
                <w:color w:val="auto"/>
              </w:rPr>
            </w:pPr>
            <w:r>
              <w:rPr>
                <w:rFonts w:ascii="Arial" w:cs="Arial" w:eastAsia="Arial" w:hAnsi="Arial"/>
                <w:sz w:val="16"/>
                <w:szCs w:val="16"/>
                <w:color w:val="auto"/>
              </w:rPr>
              <w:t>553,462</w:t>
            </w:r>
          </w:p>
        </w:tc>
      </w:tr>
      <w:tr>
        <w:trPr>
          <w:trHeight w:val="201"/>
        </w:trPr>
        <w:tc>
          <w:tcPr>
            <w:tcW w:w="3520" w:type="dxa"/>
            <w:vAlign w:val="bottom"/>
            <w:shd w:val="clear" w:color="auto" w:fill="E5E5E5"/>
          </w:tcPr>
          <w:p>
            <w:pPr>
              <w:spacing w:after="0"/>
              <w:rPr>
                <w:sz w:val="17"/>
                <w:szCs w:val="17"/>
                <w:color w:val="auto"/>
              </w:rPr>
            </w:pPr>
          </w:p>
        </w:tc>
        <w:tc>
          <w:tcPr>
            <w:tcW w:w="780" w:type="dxa"/>
            <w:vAlign w:val="bottom"/>
            <w:shd w:val="clear" w:color="auto" w:fill="E5E5E5"/>
          </w:tcPr>
          <w:p>
            <w:pPr>
              <w:jc w:val="right"/>
              <w:ind w:right="62"/>
              <w:spacing w:after="0"/>
              <w:rPr>
                <w:sz w:val="20"/>
                <w:szCs w:val="20"/>
                <w:color w:val="auto"/>
              </w:rPr>
            </w:pPr>
            <w:r>
              <w:rPr>
                <w:rFonts w:ascii="Arial" w:cs="Arial" w:eastAsia="Arial" w:hAnsi="Arial"/>
                <w:sz w:val="16"/>
                <w:szCs w:val="16"/>
                <w:color w:val="auto"/>
              </w:rPr>
              <w:t>2020</w:t>
            </w:r>
          </w:p>
        </w:tc>
        <w:tc>
          <w:tcPr>
            <w:tcW w:w="980" w:type="dxa"/>
            <w:vAlign w:val="bottom"/>
            <w:shd w:val="clear" w:color="auto" w:fill="E5E5E5"/>
          </w:tcPr>
          <w:p>
            <w:pPr>
              <w:jc w:val="right"/>
              <w:ind w:right="67"/>
              <w:spacing w:after="0"/>
              <w:rPr>
                <w:sz w:val="20"/>
                <w:szCs w:val="20"/>
                <w:color w:val="auto"/>
              </w:rPr>
            </w:pPr>
            <w:r>
              <w:rPr>
                <w:rFonts w:ascii="Arial" w:cs="Arial" w:eastAsia="Arial" w:hAnsi="Arial"/>
                <w:sz w:val="16"/>
                <w:szCs w:val="16"/>
                <w:color w:val="auto"/>
              </w:rPr>
              <w:t>2,400</w:t>
            </w:r>
          </w:p>
        </w:tc>
        <w:tc>
          <w:tcPr>
            <w:tcW w:w="880" w:type="dxa"/>
            <w:vAlign w:val="bottom"/>
            <w:shd w:val="clear" w:color="auto" w:fill="E5E5E5"/>
          </w:tcPr>
          <w:p>
            <w:pPr>
              <w:jc w:val="right"/>
              <w:ind w:right="87"/>
              <w:spacing w:after="0"/>
              <w:rPr>
                <w:sz w:val="20"/>
                <w:szCs w:val="20"/>
                <w:color w:val="auto"/>
              </w:rPr>
            </w:pPr>
            <w:r>
              <w:rPr>
                <w:rFonts w:ascii="Arial" w:cs="Arial" w:eastAsia="Arial" w:hAnsi="Arial"/>
                <w:sz w:val="16"/>
                <w:szCs w:val="16"/>
                <w:color w:val="auto"/>
              </w:rPr>
              <w:t>—</w:t>
            </w:r>
          </w:p>
        </w:tc>
        <w:tc>
          <w:tcPr>
            <w:tcW w:w="920" w:type="dxa"/>
            <w:vAlign w:val="bottom"/>
            <w:shd w:val="clear" w:color="auto" w:fill="E5E5E5"/>
          </w:tcPr>
          <w:p>
            <w:pPr>
              <w:jc w:val="right"/>
              <w:ind w:right="65"/>
              <w:spacing w:after="0"/>
              <w:rPr>
                <w:sz w:val="20"/>
                <w:szCs w:val="20"/>
                <w:color w:val="auto"/>
              </w:rPr>
            </w:pPr>
            <w:r>
              <w:rPr>
                <w:rFonts w:ascii="Arial" w:cs="Arial" w:eastAsia="Arial" w:hAnsi="Arial"/>
                <w:sz w:val="16"/>
                <w:szCs w:val="16"/>
                <w:color w:val="auto"/>
              </w:rPr>
              <w:t>43,863</w:t>
            </w:r>
          </w:p>
        </w:tc>
        <w:tc>
          <w:tcPr>
            <w:tcW w:w="1060" w:type="dxa"/>
            <w:vAlign w:val="bottom"/>
            <w:shd w:val="clear" w:color="auto" w:fill="E5E5E5"/>
          </w:tcPr>
          <w:p>
            <w:pPr>
              <w:jc w:val="right"/>
              <w:ind w:right="89"/>
              <w:spacing w:after="0"/>
              <w:rPr>
                <w:sz w:val="20"/>
                <w:szCs w:val="20"/>
                <w:color w:val="auto"/>
              </w:rPr>
            </w:pPr>
            <w:r>
              <w:rPr>
                <w:rFonts w:ascii="Arial" w:cs="Arial" w:eastAsia="Arial" w:hAnsi="Arial"/>
                <w:sz w:val="16"/>
                <w:szCs w:val="16"/>
                <w:color w:val="auto"/>
              </w:rPr>
              <w:t>9,750</w:t>
            </w:r>
          </w:p>
        </w:tc>
        <w:tc>
          <w:tcPr>
            <w:tcW w:w="1020" w:type="dxa"/>
            <w:vAlign w:val="bottom"/>
            <w:shd w:val="clear" w:color="auto" w:fill="E5E5E5"/>
          </w:tcPr>
          <w:p>
            <w:pPr>
              <w:jc w:val="right"/>
              <w:ind w:right="46"/>
              <w:spacing w:after="0"/>
              <w:rPr>
                <w:sz w:val="20"/>
                <w:szCs w:val="20"/>
                <w:color w:val="auto"/>
              </w:rPr>
            </w:pPr>
            <w:r>
              <w:rPr>
                <w:rFonts w:ascii="Arial" w:cs="Arial" w:eastAsia="Arial" w:hAnsi="Arial"/>
                <w:sz w:val="16"/>
                <w:szCs w:val="16"/>
                <w:color w:val="auto"/>
              </w:rPr>
              <w:t>193,199</w:t>
            </w:r>
          </w:p>
        </w:tc>
        <w:tc>
          <w:tcPr>
            <w:tcW w:w="840" w:type="dxa"/>
            <w:vAlign w:val="bottom"/>
            <w:shd w:val="clear" w:color="auto" w:fill="E5E5E5"/>
          </w:tcPr>
          <w:p>
            <w:pPr>
              <w:jc w:val="right"/>
              <w:ind w:right="144"/>
              <w:spacing w:after="0"/>
              <w:rPr>
                <w:sz w:val="20"/>
                <w:szCs w:val="20"/>
                <w:color w:val="auto"/>
              </w:rPr>
            </w:pPr>
            <w:r>
              <w:rPr>
                <w:rFonts w:ascii="Arial" w:cs="Arial" w:eastAsia="Arial" w:hAnsi="Arial"/>
                <w:sz w:val="16"/>
                <w:szCs w:val="16"/>
                <w:color w:val="auto"/>
              </w:rPr>
              <w:t>143</w:t>
            </w:r>
          </w:p>
        </w:tc>
        <w:tc>
          <w:tcPr>
            <w:tcW w:w="1020" w:type="dxa"/>
            <w:vAlign w:val="bottom"/>
            <w:shd w:val="clear" w:color="auto" w:fill="E5E5E5"/>
          </w:tcPr>
          <w:p>
            <w:pPr>
              <w:jc w:val="right"/>
              <w:ind w:right="142"/>
              <w:spacing w:after="0"/>
              <w:rPr>
                <w:sz w:val="20"/>
                <w:szCs w:val="20"/>
                <w:color w:val="auto"/>
              </w:rPr>
            </w:pPr>
            <w:r>
              <w:rPr>
                <w:rFonts w:ascii="Arial" w:cs="Arial" w:eastAsia="Arial" w:hAnsi="Arial"/>
                <w:sz w:val="16"/>
                <w:szCs w:val="16"/>
                <w:color w:val="auto"/>
              </w:rPr>
              <w:t>249,355</w:t>
            </w:r>
          </w:p>
        </w:tc>
      </w:tr>
      <w:tr>
        <w:trPr>
          <w:trHeight w:val="191"/>
        </w:trPr>
        <w:tc>
          <w:tcPr>
            <w:tcW w:w="3520" w:type="dxa"/>
            <w:vAlign w:val="bottom"/>
          </w:tcPr>
          <w:p>
            <w:pPr>
              <w:ind w:left="60"/>
              <w:spacing w:after="0"/>
              <w:rPr>
                <w:sz w:val="20"/>
                <w:szCs w:val="20"/>
                <w:color w:val="auto"/>
              </w:rPr>
            </w:pPr>
            <w:r>
              <w:rPr>
                <w:rFonts w:ascii="Arial" w:cs="Arial" w:eastAsia="Arial" w:hAnsi="Arial"/>
                <w:sz w:val="16"/>
                <w:szCs w:val="16"/>
                <w:color w:val="auto"/>
              </w:rPr>
              <w:t>Sanjeev Narula</w:t>
            </w: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2021</w:t>
            </w:r>
          </w:p>
        </w:tc>
        <w:tc>
          <w:tcPr>
            <w:tcW w:w="980" w:type="dxa"/>
            <w:vAlign w:val="bottom"/>
          </w:tcPr>
          <w:p>
            <w:pPr>
              <w:jc w:val="right"/>
              <w:ind w:right="67"/>
              <w:spacing w:after="0"/>
              <w:rPr>
                <w:sz w:val="20"/>
                <w:szCs w:val="20"/>
                <w:color w:val="auto"/>
              </w:rPr>
            </w:pPr>
            <w:r>
              <w:rPr>
                <w:rFonts w:ascii="Arial" w:cs="Arial" w:eastAsia="Arial" w:hAnsi="Arial"/>
                <w:sz w:val="16"/>
                <w:szCs w:val="16"/>
                <w:color w:val="auto"/>
              </w:rPr>
              <w:t>19,200</w:t>
            </w:r>
          </w:p>
        </w:tc>
        <w:tc>
          <w:tcPr>
            <w:tcW w:w="880" w:type="dxa"/>
            <w:vAlign w:val="bottom"/>
          </w:tcPr>
          <w:p>
            <w:pPr>
              <w:jc w:val="right"/>
              <w:ind w:right="87"/>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5"/>
              <w:spacing w:after="0"/>
              <w:rPr>
                <w:sz w:val="20"/>
                <w:szCs w:val="20"/>
                <w:color w:val="auto"/>
              </w:rPr>
            </w:pPr>
            <w:r>
              <w:rPr>
                <w:rFonts w:ascii="Arial" w:cs="Arial" w:eastAsia="Arial" w:hAnsi="Arial"/>
                <w:sz w:val="16"/>
                <w:szCs w:val="16"/>
                <w:color w:val="auto"/>
              </w:rPr>
              <w:t>336,440</w:t>
            </w:r>
          </w:p>
        </w:tc>
        <w:tc>
          <w:tcPr>
            <w:tcW w:w="1060" w:type="dxa"/>
            <w:vAlign w:val="bottom"/>
          </w:tcPr>
          <w:p>
            <w:pPr>
              <w:jc w:val="right"/>
              <w:ind w:right="89"/>
              <w:spacing w:after="0"/>
              <w:rPr>
                <w:sz w:val="20"/>
                <w:szCs w:val="20"/>
                <w:color w:val="auto"/>
              </w:rPr>
            </w:pPr>
            <w:r>
              <w:rPr>
                <w:rFonts w:ascii="Arial" w:cs="Arial" w:eastAsia="Arial" w:hAnsi="Arial"/>
                <w:sz w:val="16"/>
                <w:szCs w:val="16"/>
                <w:color w:val="auto"/>
              </w:rPr>
              <w:t>26,454</w:t>
            </w:r>
          </w:p>
        </w:tc>
        <w:tc>
          <w:tcPr>
            <w:tcW w:w="1020" w:type="dxa"/>
            <w:vAlign w:val="bottom"/>
          </w:tcPr>
          <w:p>
            <w:pPr>
              <w:jc w:val="right"/>
              <w:ind w:right="46"/>
              <w:spacing w:after="0"/>
              <w:rPr>
                <w:sz w:val="20"/>
                <w:szCs w:val="20"/>
                <w:color w:val="auto"/>
              </w:rPr>
            </w:pPr>
            <w:r>
              <w:rPr>
                <w:rFonts w:ascii="Arial" w:cs="Arial" w:eastAsia="Arial" w:hAnsi="Arial"/>
                <w:sz w:val="16"/>
                <w:szCs w:val="16"/>
                <w:color w:val="auto"/>
              </w:rPr>
              <w:t>139,419</w:t>
            </w:r>
          </w:p>
        </w:tc>
        <w:tc>
          <w:tcPr>
            <w:tcW w:w="840" w:type="dxa"/>
            <w:vAlign w:val="bottom"/>
          </w:tcPr>
          <w:p>
            <w:pPr>
              <w:jc w:val="right"/>
              <w:ind w:right="144"/>
              <w:spacing w:after="0"/>
              <w:rPr>
                <w:sz w:val="20"/>
                <w:szCs w:val="20"/>
                <w:color w:val="auto"/>
              </w:rPr>
            </w:pPr>
            <w:r>
              <w:rPr>
                <w:rFonts w:ascii="Arial" w:cs="Arial" w:eastAsia="Arial" w:hAnsi="Arial"/>
                <w:sz w:val="16"/>
                <w:szCs w:val="16"/>
                <w:color w:val="auto"/>
              </w:rPr>
              <w:t>4,601</w:t>
            </w:r>
          </w:p>
        </w:tc>
        <w:tc>
          <w:tcPr>
            <w:tcW w:w="1020" w:type="dxa"/>
            <w:vAlign w:val="bottom"/>
          </w:tcPr>
          <w:p>
            <w:pPr>
              <w:jc w:val="right"/>
              <w:ind w:right="142"/>
              <w:spacing w:after="0"/>
              <w:rPr>
                <w:sz w:val="20"/>
                <w:szCs w:val="20"/>
                <w:color w:val="auto"/>
              </w:rPr>
            </w:pPr>
            <w:r>
              <w:rPr>
                <w:rFonts w:ascii="Arial" w:cs="Arial" w:eastAsia="Arial" w:hAnsi="Arial"/>
                <w:sz w:val="16"/>
                <w:szCs w:val="16"/>
                <w:color w:val="auto"/>
              </w:rPr>
              <w:t>526,114</w:t>
            </w:r>
          </w:p>
        </w:tc>
      </w:tr>
      <w:tr>
        <w:trPr>
          <w:trHeight w:val="198"/>
        </w:trPr>
        <w:tc>
          <w:tcPr>
            <w:tcW w:w="3520" w:type="dxa"/>
            <w:vAlign w:val="bottom"/>
          </w:tcPr>
          <w:p>
            <w:pPr>
              <w:spacing w:after="0"/>
              <w:rPr>
                <w:sz w:val="17"/>
                <w:szCs w:val="17"/>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2020</w:t>
            </w:r>
          </w:p>
        </w:tc>
        <w:tc>
          <w:tcPr>
            <w:tcW w:w="980" w:type="dxa"/>
            <w:vAlign w:val="bottom"/>
          </w:tcPr>
          <w:p>
            <w:pPr>
              <w:jc w:val="right"/>
              <w:ind w:right="67"/>
              <w:spacing w:after="0"/>
              <w:rPr>
                <w:sz w:val="20"/>
                <w:szCs w:val="20"/>
                <w:color w:val="auto"/>
              </w:rPr>
            </w:pPr>
            <w:r>
              <w:rPr>
                <w:rFonts w:ascii="Arial" w:cs="Arial" w:eastAsia="Arial" w:hAnsi="Arial"/>
                <w:sz w:val="16"/>
                <w:szCs w:val="16"/>
                <w:color w:val="auto"/>
              </w:rPr>
              <w:t>2,400</w:t>
            </w:r>
          </w:p>
        </w:tc>
        <w:tc>
          <w:tcPr>
            <w:tcW w:w="880" w:type="dxa"/>
            <w:vAlign w:val="bottom"/>
          </w:tcPr>
          <w:p>
            <w:pPr>
              <w:jc w:val="right"/>
              <w:ind w:right="87"/>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5"/>
              <w:spacing w:after="0"/>
              <w:rPr>
                <w:sz w:val="20"/>
                <w:szCs w:val="20"/>
                <w:color w:val="auto"/>
              </w:rPr>
            </w:pPr>
            <w:r>
              <w:rPr>
                <w:rFonts w:ascii="Arial" w:cs="Arial" w:eastAsia="Arial" w:hAnsi="Arial"/>
                <w:sz w:val="16"/>
                <w:szCs w:val="16"/>
                <w:color w:val="auto"/>
              </w:rPr>
              <w:t>631,856</w:t>
            </w:r>
          </w:p>
        </w:tc>
        <w:tc>
          <w:tcPr>
            <w:tcW w:w="1060" w:type="dxa"/>
            <w:vAlign w:val="bottom"/>
          </w:tcPr>
          <w:p>
            <w:pPr>
              <w:jc w:val="right"/>
              <w:ind w:right="89"/>
              <w:spacing w:after="0"/>
              <w:rPr>
                <w:sz w:val="20"/>
                <w:szCs w:val="20"/>
                <w:color w:val="auto"/>
              </w:rPr>
            </w:pPr>
            <w:r>
              <w:rPr>
                <w:rFonts w:ascii="Arial" w:cs="Arial" w:eastAsia="Arial" w:hAnsi="Arial"/>
                <w:sz w:val="16"/>
                <w:szCs w:val="16"/>
                <w:color w:val="auto"/>
              </w:rPr>
              <w:t>7,231</w:t>
            </w:r>
          </w:p>
        </w:tc>
        <w:tc>
          <w:tcPr>
            <w:tcW w:w="1020" w:type="dxa"/>
            <w:vAlign w:val="bottom"/>
          </w:tcPr>
          <w:p>
            <w:pPr>
              <w:jc w:val="right"/>
              <w:ind w:right="46"/>
              <w:spacing w:after="0"/>
              <w:rPr>
                <w:sz w:val="20"/>
                <w:szCs w:val="20"/>
                <w:color w:val="auto"/>
              </w:rPr>
            </w:pPr>
            <w:r>
              <w:rPr>
                <w:rFonts w:ascii="Arial" w:cs="Arial" w:eastAsia="Arial" w:hAnsi="Arial"/>
                <w:sz w:val="16"/>
                <w:szCs w:val="16"/>
                <w:color w:val="auto"/>
              </w:rPr>
              <w:t>20,089</w:t>
            </w:r>
          </w:p>
        </w:tc>
        <w:tc>
          <w:tcPr>
            <w:tcW w:w="840" w:type="dxa"/>
            <w:vAlign w:val="bottom"/>
          </w:tcPr>
          <w:p>
            <w:pPr>
              <w:jc w:val="right"/>
              <w:ind w:right="144"/>
              <w:spacing w:after="0"/>
              <w:rPr>
                <w:sz w:val="20"/>
                <w:szCs w:val="20"/>
                <w:color w:val="auto"/>
              </w:rPr>
            </w:pPr>
            <w:r>
              <w:rPr>
                <w:rFonts w:ascii="Arial" w:cs="Arial" w:eastAsia="Arial" w:hAnsi="Arial"/>
                <w:sz w:val="16"/>
                <w:szCs w:val="16"/>
                <w:color w:val="auto"/>
              </w:rPr>
              <w:t>143</w:t>
            </w:r>
          </w:p>
        </w:tc>
        <w:tc>
          <w:tcPr>
            <w:tcW w:w="1020" w:type="dxa"/>
            <w:vAlign w:val="bottom"/>
          </w:tcPr>
          <w:p>
            <w:pPr>
              <w:jc w:val="right"/>
              <w:ind w:right="142"/>
              <w:spacing w:after="0"/>
              <w:rPr>
                <w:sz w:val="20"/>
                <w:szCs w:val="20"/>
                <w:color w:val="auto"/>
              </w:rPr>
            </w:pPr>
            <w:r>
              <w:rPr>
                <w:rFonts w:ascii="Arial" w:cs="Arial" w:eastAsia="Arial" w:hAnsi="Arial"/>
                <w:sz w:val="16"/>
                <w:szCs w:val="16"/>
                <w:color w:val="auto"/>
              </w:rPr>
              <w:t>661,719</w:t>
            </w:r>
          </w:p>
        </w:tc>
      </w:tr>
      <w:tr>
        <w:trPr>
          <w:trHeight w:val="194"/>
        </w:trPr>
        <w:tc>
          <w:tcPr>
            <w:tcW w:w="3520" w:type="dxa"/>
            <w:vAlign w:val="bottom"/>
            <w:shd w:val="clear" w:color="auto" w:fill="E5E5E5"/>
          </w:tcPr>
          <w:p>
            <w:pPr>
              <w:ind w:left="60"/>
              <w:spacing w:after="0"/>
              <w:rPr>
                <w:sz w:val="20"/>
                <w:szCs w:val="20"/>
                <w:color w:val="auto"/>
              </w:rPr>
            </w:pPr>
            <w:r>
              <w:rPr>
                <w:rFonts w:ascii="Arial" w:cs="Arial" w:eastAsia="Arial" w:hAnsi="Arial"/>
                <w:sz w:val="16"/>
                <w:szCs w:val="16"/>
                <w:color w:val="auto"/>
              </w:rPr>
              <w:t>Rajiv Malik</w:t>
            </w:r>
          </w:p>
        </w:tc>
        <w:tc>
          <w:tcPr>
            <w:tcW w:w="780" w:type="dxa"/>
            <w:vAlign w:val="bottom"/>
            <w:shd w:val="clear" w:color="auto" w:fill="E5E5E5"/>
          </w:tcPr>
          <w:p>
            <w:pPr>
              <w:jc w:val="right"/>
              <w:ind w:right="62"/>
              <w:spacing w:after="0"/>
              <w:rPr>
                <w:sz w:val="20"/>
                <w:szCs w:val="20"/>
                <w:color w:val="auto"/>
              </w:rPr>
            </w:pPr>
            <w:r>
              <w:rPr>
                <w:rFonts w:ascii="Arial" w:cs="Arial" w:eastAsia="Arial" w:hAnsi="Arial"/>
                <w:sz w:val="16"/>
                <w:szCs w:val="16"/>
                <w:color w:val="auto"/>
              </w:rPr>
              <w:t>2021</w:t>
            </w:r>
          </w:p>
        </w:tc>
        <w:tc>
          <w:tcPr>
            <w:tcW w:w="980" w:type="dxa"/>
            <w:vAlign w:val="bottom"/>
            <w:shd w:val="clear" w:color="auto" w:fill="E5E5E5"/>
          </w:tcPr>
          <w:p>
            <w:pPr>
              <w:jc w:val="right"/>
              <w:ind w:right="67"/>
              <w:spacing w:after="0"/>
              <w:rPr>
                <w:sz w:val="20"/>
                <w:szCs w:val="20"/>
                <w:color w:val="auto"/>
              </w:rPr>
            </w:pPr>
            <w:r>
              <w:rPr>
                <w:rFonts w:ascii="Arial" w:cs="Arial" w:eastAsia="Arial" w:hAnsi="Arial"/>
                <w:sz w:val="16"/>
                <w:szCs w:val="16"/>
                <w:color w:val="auto"/>
              </w:rPr>
              <w:t>6,847</w:t>
            </w:r>
          </w:p>
        </w:tc>
        <w:tc>
          <w:tcPr>
            <w:tcW w:w="880" w:type="dxa"/>
            <w:vAlign w:val="bottom"/>
            <w:shd w:val="clear" w:color="auto" w:fill="E5E5E5"/>
          </w:tcPr>
          <w:p>
            <w:pPr>
              <w:jc w:val="right"/>
              <w:ind w:right="87"/>
              <w:spacing w:after="0"/>
              <w:rPr>
                <w:sz w:val="20"/>
                <w:szCs w:val="20"/>
                <w:color w:val="auto"/>
              </w:rPr>
            </w:pPr>
            <w:r>
              <w:rPr>
                <w:rFonts w:ascii="Arial" w:cs="Arial" w:eastAsia="Arial" w:hAnsi="Arial"/>
                <w:sz w:val="16"/>
                <w:szCs w:val="16"/>
                <w:color w:val="auto"/>
              </w:rPr>
              <w:t>62,141</w:t>
            </w:r>
          </w:p>
        </w:tc>
        <w:tc>
          <w:tcPr>
            <w:tcW w:w="920" w:type="dxa"/>
            <w:vAlign w:val="bottom"/>
            <w:shd w:val="clear" w:color="auto" w:fill="E5E5E5"/>
          </w:tcPr>
          <w:p>
            <w:pPr>
              <w:jc w:val="right"/>
              <w:ind w:right="65"/>
              <w:spacing w:after="0"/>
              <w:rPr>
                <w:sz w:val="20"/>
                <w:szCs w:val="20"/>
                <w:color w:val="auto"/>
              </w:rPr>
            </w:pPr>
            <w:r>
              <w:rPr>
                <w:rFonts w:ascii="Arial" w:cs="Arial" w:eastAsia="Arial" w:hAnsi="Arial"/>
                <w:sz w:val="16"/>
                <w:szCs w:val="16"/>
                <w:color w:val="auto"/>
              </w:rPr>
              <w:t>26,036</w:t>
            </w:r>
          </w:p>
        </w:tc>
        <w:tc>
          <w:tcPr>
            <w:tcW w:w="1060" w:type="dxa"/>
            <w:vAlign w:val="bottom"/>
            <w:shd w:val="clear" w:color="auto" w:fill="E5E5E5"/>
          </w:tcPr>
          <w:p>
            <w:pPr>
              <w:jc w:val="right"/>
              <w:ind w:right="89"/>
              <w:spacing w:after="0"/>
              <w:rPr>
                <w:sz w:val="20"/>
                <w:szCs w:val="20"/>
                <w:color w:val="auto"/>
              </w:rPr>
            </w:pPr>
            <w:r>
              <w:rPr>
                <w:rFonts w:ascii="Arial" w:cs="Arial" w:eastAsia="Arial" w:hAnsi="Arial"/>
                <w:sz w:val="16"/>
                <w:szCs w:val="16"/>
                <w:color w:val="auto"/>
              </w:rPr>
              <w:t>32,700</w:t>
            </w:r>
          </w:p>
        </w:tc>
        <w:tc>
          <w:tcPr>
            <w:tcW w:w="1020" w:type="dxa"/>
            <w:vAlign w:val="bottom"/>
            <w:shd w:val="clear" w:color="auto" w:fill="E5E5E5"/>
          </w:tcPr>
          <w:p>
            <w:pPr>
              <w:jc w:val="right"/>
              <w:ind w:right="46"/>
              <w:spacing w:after="0"/>
              <w:rPr>
                <w:sz w:val="20"/>
                <w:szCs w:val="20"/>
                <w:color w:val="auto"/>
              </w:rPr>
            </w:pPr>
            <w:r>
              <w:rPr>
                <w:rFonts w:ascii="Arial" w:cs="Arial" w:eastAsia="Arial" w:hAnsi="Arial"/>
                <w:sz w:val="16"/>
                <w:szCs w:val="16"/>
                <w:color w:val="auto"/>
              </w:rPr>
              <w:t>228,787</w:t>
            </w:r>
          </w:p>
        </w:tc>
        <w:tc>
          <w:tcPr>
            <w:tcW w:w="840" w:type="dxa"/>
            <w:vAlign w:val="bottom"/>
            <w:shd w:val="clear" w:color="auto" w:fill="E5E5E5"/>
          </w:tcPr>
          <w:p>
            <w:pPr>
              <w:jc w:val="right"/>
              <w:ind w:right="144"/>
              <w:spacing w:after="0"/>
              <w:rPr>
                <w:sz w:val="20"/>
                <w:szCs w:val="20"/>
                <w:color w:val="auto"/>
              </w:rPr>
            </w:pPr>
            <w:r>
              <w:rPr>
                <w:rFonts w:ascii="Arial" w:cs="Arial" w:eastAsia="Arial" w:hAnsi="Arial"/>
                <w:sz w:val="16"/>
                <w:szCs w:val="16"/>
                <w:color w:val="auto"/>
              </w:rPr>
              <w:t>7,172</w:t>
            </w:r>
          </w:p>
        </w:tc>
        <w:tc>
          <w:tcPr>
            <w:tcW w:w="1020" w:type="dxa"/>
            <w:vAlign w:val="bottom"/>
            <w:shd w:val="clear" w:color="auto" w:fill="E5E5E5"/>
          </w:tcPr>
          <w:p>
            <w:pPr>
              <w:jc w:val="right"/>
              <w:ind w:right="142"/>
              <w:spacing w:after="0"/>
              <w:rPr>
                <w:sz w:val="20"/>
                <w:szCs w:val="20"/>
                <w:color w:val="auto"/>
              </w:rPr>
            </w:pPr>
            <w:r>
              <w:rPr>
                <w:rFonts w:ascii="Arial" w:cs="Arial" w:eastAsia="Arial" w:hAnsi="Arial"/>
                <w:sz w:val="16"/>
                <w:szCs w:val="16"/>
                <w:color w:val="auto"/>
              </w:rPr>
              <w:t>363,683</w:t>
            </w:r>
          </w:p>
        </w:tc>
      </w:tr>
      <w:tr>
        <w:trPr>
          <w:trHeight w:val="201"/>
        </w:trPr>
        <w:tc>
          <w:tcPr>
            <w:tcW w:w="3520" w:type="dxa"/>
            <w:vAlign w:val="bottom"/>
            <w:shd w:val="clear" w:color="auto" w:fill="E5E5E5"/>
          </w:tcPr>
          <w:p>
            <w:pPr>
              <w:spacing w:after="0"/>
              <w:rPr>
                <w:sz w:val="17"/>
                <w:szCs w:val="17"/>
                <w:color w:val="auto"/>
              </w:rPr>
            </w:pPr>
          </w:p>
        </w:tc>
        <w:tc>
          <w:tcPr>
            <w:tcW w:w="780" w:type="dxa"/>
            <w:vAlign w:val="bottom"/>
            <w:shd w:val="clear" w:color="auto" w:fill="E5E5E5"/>
          </w:tcPr>
          <w:p>
            <w:pPr>
              <w:jc w:val="right"/>
              <w:ind w:right="62"/>
              <w:spacing w:after="0"/>
              <w:rPr>
                <w:sz w:val="20"/>
                <w:szCs w:val="20"/>
                <w:color w:val="auto"/>
              </w:rPr>
            </w:pPr>
            <w:r>
              <w:rPr>
                <w:rFonts w:ascii="Arial" w:cs="Arial" w:eastAsia="Arial" w:hAnsi="Arial"/>
                <w:sz w:val="16"/>
                <w:szCs w:val="16"/>
                <w:color w:val="auto"/>
              </w:rPr>
              <w:t>2020</w:t>
            </w:r>
          </w:p>
        </w:tc>
        <w:tc>
          <w:tcPr>
            <w:tcW w:w="980" w:type="dxa"/>
            <w:vAlign w:val="bottom"/>
            <w:shd w:val="clear" w:color="auto" w:fill="E5E5E5"/>
          </w:tcPr>
          <w:p>
            <w:pPr>
              <w:jc w:val="right"/>
              <w:ind w:right="67"/>
              <w:spacing w:after="0"/>
              <w:rPr>
                <w:sz w:val="20"/>
                <w:szCs w:val="20"/>
                <w:color w:val="auto"/>
              </w:rPr>
            </w:pPr>
            <w:r>
              <w:rPr>
                <w:rFonts w:ascii="Arial" w:cs="Arial" w:eastAsia="Arial" w:hAnsi="Arial"/>
                <w:sz w:val="16"/>
                <w:szCs w:val="16"/>
                <w:color w:val="auto"/>
              </w:rPr>
              <w:t>2,204</w:t>
            </w:r>
          </w:p>
        </w:tc>
        <w:tc>
          <w:tcPr>
            <w:tcW w:w="880" w:type="dxa"/>
            <w:vAlign w:val="bottom"/>
            <w:shd w:val="clear" w:color="auto" w:fill="E5E5E5"/>
          </w:tcPr>
          <w:p>
            <w:pPr>
              <w:jc w:val="right"/>
              <w:ind w:right="87"/>
              <w:spacing w:after="0"/>
              <w:rPr>
                <w:sz w:val="20"/>
                <w:szCs w:val="20"/>
                <w:color w:val="auto"/>
              </w:rPr>
            </w:pPr>
            <w:r>
              <w:rPr>
                <w:rFonts w:ascii="Arial" w:cs="Arial" w:eastAsia="Arial" w:hAnsi="Arial"/>
                <w:sz w:val="16"/>
                <w:szCs w:val="16"/>
                <w:color w:val="auto"/>
              </w:rPr>
              <w:t>9,482</w:t>
            </w:r>
          </w:p>
        </w:tc>
        <w:tc>
          <w:tcPr>
            <w:tcW w:w="920" w:type="dxa"/>
            <w:vAlign w:val="bottom"/>
            <w:shd w:val="clear" w:color="auto" w:fill="E5E5E5"/>
          </w:tcPr>
          <w:p>
            <w:pPr>
              <w:jc w:val="right"/>
              <w:ind w:right="65"/>
              <w:spacing w:after="0"/>
              <w:rPr>
                <w:sz w:val="20"/>
                <w:szCs w:val="20"/>
                <w:color w:val="auto"/>
              </w:rPr>
            </w:pPr>
            <w:r>
              <w:rPr>
                <w:rFonts w:ascii="Arial" w:cs="Arial" w:eastAsia="Arial" w:hAnsi="Arial"/>
                <w:sz w:val="16"/>
                <w:szCs w:val="16"/>
                <w:color w:val="auto"/>
              </w:rPr>
              <w:t>606,221</w:t>
            </w:r>
          </w:p>
        </w:tc>
        <w:tc>
          <w:tcPr>
            <w:tcW w:w="1060" w:type="dxa"/>
            <w:vAlign w:val="bottom"/>
            <w:shd w:val="clear" w:color="auto" w:fill="E5E5E5"/>
          </w:tcPr>
          <w:p>
            <w:pPr>
              <w:jc w:val="right"/>
              <w:ind w:right="89"/>
              <w:spacing w:after="0"/>
              <w:rPr>
                <w:sz w:val="20"/>
                <w:szCs w:val="20"/>
                <w:color w:val="auto"/>
              </w:rPr>
            </w:pPr>
            <w:r>
              <w:rPr>
                <w:rFonts w:ascii="Arial" w:cs="Arial" w:eastAsia="Arial" w:hAnsi="Arial"/>
                <w:sz w:val="16"/>
                <w:szCs w:val="16"/>
                <w:color w:val="auto"/>
              </w:rPr>
              <w:t>31,222</w:t>
            </w:r>
          </w:p>
        </w:tc>
        <w:tc>
          <w:tcPr>
            <w:tcW w:w="1020" w:type="dxa"/>
            <w:vAlign w:val="bottom"/>
            <w:shd w:val="clear" w:color="auto" w:fill="E5E5E5"/>
          </w:tcPr>
          <w:p>
            <w:pPr>
              <w:jc w:val="right"/>
              <w:ind w:right="46"/>
              <w:spacing w:after="0"/>
              <w:rPr>
                <w:sz w:val="20"/>
                <w:szCs w:val="20"/>
                <w:color w:val="auto"/>
              </w:rPr>
            </w:pPr>
            <w:r>
              <w:rPr>
                <w:rFonts w:ascii="Arial" w:cs="Arial" w:eastAsia="Arial" w:hAnsi="Arial"/>
                <w:sz w:val="16"/>
                <w:szCs w:val="16"/>
                <w:color w:val="auto"/>
              </w:rPr>
              <w:t>182,052</w:t>
            </w:r>
          </w:p>
        </w:tc>
        <w:tc>
          <w:tcPr>
            <w:tcW w:w="840" w:type="dxa"/>
            <w:vAlign w:val="bottom"/>
            <w:shd w:val="clear" w:color="auto" w:fill="E5E5E5"/>
          </w:tcPr>
          <w:p>
            <w:pPr>
              <w:jc w:val="right"/>
              <w:ind w:right="144"/>
              <w:spacing w:after="0"/>
              <w:rPr>
                <w:sz w:val="20"/>
                <w:szCs w:val="20"/>
                <w:color w:val="auto"/>
              </w:rPr>
            </w:pPr>
            <w:r>
              <w:rPr>
                <w:rFonts w:ascii="Arial" w:cs="Arial" w:eastAsia="Arial" w:hAnsi="Arial"/>
                <w:sz w:val="16"/>
                <w:szCs w:val="16"/>
                <w:color w:val="auto"/>
              </w:rPr>
              <w:t>20,341</w:t>
            </w:r>
          </w:p>
        </w:tc>
        <w:tc>
          <w:tcPr>
            <w:tcW w:w="1020" w:type="dxa"/>
            <w:vAlign w:val="bottom"/>
            <w:shd w:val="clear" w:color="auto" w:fill="E5E5E5"/>
          </w:tcPr>
          <w:p>
            <w:pPr>
              <w:jc w:val="right"/>
              <w:ind w:right="142"/>
              <w:spacing w:after="0"/>
              <w:rPr>
                <w:sz w:val="20"/>
                <w:szCs w:val="20"/>
                <w:color w:val="auto"/>
              </w:rPr>
            </w:pPr>
            <w:r>
              <w:rPr>
                <w:rFonts w:ascii="Arial" w:cs="Arial" w:eastAsia="Arial" w:hAnsi="Arial"/>
                <w:sz w:val="16"/>
                <w:szCs w:val="16"/>
                <w:color w:val="auto"/>
              </w:rPr>
              <w:t>851,522</w:t>
            </w:r>
          </w:p>
        </w:tc>
      </w:tr>
      <w:tr>
        <w:trPr>
          <w:trHeight w:val="191"/>
        </w:trPr>
        <w:tc>
          <w:tcPr>
            <w:tcW w:w="3520" w:type="dxa"/>
            <w:vAlign w:val="bottom"/>
          </w:tcPr>
          <w:p>
            <w:pPr>
              <w:ind w:left="60"/>
              <w:spacing w:after="0"/>
              <w:rPr>
                <w:sz w:val="20"/>
                <w:szCs w:val="20"/>
                <w:color w:val="auto"/>
              </w:rPr>
            </w:pPr>
            <w:r>
              <w:rPr>
                <w:rFonts w:ascii="Arial" w:cs="Arial" w:eastAsia="Arial" w:hAnsi="Arial"/>
                <w:sz w:val="16"/>
                <w:szCs w:val="16"/>
                <w:color w:val="auto"/>
              </w:rPr>
              <w:t>Anthony Mauro</w:t>
            </w: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2021</w:t>
            </w:r>
          </w:p>
        </w:tc>
        <w:tc>
          <w:tcPr>
            <w:tcW w:w="980" w:type="dxa"/>
            <w:vAlign w:val="bottom"/>
          </w:tcPr>
          <w:p>
            <w:pPr>
              <w:jc w:val="right"/>
              <w:ind w:right="67"/>
              <w:spacing w:after="0"/>
              <w:rPr>
                <w:sz w:val="20"/>
                <w:szCs w:val="20"/>
                <w:color w:val="auto"/>
              </w:rPr>
            </w:pPr>
            <w:r>
              <w:rPr>
                <w:rFonts w:ascii="Arial" w:cs="Arial" w:eastAsia="Arial" w:hAnsi="Arial"/>
                <w:sz w:val="16"/>
                <w:szCs w:val="16"/>
                <w:color w:val="auto"/>
              </w:rPr>
              <w:t>19,200</w:t>
            </w:r>
          </w:p>
        </w:tc>
        <w:tc>
          <w:tcPr>
            <w:tcW w:w="880" w:type="dxa"/>
            <w:vAlign w:val="bottom"/>
          </w:tcPr>
          <w:p>
            <w:pPr>
              <w:jc w:val="right"/>
              <w:ind w:right="87"/>
              <w:spacing w:after="0"/>
              <w:rPr>
                <w:sz w:val="20"/>
                <w:szCs w:val="20"/>
                <w:color w:val="auto"/>
              </w:rPr>
            </w:pPr>
            <w:r>
              <w:rPr>
                <w:rFonts w:ascii="Arial" w:cs="Arial" w:eastAsia="Arial" w:hAnsi="Arial"/>
                <w:sz w:val="16"/>
                <w:szCs w:val="16"/>
                <w:color w:val="auto"/>
              </w:rPr>
              <w:t>9,150</w:t>
            </w:r>
          </w:p>
        </w:tc>
        <w:tc>
          <w:tcPr>
            <w:tcW w:w="920" w:type="dxa"/>
            <w:vAlign w:val="bottom"/>
          </w:tcPr>
          <w:p>
            <w:pPr>
              <w:jc w:val="right"/>
              <w:ind w:right="65"/>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9"/>
              <w:spacing w:after="0"/>
              <w:rPr>
                <w:sz w:val="20"/>
                <w:szCs w:val="20"/>
                <w:color w:val="auto"/>
              </w:rPr>
            </w:pPr>
            <w:r>
              <w:rPr>
                <w:rFonts w:ascii="Arial" w:cs="Arial" w:eastAsia="Arial" w:hAnsi="Arial"/>
                <w:sz w:val="16"/>
                <w:szCs w:val="16"/>
                <w:color w:val="auto"/>
              </w:rPr>
              <w:t>31,570</w:t>
            </w:r>
          </w:p>
        </w:tc>
        <w:tc>
          <w:tcPr>
            <w:tcW w:w="1020" w:type="dxa"/>
            <w:vAlign w:val="bottom"/>
          </w:tcPr>
          <w:p>
            <w:pPr>
              <w:jc w:val="right"/>
              <w:ind w:right="46"/>
              <w:spacing w:after="0"/>
              <w:rPr>
                <w:sz w:val="20"/>
                <w:szCs w:val="20"/>
                <w:color w:val="auto"/>
              </w:rPr>
            </w:pPr>
            <w:r>
              <w:rPr>
                <w:rFonts w:ascii="Arial" w:cs="Arial" w:eastAsia="Arial" w:hAnsi="Arial"/>
                <w:sz w:val="16"/>
                <w:szCs w:val="16"/>
                <w:color w:val="auto"/>
              </w:rPr>
              <w:t>230,711</w:t>
            </w:r>
          </w:p>
        </w:tc>
        <w:tc>
          <w:tcPr>
            <w:tcW w:w="840" w:type="dxa"/>
            <w:vAlign w:val="bottom"/>
          </w:tcPr>
          <w:p>
            <w:pPr>
              <w:jc w:val="right"/>
              <w:ind w:right="144"/>
              <w:spacing w:after="0"/>
              <w:rPr>
                <w:sz w:val="20"/>
                <w:szCs w:val="20"/>
                <w:color w:val="auto"/>
              </w:rPr>
            </w:pPr>
            <w:r>
              <w:rPr>
                <w:rFonts w:ascii="Arial" w:cs="Arial" w:eastAsia="Arial" w:hAnsi="Arial"/>
                <w:sz w:val="16"/>
                <w:szCs w:val="16"/>
                <w:color w:val="auto"/>
              </w:rPr>
              <w:t>6,023</w:t>
            </w:r>
          </w:p>
        </w:tc>
        <w:tc>
          <w:tcPr>
            <w:tcW w:w="1020" w:type="dxa"/>
            <w:vAlign w:val="bottom"/>
          </w:tcPr>
          <w:p>
            <w:pPr>
              <w:jc w:val="right"/>
              <w:ind w:right="142"/>
              <w:spacing w:after="0"/>
              <w:rPr>
                <w:sz w:val="20"/>
                <w:szCs w:val="20"/>
                <w:color w:val="auto"/>
              </w:rPr>
            </w:pPr>
            <w:r>
              <w:rPr>
                <w:rFonts w:ascii="Arial" w:cs="Arial" w:eastAsia="Arial" w:hAnsi="Arial"/>
                <w:sz w:val="16"/>
                <w:szCs w:val="16"/>
                <w:color w:val="auto"/>
              </w:rPr>
              <w:t>296,654</w:t>
            </w:r>
          </w:p>
        </w:tc>
      </w:tr>
      <w:tr>
        <w:trPr>
          <w:trHeight w:val="198"/>
        </w:trPr>
        <w:tc>
          <w:tcPr>
            <w:tcW w:w="3520" w:type="dxa"/>
            <w:vAlign w:val="bottom"/>
          </w:tcPr>
          <w:p>
            <w:pPr>
              <w:spacing w:after="0"/>
              <w:rPr>
                <w:sz w:val="17"/>
                <w:szCs w:val="17"/>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2020</w:t>
            </w:r>
          </w:p>
        </w:tc>
        <w:tc>
          <w:tcPr>
            <w:tcW w:w="980" w:type="dxa"/>
            <w:vAlign w:val="bottom"/>
          </w:tcPr>
          <w:p>
            <w:pPr>
              <w:jc w:val="right"/>
              <w:ind w:right="67"/>
              <w:spacing w:after="0"/>
              <w:rPr>
                <w:sz w:val="20"/>
                <w:szCs w:val="20"/>
                <w:color w:val="auto"/>
              </w:rPr>
            </w:pPr>
            <w:r>
              <w:rPr>
                <w:rFonts w:ascii="Arial" w:cs="Arial" w:eastAsia="Arial" w:hAnsi="Arial"/>
                <w:sz w:val="16"/>
                <w:szCs w:val="16"/>
                <w:color w:val="auto"/>
              </w:rPr>
              <w:t>19,200</w:t>
            </w:r>
          </w:p>
        </w:tc>
        <w:tc>
          <w:tcPr>
            <w:tcW w:w="880" w:type="dxa"/>
            <w:vAlign w:val="bottom"/>
          </w:tcPr>
          <w:p>
            <w:pPr>
              <w:jc w:val="right"/>
              <w:ind w:right="87"/>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5"/>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9"/>
              <w:spacing w:after="0"/>
              <w:rPr>
                <w:sz w:val="20"/>
                <w:szCs w:val="20"/>
                <w:color w:val="auto"/>
              </w:rPr>
            </w:pPr>
            <w:r>
              <w:rPr>
                <w:rFonts w:ascii="Arial" w:cs="Arial" w:eastAsia="Arial" w:hAnsi="Arial"/>
                <w:sz w:val="16"/>
                <w:szCs w:val="16"/>
                <w:color w:val="auto"/>
              </w:rPr>
              <w:t>31,484</w:t>
            </w:r>
          </w:p>
        </w:tc>
        <w:tc>
          <w:tcPr>
            <w:tcW w:w="1020" w:type="dxa"/>
            <w:vAlign w:val="bottom"/>
          </w:tcPr>
          <w:p>
            <w:pPr>
              <w:jc w:val="right"/>
              <w:ind w:right="46"/>
              <w:spacing w:after="0"/>
              <w:rPr>
                <w:sz w:val="20"/>
                <w:szCs w:val="20"/>
                <w:color w:val="auto"/>
              </w:rPr>
            </w:pPr>
            <w:r>
              <w:rPr>
                <w:rFonts w:ascii="Arial" w:cs="Arial" w:eastAsia="Arial" w:hAnsi="Arial"/>
                <w:sz w:val="16"/>
                <w:szCs w:val="16"/>
                <w:color w:val="auto"/>
              </w:rPr>
              <w:t>189,360</w:t>
            </w:r>
          </w:p>
        </w:tc>
        <w:tc>
          <w:tcPr>
            <w:tcW w:w="840" w:type="dxa"/>
            <w:vAlign w:val="bottom"/>
          </w:tcPr>
          <w:p>
            <w:pPr>
              <w:jc w:val="right"/>
              <w:ind w:right="144"/>
              <w:spacing w:after="0"/>
              <w:rPr>
                <w:sz w:val="20"/>
                <w:szCs w:val="20"/>
                <w:color w:val="auto"/>
              </w:rPr>
            </w:pPr>
            <w:r>
              <w:rPr>
                <w:rFonts w:ascii="Arial" w:cs="Arial" w:eastAsia="Arial" w:hAnsi="Arial"/>
                <w:sz w:val="16"/>
                <w:szCs w:val="16"/>
                <w:color w:val="auto"/>
              </w:rPr>
              <w:t>3,402</w:t>
            </w:r>
          </w:p>
        </w:tc>
        <w:tc>
          <w:tcPr>
            <w:tcW w:w="1020" w:type="dxa"/>
            <w:vAlign w:val="bottom"/>
          </w:tcPr>
          <w:p>
            <w:pPr>
              <w:jc w:val="right"/>
              <w:ind w:right="142"/>
              <w:spacing w:after="0"/>
              <w:rPr>
                <w:sz w:val="20"/>
                <w:szCs w:val="20"/>
                <w:color w:val="auto"/>
              </w:rPr>
            </w:pPr>
            <w:r>
              <w:rPr>
                <w:rFonts w:ascii="Arial" w:cs="Arial" w:eastAsia="Arial" w:hAnsi="Arial"/>
                <w:sz w:val="16"/>
                <w:szCs w:val="16"/>
                <w:color w:val="auto"/>
              </w:rPr>
              <w:t>243,446</w:t>
            </w:r>
          </w:p>
        </w:tc>
      </w:tr>
      <w:tr>
        <w:trPr>
          <w:trHeight w:val="194"/>
        </w:trPr>
        <w:tc>
          <w:tcPr>
            <w:tcW w:w="3520" w:type="dxa"/>
            <w:vAlign w:val="bottom"/>
            <w:shd w:val="clear" w:color="auto" w:fill="E5E5E5"/>
          </w:tcPr>
          <w:p>
            <w:pPr>
              <w:ind w:left="60"/>
              <w:spacing w:after="0"/>
              <w:rPr>
                <w:sz w:val="20"/>
                <w:szCs w:val="20"/>
                <w:color w:val="auto"/>
              </w:rPr>
            </w:pPr>
            <w:r>
              <w:rPr>
                <w:rFonts w:ascii="Arial" w:cs="Arial" w:eastAsia="Arial" w:hAnsi="Arial"/>
                <w:sz w:val="16"/>
                <w:szCs w:val="16"/>
                <w:color w:val="auto"/>
              </w:rPr>
              <w:t>Robert J. Coury</w:t>
            </w:r>
          </w:p>
        </w:tc>
        <w:tc>
          <w:tcPr>
            <w:tcW w:w="780" w:type="dxa"/>
            <w:vAlign w:val="bottom"/>
            <w:shd w:val="clear" w:color="auto" w:fill="E5E5E5"/>
          </w:tcPr>
          <w:p>
            <w:pPr>
              <w:jc w:val="right"/>
              <w:ind w:right="62"/>
              <w:spacing w:after="0"/>
              <w:rPr>
                <w:sz w:val="20"/>
                <w:szCs w:val="20"/>
                <w:color w:val="auto"/>
              </w:rPr>
            </w:pPr>
            <w:r>
              <w:rPr>
                <w:rFonts w:ascii="Arial" w:cs="Arial" w:eastAsia="Arial" w:hAnsi="Arial"/>
                <w:sz w:val="16"/>
                <w:szCs w:val="16"/>
                <w:color w:val="auto"/>
              </w:rPr>
              <w:t>2021</w:t>
            </w:r>
          </w:p>
        </w:tc>
        <w:tc>
          <w:tcPr>
            <w:tcW w:w="980" w:type="dxa"/>
            <w:vAlign w:val="bottom"/>
            <w:shd w:val="clear" w:color="auto" w:fill="E5E5E5"/>
          </w:tcPr>
          <w:p>
            <w:pPr>
              <w:jc w:val="right"/>
              <w:ind w:right="67"/>
              <w:spacing w:after="0"/>
              <w:rPr>
                <w:sz w:val="20"/>
                <w:szCs w:val="20"/>
                <w:color w:val="auto"/>
              </w:rPr>
            </w:pPr>
            <w:r>
              <w:rPr>
                <w:rFonts w:ascii="Arial" w:cs="Arial" w:eastAsia="Arial" w:hAnsi="Arial"/>
                <w:sz w:val="16"/>
                <w:szCs w:val="16"/>
                <w:color w:val="auto"/>
              </w:rPr>
              <w:t>24,563</w:t>
            </w:r>
          </w:p>
        </w:tc>
        <w:tc>
          <w:tcPr>
            <w:tcW w:w="880" w:type="dxa"/>
            <w:vAlign w:val="bottom"/>
            <w:shd w:val="clear" w:color="auto" w:fill="E5E5E5"/>
          </w:tcPr>
          <w:p>
            <w:pPr>
              <w:jc w:val="right"/>
              <w:ind w:right="87"/>
              <w:spacing w:after="0"/>
              <w:rPr>
                <w:sz w:val="20"/>
                <w:szCs w:val="20"/>
                <w:color w:val="auto"/>
              </w:rPr>
            </w:pPr>
            <w:r>
              <w:rPr>
                <w:rFonts w:ascii="Arial" w:cs="Arial" w:eastAsia="Arial" w:hAnsi="Arial"/>
                <w:sz w:val="16"/>
                <w:szCs w:val="16"/>
                <w:color w:val="auto"/>
              </w:rPr>
              <w:t>29,184</w:t>
            </w:r>
          </w:p>
        </w:tc>
        <w:tc>
          <w:tcPr>
            <w:tcW w:w="920" w:type="dxa"/>
            <w:vAlign w:val="bottom"/>
            <w:shd w:val="clear" w:color="auto" w:fill="E5E5E5"/>
          </w:tcPr>
          <w:p>
            <w:pPr>
              <w:jc w:val="right"/>
              <w:ind w:right="65"/>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ind w:right="89"/>
              <w:spacing w:after="0"/>
              <w:rPr>
                <w:sz w:val="20"/>
                <w:szCs w:val="20"/>
                <w:color w:val="auto"/>
              </w:rPr>
            </w:pPr>
            <w:r>
              <w:rPr>
                <w:rFonts w:ascii="Arial" w:cs="Arial" w:eastAsia="Arial" w:hAnsi="Arial"/>
                <w:sz w:val="16"/>
                <w:szCs w:val="16"/>
                <w:color w:val="auto"/>
              </w:rPr>
              <w:t>31,377</w:t>
            </w:r>
          </w:p>
        </w:tc>
        <w:tc>
          <w:tcPr>
            <w:tcW w:w="1020" w:type="dxa"/>
            <w:vAlign w:val="bottom"/>
            <w:shd w:val="clear" w:color="auto" w:fill="E5E5E5"/>
          </w:tcPr>
          <w:p>
            <w:pPr>
              <w:jc w:val="right"/>
              <w:ind w:right="46"/>
              <w:spacing w:after="0"/>
              <w:rPr>
                <w:sz w:val="20"/>
                <w:szCs w:val="20"/>
                <w:color w:val="auto"/>
              </w:rPr>
            </w:pPr>
            <w:r>
              <w:rPr>
                <w:rFonts w:ascii="Arial" w:cs="Arial" w:eastAsia="Arial" w:hAnsi="Arial"/>
                <w:sz w:val="16"/>
                <w:szCs w:val="16"/>
                <w:color w:val="auto"/>
              </w:rPr>
              <w:t>680,312</w:t>
            </w:r>
          </w:p>
        </w:tc>
        <w:tc>
          <w:tcPr>
            <w:tcW w:w="840" w:type="dxa"/>
            <w:vAlign w:val="bottom"/>
            <w:shd w:val="clear" w:color="auto" w:fill="E5E5E5"/>
          </w:tcPr>
          <w:p>
            <w:pPr>
              <w:jc w:val="right"/>
              <w:ind w:right="144"/>
              <w:spacing w:after="0"/>
              <w:rPr>
                <w:sz w:val="20"/>
                <w:szCs w:val="20"/>
                <w:color w:val="auto"/>
              </w:rPr>
            </w:pPr>
            <w:r>
              <w:rPr>
                <w:rFonts w:ascii="Arial" w:cs="Arial" w:eastAsia="Arial" w:hAnsi="Arial"/>
                <w:sz w:val="16"/>
                <w:szCs w:val="16"/>
                <w:color w:val="auto"/>
              </w:rPr>
              <w:t>41,242</w:t>
            </w:r>
          </w:p>
        </w:tc>
        <w:tc>
          <w:tcPr>
            <w:tcW w:w="1020" w:type="dxa"/>
            <w:vAlign w:val="bottom"/>
            <w:shd w:val="clear" w:color="auto" w:fill="E5E5E5"/>
          </w:tcPr>
          <w:p>
            <w:pPr>
              <w:jc w:val="right"/>
              <w:ind w:right="142"/>
              <w:spacing w:after="0"/>
              <w:rPr>
                <w:sz w:val="20"/>
                <w:szCs w:val="20"/>
                <w:color w:val="auto"/>
              </w:rPr>
            </w:pPr>
            <w:r>
              <w:rPr>
                <w:rFonts w:ascii="Arial" w:cs="Arial" w:eastAsia="Arial" w:hAnsi="Arial"/>
                <w:sz w:val="16"/>
                <w:szCs w:val="16"/>
                <w:color w:val="auto"/>
              </w:rPr>
              <w:t>806,678</w:t>
            </w:r>
          </w:p>
        </w:tc>
      </w:tr>
      <w:tr>
        <w:trPr>
          <w:trHeight w:val="201"/>
        </w:trPr>
        <w:tc>
          <w:tcPr>
            <w:tcW w:w="3520" w:type="dxa"/>
            <w:vAlign w:val="bottom"/>
            <w:shd w:val="clear" w:color="auto" w:fill="E5E5E5"/>
          </w:tcPr>
          <w:p>
            <w:pPr>
              <w:spacing w:after="0"/>
              <w:rPr>
                <w:sz w:val="17"/>
                <w:szCs w:val="17"/>
                <w:color w:val="auto"/>
              </w:rPr>
            </w:pPr>
          </w:p>
        </w:tc>
        <w:tc>
          <w:tcPr>
            <w:tcW w:w="780" w:type="dxa"/>
            <w:vAlign w:val="bottom"/>
            <w:shd w:val="clear" w:color="auto" w:fill="E5E5E5"/>
          </w:tcPr>
          <w:p>
            <w:pPr>
              <w:jc w:val="right"/>
              <w:ind w:right="62"/>
              <w:spacing w:after="0"/>
              <w:rPr>
                <w:sz w:val="20"/>
                <w:szCs w:val="20"/>
                <w:color w:val="auto"/>
              </w:rPr>
            </w:pPr>
            <w:r>
              <w:rPr>
                <w:rFonts w:ascii="Arial" w:cs="Arial" w:eastAsia="Arial" w:hAnsi="Arial"/>
                <w:sz w:val="16"/>
                <w:szCs w:val="16"/>
                <w:color w:val="auto"/>
              </w:rPr>
              <w:t>2020</w:t>
            </w:r>
          </w:p>
        </w:tc>
        <w:tc>
          <w:tcPr>
            <w:tcW w:w="980" w:type="dxa"/>
            <w:vAlign w:val="bottom"/>
            <w:shd w:val="clear" w:color="auto" w:fill="E5E5E5"/>
          </w:tcPr>
          <w:p>
            <w:pPr>
              <w:jc w:val="right"/>
              <w:ind w:right="67"/>
              <w:spacing w:after="0"/>
              <w:rPr>
                <w:sz w:val="20"/>
                <w:szCs w:val="20"/>
                <w:color w:val="auto"/>
              </w:rPr>
            </w:pPr>
            <w:r>
              <w:rPr>
                <w:rFonts w:ascii="Arial" w:cs="Arial" w:eastAsia="Arial" w:hAnsi="Arial"/>
                <w:sz w:val="16"/>
                <w:szCs w:val="16"/>
                <w:color w:val="auto"/>
              </w:rPr>
              <w:t>25,111</w:t>
            </w:r>
          </w:p>
        </w:tc>
        <w:tc>
          <w:tcPr>
            <w:tcW w:w="880" w:type="dxa"/>
            <w:vAlign w:val="bottom"/>
            <w:shd w:val="clear" w:color="auto" w:fill="E5E5E5"/>
          </w:tcPr>
          <w:p>
            <w:pPr>
              <w:jc w:val="right"/>
              <w:ind w:right="87"/>
              <w:spacing w:after="0"/>
              <w:rPr>
                <w:sz w:val="20"/>
                <w:szCs w:val="20"/>
                <w:color w:val="auto"/>
              </w:rPr>
            </w:pPr>
            <w:r>
              <w:rPr>
                <w:rFonts w:ascii="Arial" w:cs="Arial" w:eastAsia="Arial" w:hAnsi="Arial"/>
                <w:sz w:val="16"/>
                <w:szCs w:val="16"/>
                <w:color w:val="auto"/>
              </w:rPr>
              <w:t>30,363</w:t>
            </w:r>
          </w:p>
        </w:tc>
        <w:tc>
          <w:tcPr>
            <w:tcW w:w="920" w:type="dxa"/>
            <w:vAlign w:val="bottom"/>
            <w:shd w:val="clear" w:color="auto" w:fill="E5E5E5"/>
          </w:tcPr>
          <w:p>
            <w:pPr>
              <w:jc w:val="right"/>
              <w:ind w:right="65"/>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ind w:right="89"/>
              <w:spacing w:after="0"/>
              <w:rPr>
                <w:sz w:val="20"/>
                <w:szCs w:val="20"/>
                <w:color w:val="auto"/>
              </w:rPr>
            </w:pPr>
            <w:r>
              <w:rPr>
                <w:rFonts w:ascii="Arial" w:cs="Arial" w:eastAsia="Arial" w:hAnsi="Arial"/>
                <w:sz w:val="16"/>
                <w:szCs w:val="16"/>
                <w:color w:val="auto"/>
              </w:rPr>
              <w:t>28,300</w:t>
            </w:r>
          </w:p>
        </w:tc>
        <w:tc>
          <w:tcPr>
            <w:tcW w:w="1020" w:type="dxa"/>
            <w:vAlign w:val="bottom"/>
            <w:shd w:val="clear" w:color="auto" w:fill="E5E5E5"/>
          </w:tcPr>
          <w:p>
            <w:pPr>
              <w:jc w:val="right"/>
              <w:ind w:right="46"/>
              <w:spacing w:after="0"/>
              <w:rPr>
                <w:sz w:val="20"/>
                <w:szCs w:val="20"/>
                <w:color w:val="auto"/>
              </w:rPr>
            </w:pPr>
            <w:r>
              <w:rPr>
                <w:rFonts w:ascii="Arial" w:cs="Arial" w:eastAsia="Arial" w:hAnsi="Arial"/>
                <w:sz w:val="16"/>
                <w:szCs w:val="16"/>
                <w:color w:val="auto"/>
              </w:rPr>
              <w:t>275,306</w:t>
            </w:r>
          </w:p>
        </w:tc>
        <w:tc>
          <w:tcPr>
            <w:tcW w:w="840" w:type="dxa"/>
            <w:vAlign w:val="bottom"/>
            <w:shd w:val="clear" w:color="auto" w:fill="E5E5E5"/>
          </w:tcPr>
          <w:p>
            <w:pPr>
              <w:jc w:val="right"/>
              <w:ind w:right="144"/>
              <w:spacing w:after="0"/>
              <w:rPr>
                <w:sz w:val="20"/>
                <w:szCs w:val="20"/>
                <w:color w:val="auto"/>
              </w:rPr>
            </w:pPr>
            <w:r>
              <w:rPr>
                <w:rFonts w:ascii="Arial" w:cs="Arial" w:eastAsia="Arial" w:hAnsi="Arial"/>
                <w:sz w:val="16"/>
                <w:szCs w:val="16"/>
                <w:color w:val="auto"/>
              </w:rPr>
              <w:t>40,770</w:t>
            </w:r>
          </w:p>
        </w:tc>
        <w:tc>
          <w:tcPr>
            <w:tcW w:w="1020" w:type="dxa"/>
            <w:vAlign w:val="bottom"/>
            <w:shd w:val="clear" w:color="auto" w:fill="E5E5E5"/>
          </w:tcPr>
          <w:p>
            <w:pPr>
              <w:jc w:val="right"/>
              <w:ind w:right="142"/>
              <w:spacing w:after="0"/>
              <w:rPr>
                <w:sz w:val="20"/>
                <w:szCs w:val="20"/>
                <w:color w:val="auto"/>
              </w:rPr>
            </w:pPr>
            <w:r>
              <w:rPr>
                <w:rFonts w:ascii="Arial" w:cs="Arial" w:eastAsia="Arial" w:hAnsi="Arial"/>
                <w:sz w:val="16"/>
                <w:szCs w:val="16"/>
                <w:color w:val="auto"/>
              </w:rPr>
              <w:t>399,850</w:t>
            </w: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86"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540" w:hanging="424"/>
        <w:spacing w:after="0" w:line="253" w:lineRule="auto"/>
        <w:tabs>
          <w:tab w:leader="none" w:pos="540" w:val="left"/>
        </w:tabs>
        <w:numPr>
          <w:ilvl w:val="0"/>
          <w:numId w:val="49"/>
        </w:numPr>
        <w:rPr>
          <w:rFonts w:ascii="Arial" w:cs="Arial" w:eastAsia="Arial" w:hAnsi="Arial"/>
          <w:sz w:val="16"/>
          <w:szCs w:val="16"/>
          <w:i w:val="1"/>
          <w:iCs w:val="1"/>
          <w:color w:val="auto"/>
        </w:rPr>
      </w:pPr>
      <w:r>
        <w:rPr>
          <w:rFonts w:ascii="Arial" w:cs="Arial" w:eastAsia="Arial" w:hAnsi="Arial"/>
          <w:sz w:val="16"/>
          <w:szCs w:val="16"/>
          <w:i w:val="1"/>
          <w:iCs w:val="1"/>
          <w:color w:val="auto"/>
        </w:rPr>
        <w:t>In the case of Messrs. Goettler, Narula, Mauro, and Coury, these costs represent a vehicle allowance and ancillary expenses associated with such vehicle. In the case of Mr. Malik, this number represents the cost of a vehicle (based on lease value), insurance and ancillary expenses associated with such vehicle.</w:t>
      </w:r>
    </w:p>
    <w:p>
      <w:pPr>
        <w:spacing w:after="0" w:line="1" w:lineRule="exact"/>
        <w:rPr>
          <w:rFonts w:ascii="Arial" w:cs="Arial" w:eastAsia="Arial" w:hAnsi="Arial"/>
          <w:sz w:val="16"/>
          <w:szCs w:val="16"/>
          <w:i w:val="1"/>
          <w:iCs w:val="1"/>
          <w:color w:val="auto"/>
        </w:rPr>
      </w:pPr>
    </w:p>
    <w:p>
      <w:pPr>
        <w:jc w:val="both"/>
        <w:ind w:left="540" w:right="20" w:hanging="424"/>
        <w:spacing w:after="0" w:line="247" w:lineRule="auto"/>
        <w:tabs>
          <w:tab w:leader="none" w:pos="540" w:val="left"/>
        </w:tabs>
        <w:numPr>
          <w:ilvl w:val="0"/>
          <w:numId w:val="49"/>
        </w:numPr>
        <w:rPr>
          <w:rFonts w:ascii="Arial" w:cs="Arial" w:eastAsia="Arial" w:hAnsi="Arial"/>
          <w:sz w:val="16"/>
          <w:szCs w:val="16"/>
          <w:i w:val="1"/>
          <w:iCs w:val="1"/>
          <w:color w:val="auto"/>
        </w:rPr>
      </w:pPr>
      <w:r>
        <w:rPr>
          <w:rFonts w:ascii="Arial" w:cs="Arial" w:eastAsia="Arial" w:hAnsi="Arial"/>
          <w:sz w:val="16"/>
          <w:szCs w:val="16"/>
          <w:i w:val="1"/>
          <w:iCs w:val="1"/>
          <w:color w:val="auto"/>
        </w:rPr>
        <w:t>Amounts disclosed represent the actual aggregate incremental costs associated with the personal use of corporate aircraft. Incremental costs include annual average hourly fuel and maintenance costs, landing and parking fees, customs and handling charges, passenger catering and ground transportation, crew travel expenses, away from home hanger fees, and other trip-related variable costs. Because the aircrafts are used primarily for business travel, incremental costs exclude fixed costs that do not change based on usage, such as pilots’ salaries, aircraft purchase or lease costs, home-base hangar costs, and certain maintenance fees. Aggregate incremental cost as so determined with respect to personal deadhead flights is allocable to the NEO. In certain instances where there are both business and personal passengers, the incremental costs per hour are pro-rated.</w:t>
      </w:r>
    </w:p>
    <w:p>
      <w:pPr>
        <w:spacing w:after="0" w:line="186" w:lineRule="exact"/>
        <w:rPr>
          <w:rFonts w:ascii="Arial" w:cs="Arial" w:eastAsia="Arial" w:hAnsi="Arial"/>
          <w:sz w:val="16"/>
          <w:szCs w:val="16"/>
          <w:i w:val="1"/>
          <w:iCs w:val="1"/>
          <w:color w:val="auto"/>
        </w:rPr>
      </w:pPr>
    </w:p>
    <w:p>
      <w:pPr>
        <w:jc w:val="both"/>
        <w:ind w:left="540" w:hanging="424"/>
        <w:spacing w:after="0" w:line="246" w:lineRule="auto"/>
        <w:tabs>
          <w:tab w:leader="none" w:pos="540" w:val="left"/>
        </w:tabs>
        <w:numPr>
          <w:ilvl w:val="0"/>
          <w:numId w:val="49"/>
        </w:numPr>
        <w:rPr>
          <w:rFonts w:ascii="Arial" w:cs="Arial" w:eastAsia="Arial" w:hAnsi="Arial"/>
          <w:sz w:val="16"/>
          <w:szCs w:val="16"/>
          <w:i w:val="1"/>
          <w:iCs w:val="1"/>
          <w:color w:val="auto"/>
        </w:rPr>
      </w:pPr>
      <w:r>
        <w:rPr>
          <w:rFonts w:ascii="Arial" w:cs="Arial" w:eastAsia="Arial" w:hAnsi="Arial"/>
          <w:sz w:val="16"/>
          <w:szCs w:val="16"/>
          <w:i w:val="1"/>
          <w:iCs w:val="1"/>
          <w:color w:val="auto"/>
        </w:rPr>
        <w:t>For 2021, amounts disclosed include for Messrs. Goettler and Narula the value of certain expatriate, repatriation and relocation benefits of $227,481 and $336,440, respectively. For 2020, amounts for Messrs. Goettler and Narula, include the value of certain expatriate, repatriation and relocation benefits of $43,863 and $631,856, respectively, paid by Pfizer and/or Viatris in 2020. Repatriation for Messrs. Goettler and Narula occurred on September 30, 2020. For 2021, the amount disclosed for Mr. Malik represents immigration expenses of $26,036. For 2020, the amount disclosed reflects expatriate benefits for Mr. Malik that represent income taxes paid by Mylan in connection with Mr. Malik’s expatriate assignment to the United States from India effective January 1, 2012. Specifically, Mr. Malik was responsible for, and continued to pay taxes equal to those he would have been obligated to pay had he maintained his principal work location and residence in India rather than having transferred, at Mylan’s request, to the United States, while Mylan generally paid for all additional taxes, including Mr. Malik’s tax obligations on the imputed income associated with Mylan’s payment of taxes on his behalf. This amount for Mr. Malik is net of Mylan’s estimated tax refunds for each year. The estimated refund was $274,822 for 2020. Mr. Malik is no longer eligible for these legacy tax equalization benefits.</w:t>
      </w:r>
    </w:p>
    <w:p>
      <w:pPr>
        <w:spacing w:after="0" w:line="4" w:lineRule="exact"/>
        <w:rPr>
          <w:rFonts w:ascii="Arial" w:cs="Arial" w:eastAsia="Arial" w:hAnsi="Arial"/>
          <w:sz w:val="16"/>
          <w:szCs w:val="16"/>
          <w:i w:val="1"/>
          <w:iCs w:val="1"/>
          <w:color w:val="auto"/>
        </w:rPr>
      </w:pPr>
    </w:p>
    <w:p>
      <w:pPr>
        <w:jc w:val="both"/>
        <w:ind w:left="540" w:right="20" w:hanging="424"/>
        <w:spacing w:after="0" w:line="246" w:lineRule="auto"/>
        <w:tabs>
          <w:tab w:leader="none" w:pos="540" w:val="left"/>
        </w:tabs>
        <w:numPr>
          <w:ilvl w:val="0"/>
          <w:numId w:val="49"/>
        </w:numPr>
        <w:rPr>
          <w:rFonts w:ascii="Arial" w:cs="Arial" w:eastAsia="Arial" w:hAnsi="Arial"/>
          <w:sz w:val="16"/>
          <w:szCs w:val="16"/>
          <w:i w:val="1"/>
          <w:iCs w:val="1"/>
          <w:color w:val="auto"/>
        </w:rPr>
      </w:pPr>
      <w:r>
        <w:rPr>
          <w:rFonts w:ascii="Arial" w:cs="Arial" w:eastAsia="Arial" w:hAnsi="Arial"/>
          <w:sz w:val="16"/>
          <w:szCs w:val="16"/>
          <w:i w:val="1"/>
          <w:iCs w:val="1"/>
          <w:color w:val="auto"/>
        </w:rPr>
        <w:t>For 2021, amounts for each NEO include a matching contribution for Messrs. Goettler ($10,000), Narula ($6,154), Malik ($12,400), Mauro ($11,270), and Coury ($11,077) and a profit sharing contribution received in March 2022 in respect of fiscal year 2021 to each of Messrs. Goettler, Narula, Malik, Mauro, and Coury ($20,300). For 2020, amounts disclosed for each NEO include a matching contribution for Messrs. Narula ($1,231), Malik ($14,122), Mauro ($14,384), and Coury ($11,200) and a profit sharing contribution received in March 2021 in respect of fiscal year 2020 for Messrs. Goettler ($9,750) and Narula ($6,000) and to each of Messrs. Malik, Mauro, and Coury ($17,100).</w:t>
      </w:r>
    </w:p>
    <w:p>
      <w:pPr>
        <w:spacing w:after="0" w:line="2" w:lineRule="exact"/>
        <w:rPr>
          <w:rFonts w:ascii="Arial" w:cs="Arial" w:eastAsia="Arial" w:hAnsi="Arial"/>
          <w:sz w:val="16"/>
          <w:szCs w:val="16"/>
          <w:i w:val="1"/>
          <w:iCs w:val="1"/>
          <w:color w:val="auto"/>
        </w:rPr>
      </w:pPr>
    </w:p>
    <w:p>
      <w:pPr>
        <w:jc w:val="both"/>
        <w:ind w:left="540" w:hanging="424"/>
        <w:spacing w:after="0" w:line="246" w:lineRule="auto"/>
        <w:tabs>
          <w:tab w:leader="none" w:pos="540" w:val="left"/>
        </w:tabs>
        <w:numPr>
          <w:ilvl w:val="0"/>
          <w:numId w:val="49"/>
        </w:numPr>
        <w:rPr>
          <w:rFonts w:ascii="Arial" w:cs="Arial" w:eastAsia="Arial" w:hAnsi="Arial"/>
          <w:sz w:val="16"/>
          <w:szCs w:val="16"/>
          <w:i w:val="1"/>
          <w:iCs w:val="1"/>
          <w:color w:val="auto"/>
        </w:rPr>
      </w:pPr>
      <w:r>
        <w:rPr>
          <w:rFonts w:ascii="Arial" w:cs="Arial" w:eastAsia="Arial" w:hAnsi="Arial"/>
          <w:sz w:val="16"/>
          <w:szCs w:val="16"/>
          <w:i w:val="1"/>
          <w:iCs w:val="1"/>
          <w:color w:val="auto"/>
        </w:rPr>
        <w:t>For 2021, amounts disclosed include a matching contribution under the Restoration Plan for Messrs. Goettler ($78,467), Narula ($80,782), Mauro ($89,930), and Coury ($266,221), and a profit sharing contribution under the Restoration Plan received in March 2022 in respect of fiscal year 2021 for Messrs. Goettler ($137,317), Narula ($58,637), Malik ($228,787), Mauro ($140,781), and Coury ($414,091). For 2020, amounts disclosed include, for Messrs. Goettler, Mauro and Coury a matching contribution under the Restoration Plan of $36,467, $130,584, and $215,857, respectively, and a profit sharing contribution under the Restoration Plan received in March 2021 in respect of fiscal year 2020 for each of Messrs. Malik, Mauro, and Coury equal to $182,052, $58,776, and $59,449, respectively. Amounts disclosed for Messrs. Goettler and Narula include Retirement Savings Contributions under Pfizer’s plans in the amount of $156,732 and $20,089, respectively.</w:t>
      </w:r>
    </w:p>
    <w:p>
      <w:pPr>
        <w:spacing w:after="0" w:line="2" w:lineRule="exact"/>
        <w:rPr>
          <w:rFonts w:ascii="Arial" w:cs="Arial" w:eastAsia="Arial" w:hAnsi="Arial"/>
          <w:sz w:val="16"/>
          <w:szCs w:val="16"/>
          <w:i w:val="1"/>
          <w:iCs w:val="1"/>
          <w:color w:val="auto"/>
        </w:rPr>
      </w:pPr>
    </w:p>
    <w:p>
      <w:pPr>
        <w:jc w:val="both"/>
        <w:ind w:left="540" w:hanging="424"/>
        <w:spacing w:after="0" w:line="249" w:lineRule="auto"/>
        <w:tabs>
          <w:tab w:leader="none" w:pos="540" w:val="left"/>
        </w:tabs>
        <w:numPr>
          <w:ilvl w:val="0"/>
          <w:numId w:val="49"/>
        </w:numPr>
        <w:rPr>
          <w:rFonts w:ascii="Arial" w:cs="Arial" w:eastAsia="Arial" w:hAnsi="Arial"/>
          <w:sz w:val="16"/>
          <w:szCs w:val="16"/>
          <w:i w:val="1"/>
          <w:iCs w:val="1"/>
          <w:color w:val="auto"/>
        </w:rPr>
      </w:pPr>
      <w:r>
        <w:rPr>
          <w:rFonts w:ascii="Arial" w:cs="Arial" w:eastAsia="Arial" w:hAnsi="Arial"/>
          <w:sz w:val="16"/>
          <w:szCs w:val="16"/>
          <w:i w:val="1"/>
          <w:iCs w:val="1"/>
          <w:color w:val="auto"/>
        </w:rPr>
        <w:t>For 2021, amounts disclosed represent health insurance for Messrs. Malik and Coury ($11,601); certain personal security services for Mr. Coury ($29,233); international travel assistance premiums for each of the NEOs; events for Messrs. Narula, Malik, and Mauro; tax preparation services related to U.K. tax returns for Messrs. Malik and Mauro; and long-term disability premiums for Messrs. Goettler, Narula, Malik, and Mauro. For 2020, amounts disclosed represent health insurance for Messrs. Malik and Coury ($29,102); certain personal security services for Messrs. Malik and Coury; events for Mr. Malik; tax preparation services related to U.K. tax returns for Messrs. Mauro and Coury; long-term disability premiums for Messrs. Goettler, Narula, Malik, Mauro, and Coury; and international travel assistance premiums for Messrs. Malik, Mauro, and Coury.</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86"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732282"/>
        </w:rPr>
        <w:t>Grants of Plan-Based Awards for 2021</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summarizes grants of plan-based awards made to each NEO during 2021.</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2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360" w:type="dxa"/>
            <w:vAlign w:val="bottom"/>
            <w:gridSpan w:val="3"/>
            <w:shd w:val="clear" w:color="auto" w:fill="231161"/>
          </w:tcPr>
          <w:p>
            <w:pPr>
              <w:jc w:val="right"/>
              <w:ind w:right="214"/>
              <w:spacing w:after="0"/>
              <w:rPr>
                <w:sz w:val="20"/>
                <w:szCs w:val="20"/>
                <w:color w:val="auto"/>
              </w:rPr>
            </w:pPr>
            <w:r>
              <w:rPr>
                <w:rFonts w:ascii="Arial" w:cs="Arial" w:eastAsia="Arial" w:hAnsi="Arial"/>
                <w:sz w:val="11"/>
                <w:szCs w:val="11"/>
                <w:b w:val="1"/>
                <w:bCs w:val="1"/>
                <w:color w:val="FFFFFF"/>
              </w:rPr>
              <w:t>Estimated Future Payments Under</w:t>
            </w:r>
          </w:p>
        </w:tc>
        <w:tc>
          <w:tcPr>
            <w:tcW w:w="420" w:type="dxa"/>
            <w:vAlign w:val="bottom"/>
          </w:tcPr>
          <w:p>
            <w:pPr>
              <w:spacing w:after="0"/>
              <w:rPr>
                <w:sz w:val="10"/>
                <w:szCs w:val="10"/>
                <w:color w:val="auto"/>
              </w:rPr>
            </w:pPr>
          </w:p>
        </w:tc>
        <w:tc>
          <w:tcPr>
            <w:tcW w:w="2040" w:type="dxa"/>
            <w:vAlign w:val="bottom"/>
            <w:gridSpan w:val="3"/>
            <w:shd w:val="clear" w:color="auto" w:fill="231161"/>
          </w:tcPr>
          <w:p>
            <w:pPr>
              <w:jc w:val="right"/>
              <w:ind w:right="54"/>
              <w:spacing w:after="0"/>
              <w:rPr>
                <w:sz w:val="20"/>
                <w:szCs w:val="20"/>
                <w:color w:val="auto"/>
              </w:rPr>
            </w:pPr>
            <w:r>
              <w:rPr>
                <w:rFonts w:ascii="Arial" w:cs="Arial" w:eastAsia="Arial" w:hAnsi="Arial"/>
                <w:sz w:val="11"/>
                <w:szCs w:val="11"/>
                <w:b w:val="1"/>
                <w:bCs w:val="1"/>
                <w:color w:val="FFFFFF"/>
              </w:rPr>
              <w:t>Estimated Future Payments Under</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50"/>
        </w:trPr>
        <w:tc>
          <w:tcPr>
            <w:tcW w:w="2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gridSpan w:val="3"/>
            <w:shd w:val="clear" w:color="auto" w:fill="231161"/>
          </w:tcPr>
          <w:p>
            <w:pPr>
              <w:jc w:val="right"/>
              <w:ind w:right="174"/>
              <w:spacing w:after="0" w:line="151" w:lineRule="exact"/>
              <w:rPr>
                <w:sz w:val="20"/>
                <w:szCs w:val="20"/>
                <w:color w:val="auto"/>
              </w:rPr>
            </w:pPr>
            <w:r>
              <w:rPr>
                <w:rFonts w:ascii="Arial" w:cs="Arial" w:eastAsia="Arial" w:hAnsi="Arial"/>
                <w:sz w:val="11"/>
                <w:szCs w:val="11"/>
                <w:b w:val="1"/>
                <w:bCs w:val="1"/>
                <w:color w:val="FFFFFF"/>
              </w:rPr>
              <w:t>Non-Equity Incentive Plan Awards</w:t>
            </w:r>
            <w:r>
              <w:rPr>
                <w:rFonts w:ascii="Arial" w:cs="Arial" w:eastAsia="Arial" w:hAnsi="Arial"/>
                <w:sz w:val="15"/>
                <w:szCs w:val="15"/>
                <w:b w:val="1"/>
                <w:bCs w:val="1"/>
                <w:color w:val="FFFFFF"/>
                <w:vertAlign w:val="superscript"/>
              </w:rPr>
              <w:t>(1)</w:t>
            </w:r>
          </w:p>
        </w:tc>
        <w:tc>
          <w:tcPr>
            <w:tcW w:w="420" w:type="dxa"/>
            <w:vAlign w:val="bottom"/>
          </w:tcPr>
          <w:p>
            <w:pPr>
              <w:spacing w:after="0"/>
              <w:rPr>
                <w:sz w:val="13"/>
                <w:szCs w:val="13"/>
                <w:color w:val="auto"/>
              </w:rPr>
            </w:pPr>
          </w:p>
        </w:tc>
        <w:tc>
          <w:tcPr>
            <w:tcW w:w="2040" w:type="dxa"/>
            <w:vAlign w:val="bottom"/>
            <w:gridSpan w:val="3"/>
            <w:shd w:val="clear" w:color="auto" w:fill="231161"/>
          </w:tcPr>
          <w:p>
            <w:pPr>
              <w:jc w:val="right"/>
              <w:ind w:right="134"/>
              <w:spacing w:after="0" w:line="151" w:lineRule="exact"/>
              <w:rPr>
                <w:sz w:val="20"/>
                <w:szCs w:val="20"/>
                <w:color w:val="auto"/>
              </w:rPr>
            </w:pPr>
            <w:r>
              <w:rPr>
                <w:rFonts w:ascii="Arial" w:cs="Arial" w:eastAsia="Arial" w:hAnsi="Arial"/>
                <w:sz w:val="11"/>
                <w:szCs w:val="11"/>
                <w:b w:val="1"/>
                <w:bCs w:val="1"/>
                <w:color w:val="FFFFFF"/>
              </w:rPr>
              <w:t>Equity Incentive Plan Awards</w:t>
            </w:r>
            <w:r>
              <w:rPr>
                <w:rFonts w:ascii="Arial" w:cs="Arial" w:eastAsia="Arial" w:hAnsi="Arial"/>
                <w:sz w:val="15"/>
                <w:szCs w:val="15"/>
                <w:b w:val="1"/>
                <w:bCs w:val="1"/>
                <w:color w:val="FFFFFF"/>
                <w:vertAlign w:val="superscript"/>
              </w:rPr>
              <w:t>(2)</w:t>
            </w: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06"/>
        </w:trPr>
        <w:tc>
          <w:tcPr>
            <w:tcW w:w="2060" w:type="dxa"/>
            <w:vAlign w:val="bottom"/>
            <w:shd w:val="clear" w:color="auto" w:fill="444444"/>
          </w:tcPr>
          <w:p>
            <w:pPr>
              <w:spacing w:after="0"/>
              <w:rPr>
                <w:sz w:val="9"/>
                <w:szCs w:val="9"/>
                <w:color w:val="auto"/>
              </w:rPr>
            </w:pPr>
          </w:p>
        </w:tc>
        <w:tc>
          <w:tcPr>
            <w:tcW w:w="760" w:type="dxa"/>
            <w:vAlign w:val="bottom"/>
            <w:shd w:val="clear" w:color="auto" w:fill="444444"/>
          </w:tcPr>
          <w:p>
            <w:pPr>
              <w:spacing w:after="0"/>
              <w:rPr>
                <w:sz w:val="9"/>
                <w:szCs w:val="9"/>
                <w:color w:val="auto"/>
              </w:rPr>
            </w:pPr>
          </w:p>
        </w:tc>
        <w:tc>
          <w:tcPr>
            <w:tcW w:w="640" w:type="dxa"/>
            <w:vAlign w:val="bottom"/>
            <w:shd w:val="clear" w:color="auto" w:fill="444444"/>
          </w:tcPr>
          <w:p>
            <w:pPr>
              <w:spacing w:after="0"/>
              <w:rPr>
                <w:sz w:val="9"/>
                <w:szCs w:val="9"/>
                <w:color w:val="auto"/>
              </w:rPr>
            </w:pPr>
          </w:p>
        </w:tc>
        <w:tc>
          <w:tcPr>
            <w:tcW w:w="840" w:type="dxa"/>
            <w:vAlign w:val="bottom"/>
            <w:shd w:val="clear" w:color="auto" w:fill="444444"/>
          </w:tcPr>
          <w:p>
            <w:pPr>
              <w:spacing w:after="0"/>
              <w:rPr>
                <w:sz w:val="9"/>
                <w:szCs w:val="9"/>
                <w:color w:val="auto"/>
              </w:rPr>
            </w:pPr>
          </w:p>
        </w:tc>
        <w:tc>
          <w:tcPr>
            <w:tcW w:w="780" w:type="dxa"/>
            <w:vAlign w:val="bottom"/>
            <w:shd w:val="clear" w:color="auto" w:fill="444444"/>
          </w:tcPr>
          <w:p>
            <w:pPr>
              <w:spacing w:after="0"/>
              <w:rPr>
                <w:sz w:val="9"/>
                <w:szCs w:val="9"/>
                <w:color w:val="auto"/>
              </w:rPr>
            </w:pPr>
          </w:p>
        </w:tc>
        <w:tc>
          <w:tcPr>
            <w:tcW w:w="740" w:type="dxa"/>
            <w:vAlign w:val="bottom"/>
            <w:shd w:val="clear" w:color="auto" w:fill="444444"/>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shd w:val="clear" w:color="auto" w:fill="444444"/>
          </w:tcPr>
          <w:p>
            <w:pPr>
              <w:spacing w:after="0"/>
              <w:rPr>
                <w:sz w:val="9"/>
                <w:szCs w:val="9"/>
                <w:color w:val="auto"/>
              </w:rPr>
            </w:pPr>
          </w:p>
        </w:tc>
        <w:tc>
          <w:tcPr>
            <w:tcW w:w="660" w:type="dxa"/>
            <w:vAlign w:val="bottom"/>
            <w:shd w:val="clear" w:color="auto" w:fill="444444"/>
          </w:tcPr>
          <w:p>
            <w:pPr>
              <w:spacing w:after="0"/>
              <w:rPr>
                <w:sz w:val="9"/>
                <w:szCs w:val="9"/>
                <w:color w:val="auto"/>
              </w:rPr>
            </w:pPr>
          </w:p>
        </w:tc>
        <w:tc>
          <w:tcPr>
            <w:tcW w:w="640" w:type="dxa"/>
            <w:vAlign w:val="bottom"/>
            <w:shd w:val="clear" w:color="auto" w:fill="444444"/>
          </w:tcPr>
          <w:p>
            <w:pPr>
              <w:spacing w:after="0"/>
              <w:rPr>
                <w:sz w:val="9"/>
                <w:szCs w:val="9"/>
                <w:color w:val="auto"/>
              </w:rPr>
            </w:pPr>
          </w:p>
        </w:tc>
        <w:tc>
          <w:tcPr>
            <w:tcW w:w="700" w:type="dxa"/>
            <w:vAlign w:val="bottom"/>
            <w:shd w:val="clear" w:color="auto" w:fill="444444"/>
          </w:tcPr>
          <w:p>
            <w:pPr>
              <w:jc w:val="right"/>
              <w:ind w:right="18"/>
              <w:spacing w:after="0" w:line="106" w:lineRule="exact"/>
              <w:rPr>
                <w:sz w:val="20"/>
                <w:szCs w:val="20"/>
                <w:color w:val="auto"/>
              </w:rPr>
            </w:pPr>
            <w:r>
              <w:rPr>
                <w:rFonts w:ascii="Arial" w:cs="Arial" w:eastAsia="Arial" w:hAnsi="Arial"/>
                <w:sz w:val="11"/>
                <w:szCs w:val="11"/>
                <w:b w:val="1"/>
                <w:bCs w:val="1"/>
                <w:color w:val="FFFFFF"/>
              </w:rPr>
              <w:t>All Other</w:t>
            </w:r>
          </w:p>
        </w:tc>
        <w:tc>
          <w:tcPr>
            <w:tcW w:w="700" w:type="dxa"/>
            <w:vAlign w:val="bottom"/>
            <w:shd w:val="clear" w:color="auto" w:fill="444444"/>
          </w:tcPr>
          <w:p>
            <w:pPr>
              <w:jc w:val="right"/>
              <w:ind w:right="17"/>
              <w:spacing w:after="0" w:line="106" w:lineRule="exact"/>
              <w:rPr>
                <w:sz w:val="20"/>
                <w:szCs w:val="20"/>
                <w:color w:val="auto"/>
              </w:rPr>
            </w:pPr>
            <w:r>
              <w:rPr>
                <w:rFonts w:ascii="Arial" w:cs="Arial" w:eastAsia="Arial" w:hAnsi="Arial"/>
                <w:sz w:val="11"/>
                <w:szCs w:val="11"/>
                <w:b w:val="1"/>
                <w:bCs w:val="1"/>
                <w:color w:val="FFFFFF"/>
              </w:rPr>
              <w:t>All Other</w:t>
            </w:r>
          </w:p>
        </w:tc>
        <w:tc>
          <w:tcPr>
            <w:tcW w:w="560" w:type="dxa"/>
            <w:vAlign w:val="bottom"/>
            <w:shd w:val="clear" w:color="auto" w:fill="444444"/>
          </w:tcPr>
          <w:p>
            <w:pPr>
              <w:spacing w:after="0"/>
              <w:rPr>
                <w:sz w:val="9"/>
                <w:szCs w:val="9"/>
                <w:color w:val="auto"/>
              </w:rPr>
            </w:pPr>
          </w:p>
        </w:tc>
        <w:tc>
          <w:tcPr>
            <w:tcW w:w="780" w:type="dxa"/>
            <w:vAlign w:val="bottom"/>
            <w:shd w:val="clear" w:color="auto" w:fill="444444"/>
          </w:tcPr>
          <w:p>
            <w:pPr>
              <w:spacing w:after="0"/>
              <w:rPr>
                <w:sz w:val="9"/>
                <w:szCs w:val="9"/>
                <w:color w:val="auto"/>
              </w:rPr>
            </w:pPr>
          </w:p>
        </w:tc>
      </w:tr>
      <w:tr>
        <w:trPr>
          <w:trHeight w:val="122"/>
        </w:trPr>
        <w:tc>
          <w:tcPr>
            <w:tcW w:w="2060" w:type="dxa"/>
            <w:vAlign w:val="bottom"/>
            <w:shd w:val="clear" w:color="auto" w:fill="444444"/>
          </w:tcPr>
          <w:p>
            <w:pPr>
              <w:spacing w:after="0"/>
              <w:rPr>
                <w:sz w:val="10"/>
                <w:szCs w:val="10"/>
                <w:color w:val="auto"/>
              </w:rPr>
            </w:pPr>
          </w:p>
        </w:tc>
        <w:tc>
          <w:tcPr>
            <w:tcW w:w="760" w:type="dxa"/>
            <w:vAlign w:val="bottom"/>
            <w:shd w:val="clear" w:color="auto" w:fill="444444"/>
          </w:tcPr>
          <w:p>
            <w:pPr>
              <w:spacing w:after="0"/>
              <w:rPr>
                <w:sz w:val="10"/>
                <w:szCs w:val="10"/>
                <w:color w:val="auto"/>
              </w:rPr>
            </w:pPr>
          </w:p>
        </w:tc>
        <w:tc>
          <w:tcPr>
            <w:tcW w:w="640" w:type="dxa"/>
            <w:vAlign w:val="bottom"/>
            <w:shd w:val="clear" w:color="auto" w:fill="444444"/>
          </w:tcPr>
          <w:p>
            <w:pPr>
              <w:spacing w:after="0"/>
              <w:rPr>
                <w:sz w:val="10"/>
                <w:szCs w:val="10"/>
                <w:color w:val="auto"/>
              </w:rPr>
            </w:pPr>
          </w:p>
        </w:tc>
        <w:tc>
          <w:tcPr>
            <w:tcW w:w="840" w:type="dxa"/>
            <w:vAlign w:val="bottom"/>
            <w:shd w:val="clear" w:color="auto" w:fill="444444"/>
          </w:tcPr>
          <w:p>
            <w:pPr>
              <w:spacing w:after="0"/>
              <w:rPr>
                <w:sz w:val="10"/>
                <w:szCs w:val="10"/>
                <w:color w:val="auto"/>
              </w:rPr>
            </w:pPr>
          </w:p>
        </w:tc>
        <w:tc>
          <w:tcPr>
            <w:tcW w:w="780" w:type="dxa"/>
            <w:vAlign w:val="bottom"/>
            <w:shd w:val="clear" w:color="auto" w:fill="444444"/>
          </w:tcPr>
          <w:p>
            <w:pPr>
              <w:spacing w:after="0"/>
              <w:rPr>
                <w:sz w:val="10"/>
                <w:szCs w:val="10"/>
                <w:color w:val="auto"/>
              </w:rPr>
            </w:pPr>
          </w:p>
        </w:tc>
        <w:tc>
          <w:tcPr>
            <w:tcW w:w="740" w:type="dxa"/>
            <w:vAlign w:val="bottom"/>
            <w:shd w:val="clear" w:color="auto" w:fill="444444"/>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shd w:val="clear" w:color="auto" w:fill="444444"/>
          </w:tcPr>
          <w:p>
            <w:pPr>
              <w:spacing w:after="0"/>
              <w:rPr>
                <w:sz w:val="10"/>
                <w:szCs w:val="10"/>
                <w:color w:val="auto"/>
              </w:rPr>
            </w:pPr>
          </w:p>
        </w:tc>
        <w:tc>
          <w:tcPr>
            <w:tcW w:w="660" w:type="dxa"/>
            <w:vAlign w:val="bottom"/>
            <w:shd w:val="clear" w:color="auto" w:fill="444444"/>
          </w:tcPr>
          <w:p>
            <w:pPr>
              <w:spacing w:after="0"/>
              <w:rPr>
                <w:sz w:val="10"/>
                <w:szCs w:val="10"/>
                <w:color w:val="auto"/>
              </w:rPr>
            </w:pPr>
          </w:p>
        </w:tc>
        <w:tc>
          <w:tcPr>
            <w:tcW w:w="640" w:type="dxa"/>
            <w:vAlign w:val="bottom"/>
            <w:shd w:val="clear" w:color="auto" w:fill="444444"/>
          </w:tcPr>
          <w:p>
            <w:pPr>
              <w:spacing w:after="0"/>
              <w:rPr>
                <w:sz w:val="10"/>
                <w:szCs w:val="10"/>
                <w:color w:val="auto"/>
              </w:rPr>
            </w:pPr>
          </w:p>
        </w:tc>
        <w:tc>
          <w:tcPr>
            <w:tcW w:w="700" w:type="dxa"/>
            <w:vAlign w:val="bottom"/>
            <w:shd w:val="clear" w:color="auto" w:fill="444444"/>
          </w:tcPr>
          <w:p>
            <w:pPr>
              <w:jc w:val="right"/>
              <w:ind w:right="18"/>
              <w:spacing w:after="0" w:line="122" w:lineRule="exact"/>
              <w:rPr>
                <w:sz w:val="20"/>
                <w:szCs w:val="20"/>
                <w:color w:val="auto"/>
              </w:rPr>
            </w:pPr>
            <w:r>
              <w:rPr>
                <w:rFonts w:ascii="Arial" w:cs="Arial" w:eastAsia="Arial" w:hAnsi="Arial"/>
                <w:sz w:val="11"/>
                <w:szCs w:val="11"/>
                <w:b w:val="1"/>
                <w:bCs w:val="1"/>
                <w:color w:val="FFFFFF"/>
              </w:rPr>
              <w:t>Stock</w:t>
            </w:r>
          </w:p>
        </w:tc>
        <w:tc>
          <w:tcPr>
            <w:tcW w:w="700" w:type="dxa"/>
            <w:vAlign w:val="bottom"/>
            <w:shd w:val="clear" w:color="auto" w:fill="444444"/>
          </w:tcPr>
          <w:p>
            <w:pPr>
              <w:jc w:val="right"/>
              <w:ind w:right="17"/>
              <w:spacing w:after="0" w:line="122" w:lineRule="exact"/>
              <w:rPr>
                <w:sz w:val="20"/>
                <w:szCs w:val="20"/>
                <w:color w:val="auto"/>
              </w:rPr>
            </w:pPr>
            <w:r>
              <w:rPr>
                <w:rFonts w:ascii="Arial" w:cs="Arial" w:eastAsia="Arial" w:hAnsi="Arial"/>
                <w:sz w:val="11"/>
                <w:szCs w:val="11"/>
                <w:b w:val="1"/>
                <w:bCs w:val="1"/>
                <w:color w:val="FFFFFF"/>
              </w:rPr>
              <w:t>Option</w:t>
            </w:r>
          </w:p>
        </w:tc>
        <w:tc>
          <w:tcPr>
            <w:tcW w:w="560" w:type="dxa"/>
            <w:vAlign w:val="bottom"/>
            <w:shd w:val="clear" w:color="auto" w:fill="444444"/>
          </w:tcPr>
          <w:p>
            <w:pPr>
              <w:spacing w:after="0"/>
              <w:rPr>
                <w:sz w:val="10"/>
                <w:szCs w:val="10"/>
                <w:color w:val="auto"/>
              </w:rPr>
            </w:pPr>
          </w:p>
        </w:tc>
        <w:tc>
          <w:tcPr>
            <w:tcW w:w="780" w:type="dxa"/>
            <w:vAlign w:val="bottom"/>
            <w:shd w:val="clear" w:color="auto" w:fill="444444"/>
          </w:tcPr>
          <w:p>
            <w:pPr>
              <w:spacing w:after="0"/>
              <w:rPr>
                <w:sz w:val="10"/>
                <w:szCs w:val="10"/>
                <w:color w:val="auto"/>
              </w:rPr>
            </w:pPr>
          </w:p>
        </w:tc>
      </w:tr>
      <w:tr>
        <w:trPr>
          <w:trHeight w:val="121"/>
        </w:trPr>
        <w:tc>
          <w:tcPr>
            <w:tcW w:w="2060" w:type="dxa"/>
            <w:vAlign w:val="bottom"/>
            <w:shd w:val="clear" w:color="auto" w:fill="444444"/>
          </w:tcPr>
          <w:p>
            <w:pPr>
              <w:spacing w:after="0"/>
              <w:rPr>
                <w:sz w:val="10"/>
                <w:szCs w:val="10"/>
                <w:color w:val="auto"/>
              </w:rPr>
            </w:pPr>
          </w:p>
        </w:tc>
        <w:tc>
          <w:tcPr>
            <w:tcW w:w="760" w:type="dxa"/>
            <w:vAlign w:val="bottom"/>
            <w:shd w:val="clear" w:color="auto" w:fill="444444"/>
          </w:tcPr>
          <w:p>
            <w:pPr>
              <w:spacing w:after="0"/>
              <w:rPr>
                <w:sz w:val="10"/>
                <w:szCs w:val="10"/>
                <w:color w:val="auto"/>
              </w:rPr>
            </w:pPr>
          </w:p>
        </w:tc>
        <w:tc>
          <w:tcPr>
            <w:tcW w:w="640" w:type="dxa"/>
            <w:vAlign w:val="bottom"/>
            <w:shd w:val="clear" w:color="auto" w:fill="444444"/>
          </w:tcPr>
          <w:p>
            <w:pPr>
              <w:spacing w:after="0"/>
              <w:rPr>
                <w:sz w:val="10"/>
                <w:szCs w:val="10"/>
                <w:color w:val="auto"/>
              </w:rPr>
            </w:pPr>
          </w:p>
        </w:tc>
        <w:tc>
          <w:tcPr>
            <w:tcW w:w="840" w:type="dxa"/>
            <w:vAlign w:val="bottom"/>
            <w:shd w:val="clear" w:color="auto" w:fill="444444"/>
          </w:tcPr>
          <w:p>
            <w:pPr>
              <w:spacing w:after="0"/>
              <w:rPr>
                <w:sz w:val="10"/>
                <w:szCs w:val="10"/>
                <w:color w:val="auto"/>
              </w:rPr>
            </w:pPr>
          </w:p>
        </w:tc>
        <w:tc>
          <w:tcPr>
            <w:tcW w:w="780" w:type="dxa"/>
            <w:vAlign w:val="bottom"/>
            <w:shd w:val="clear" w:color="auto" w:fill="444444"/>
          </w:tcPr>
          <w:p>
            <w:pPr>
              <w:spacing w:after="0"/>
              <w:rPr>
                <w:sz w:val="10"/>
                <w:szCs w:val="10"/>
                <w:color w:val="auto"/>
              </w:rPr>
            </w:pPr>
          </w:p>
        </w:tc>
        <w:tc>
          <w:tcPr>
            <w:tcW w:w="740" w:type="dxa"/>
            <w:vAlign w:val="bottom"/>
            <w:shd w:val="clear" w:color="auto" w:fill="444444"/>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shd w:val="clear" w:color="auto" w:fill="444444"/>
          </w:tcPr>
          <w:p>
            <w:pPr>
              <w:spacing w:after="0"/>
              <w:rPr>
                <w:sz w:val="10"/>
                <w:szCs w:val="10"/>
                <w:color w:val="auto"/>
              </w:rPr>
            </w:pPr>
          </w:p>
        </w:tc>
        <w:tc>
          <w:tcPr>
            <w:tcW w:w="660" w:type="dxa"/>
            <w:vAlign w:val="bottom"/>
            <w:shd w:val="clear" w:color="auto" w:fill="444444"/>
          </w:tcPr>
          <w:p>
            <w:pPr>
              <w:spacing w:after="0"/>
              <w:rPr>
                <w:sz w:val="10"/>
                <w:szCs w:val="10"/>
                <w:color w:val="auto"/>
              </w:rPr>
            </w:pPr>
          </w:p>
        </w:tc>
        <w:tc>
          <w:tcPr>
            <w:tcW w:w="640" w:type="dxa"/>
            <w:vAlign w:val="bottom"/>
            <w:shd w:val="clear" w:color="auto" w:fill="444444"/>
          </w:tcPr>
          <w:p>
            <w:pPr>
              <w:spacing w:after="0"/>
              <w:rPr>
                <w:sz w:val="10"/>
                <w:szCs w:val="10"/>
                <w:color w:val="auto"/>
              </w:rPr>
            </w:pPr>
          </w:p>
        </w:tc>
        <w:tc>
          <w:tcPr>
            <w:tcW w:w="700" w:type="dxa"/>
            <w:vAlign w:val="bottom"/>
            <w:shd w:val="clear" w:color="auto" w:fill="444444"/>
          </w:tcPr>
          <w:p>
            <w:pPr>
              <w:jc w:val="right"/>
              <w:ind w:right="18"/>
              <w:spacing w:after="0" w:line="122" w:lineRule="exact"/>
              <w:rPr>
                <w:sz w:val="20"/>
                <w:szCs w:val="20"/>
                <w:color w:val="auto"/>
              </w:rPr>
            </w:pPr>
            <w:r>
              <w:rPr>
                <w:rFonts w:ascii="Arial" w:cs="Arial" w:eastAsia="Arial" w:hAnsi="Arial"/>
                <w:sz w:val="11"/>
                <w:szCs w:val="11"/>
                <w:b w:val="1"/>
                <w:bCs w:val="1"/>
                <w:color w:val="FFFFFF"/>
              </w:rPr>
              <w:t>Awards:</w:t>
            </w:r>
          </w:p>
        </w:tc>
        <w:tc>
          <w:tcPr>
            <w:tcW w:w="700" w:type="dxa"/>
            <w:vAlign w:val="bottom"/>
            <w:shd w:val="clear" w:color="auto" w:fill="444444"/>
          </w:tcPr>
          <w:p>
            <w:pPr>
              <w:jc w:val="right"/>
              <w:ind w:right="17"/>
              <w:spacing w:after="0" w:line="122" w:lineRule="exact"/>
              <w:rPr>
                <w:sz w:val="20"/>
                <w:szCs w:val="20"/>
                <w:color w:val="auto"/>
              </w:rPr>
            </w:pPr>
            <w:r>
              <w:rPr>
                <w:rFonts w:ascii="Arial" w:cs="Arial" w:eastAsia="Arial" w:hAnsi="Arial"/>
                <w:sz w:val="11"/>
                <w:szCs w:val="11"/>
                <w:b w:val="1"/>
                <w:bCs w:val="1"/>
                <w:color w:val="FFFFFF"/>
              </w:rPr>
              <w:t>Awards:</w:t>
            </w:r>
          </w:p>
        </w:tc>
        <w:tc>
          <w:tcPr>
            <w:tcW w:w="560" w:type="dxa"/>
            <w:vAlign w:val="bottom"/>
            <w:shd w:val="clear" w:color="auto" w:fill="444444"/>
          </w:tcPr>
          <w:p>
            <w:pPr>
              <w:jc w:val="right"/>
              <w:spacing w:after="0" w:line="122" w:lineRule="exact"/>
              <w:rPr>
                <w:sz w:val="20"/>
                <w:szCs w:val="20"/>
                <w:color w:val="auto"/>
              </w:rPr>
            </w:pPr>
            <w:r>
              <w:rPr>
                <w:rFonts w:ascii="Arial" w:cs="Arial" w:eastAsia="Arial" w:hAnsi="Arial"/>
                <w:sz w:val="11"/>
                <w:szCs w:val="11"/>
                <w:b w:val="1"/>
                <w:bCs w:val="1"/>
                <w:color w:val="FFFFFF"/>
              </w:rPr>
              <w:t>Exercise</w:t>
            </w:r>
          </w:p>
        </w:tc>
        <w:tc>
          <w:tcPr>
            <w:tcW w:w="780" w:type="dxa"/>
            <w:vAlign w:val="bottom"/>
            <w:shd w:val="clear" w:color="auto" w:fill="444444"/>
          </w:tcPr>
          <w:p>
            <w:pPr>
              <w:jc w:val="right"/>
              <w:ind w:right="37"/>
              <w:spacing w:after="0" w:line="122" w:lineRule="exact"/>
              <w:rPr>
                <w:sz w:val="20"/>
                <w:szCs w:val="20"/>
                <w:color w:val="auto"/>
              </w:rPr>
            </w:pPr>
            <w:r>
              <w:rPr>
                <w:rFonts w:ascii="Arial" w:cs="Arial" w:eastAsia="Arial" w:hAnsi="Arial"/>
                <w:sz w:val="11"/>
                <w:szCs w:val="11"/>
                <w:b w:val="1"/>
                <w:bCs w:val="1"/>
                <w:color w:val="FFFFFF"/>
              </w:rPr>
              <w:t>Grant Date</w:t>
            </w:r>
          </w:p>
        </w:tc>
      </w:tr>
      <w:tr>
        <w:trPr>
          <w:trHeight w:val="122"/>
        </w:trPr>
        <w:tc>
          <w:tcPr>
            <w:tcW w:w="2060" w:type="dxa"/>
            <w:vAlign w:val="bottom"/>
            <w:shd w:val="clear" w:color="auto" w:fill="444444"/>
          </w:tcPr>
          <w:p>
            <w:pPr>
              <w:spacing w:after="0"/>
              <w:rPr>
                <w:sz w:val="10"/>
                <w:szCs w:val="10"/>
                <w:color w:val="auto"/>
              </w:rPr>
            </w:pPr>
          </w:p>
        </w:tc>
        <w:tc>
          <w:tcPr>
            <w:tcW w:w="760" w:type="dxa"/>
            <w:vAlign w:val="bottom"/>
            <w:shd w:val="clear" w:color="auto" w:fill="444444"/>
          </w:tcPr>
          <w:p>
            <w:pPr>
              <w:spacing w:after="0"/>
              <w:rPr>
                <w:sz w:val="10"/>
                <w:szCs w:val="10"/>
                <w:color w:val="auto"/>
              </w:rPr>
            </w:pPr>
          </w:p>
        </w:tc>
        <w:tc>
          <w:tcPr>
            <w:tcW w:w="640" w:type="dxa"/>
            <w:vAlign w:val="bottom"/>
            <w:shd w:val="clear" w:color="auto" w:fill="444444"/>
          </w:tcPr>
          <w:p>
            <w:pPr>
              <w:spacing w:after="0"/>
              <w:rPr>
                <w:sz w:val="10"/>
                <w:szCs w:val="10"/>
                <w:color w:val="auto"/>
              </w:rPr>
            </w:pPr>
          </w:p>
        </w:tc>
        <w:tc>
          <w:tcPr>
            <w:tcW w:w="840" w:type="dxa"/>
            <w:vAlign w:val="bottom"/>
            <w:shd w:val="clear" w:color="auto" w:fill="444444"/>
          </w:tcPr>
          <w:p>
            <w:pPr>
              <w:spacing w:after="0"/>
              <w:rPr>
                <w:sz w:val="10"/>
                <w:szCs w:val="10"/>
                <w:color w:val="auto"/>
              </w:rPr>
            </w:pPr>
          </w:p>
        </w:tc>
        <w:tc>
          <w:tcPr>
            <w:tcW w:w="780" w:type="dxa"/>
            <w:vAlign w:val="bottom"/>
            <w:shd w:val="clear" w:color="auto" w:fill="444444"/>
          </w:tcPr>
          <w:p>
            <w:pPr>
              <w:spacing w:after="0"/>
              <w:rPr>
                <w:sz w:val="10"/>
                <w:szCs w:val="10"/>
                <w:color w:val="auto"/>
              </w:rPr>
            </w:pPr>
          </w:p>
        </w:tc>
        <w:tc>
          <w:tcPr>
            <w:tcW w:w="740" w:type="dxa"/>
            <w:vAlign w:val="bottom"/>
            <w:shd w:val="clear" w:color="auto" w:fill="444444"/>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shd w:val="clear" w:color="auto" w:fill="444444"/>
          </w:tcPr>
          <w:p>
            <w:pPr>
              <w:spacing w:after="0"/>
              <w:rPr>
                <w:sz w:val="10"/>
                <w:szCs w:val="10"/>
                <w:color w:val="auto"/>
              </w:rPr>
            </w:pPr>
          </w:p>
        </w:tc>
        <w:tc>
          <w:tcPr>
            <w:tcW w:w="660" w:type="dxa"/>
            <w:vAlign w:val="bottom"/>
            <w:shd w:val="clear" w:color="auto" w:fill="444444"/>
          </w:tcPr>
          <w:p>
            <w:pPr>
              <w:spacing w:after="0"/>
              <w:rPr>
                <w:sz w:val="10"/>
                <w:szCs w:val="10"/>
                <w:color w:val="auto"/>
              </w:rPr>
            </w:pPr>
          </w:p>
        </w:tc>
        <w:tc>
          <w:tcPr>
            <w:tcW w:w="640" w:type="dxa"/>
            <w:vAlign w:val="bottom"/>
            <w:shd w:val="clear" w:color="auto" w:fill="444444"/>
          </w:tcPr>
          <w:p>
            <w:pPr>
              <w:spacing w:after="0"/>
              <w:rPr>
                <w:sz w:val="10"/>
                <w:szCs w:val="10"/>
                <w:color w:val="auto"/>
              </w:rPr>
            </w:pPr>
          </w:p>
        </w:tc>
        <w:tc>
          <w:tcPr>
            <w:tcW w:w="700" w:type="dxa"/>
            <w:vAlign w:val="bottom"/>
            <w:shd w:val="clear" w:color="auto" w:fill="444444"/>
          </w:tcPr>
          <w:p>
            <w:pPr>
              <w:jc w:val="right"/>
              <w:ind w:right="18"/>
              <w:spacing w:after="0" w:line="122" w:lineRule="exact"/>
              <w:rPr>
                <w:sz w:val="20"/>
                <w:szCs w:val="20"/>
                <w:color w:val="auto"/>
              </w:rPr>
            </w:pPr>
            <w:r>
              <w:rPr>
                <w:rFonts w:ascii="Arial" w:cs="Arial" w:eastAsia="Arial" w:hAnsi="Arial"/>
                <w:sz w:val="11"/>
                <w:szCs w:val="11"/>
                <w:b w:val="1"/>
                <w:bCs w:val="1"/>
                <w:color w:val="FFFFFF"/>
              </w:rPr>
              <w:t>Number of</w:t>
            </w:r>
          </w:p>
        </w:tc>
        <w:tc>
          <w:tcPr>
            <w:tcW w:w="700" w:type="dxa"/>
            <w:vAlign w:val="bottom"/>
            <w:shd w:val="clear" w:color="auto" w:fill="444444"/>
          </w:tcPr>
          <w:p>
            <w:pPr>
              <w:jc w:val="right"/>
              <w:ind w:right="17"/>
              <w:spacing w:after="0" w:line="122" w:lineRule="exact"/>
              <w:rPr>
                <w:sz w:val="20"/>
                <w:szCs w:val="20"/>
                <w:color w:val="auto"/>
              </w:rPr>
            </w:pPr>
            <w:r>
              <w:rPr>
                <w:rFonts w:ascii="Arial" w:cs="Arial" w:eastAsia="Arial" w:hAnsi="Arial"/>
                <w:sz w:val="11"/>
                <w:szCs w:val="11"/>
                <w:b w:val="1"/>
                <w:bCs w:val="1"/>
                <w:color w:val="FFFFFF"/>
              </w:rPr>
              <w:t>Number of</w:t>
            </w:r>
          </w:p>
        </w:tc>
        <w:tc>
          <w:tcPr>
            <w:tcW w:w="560" w:type="dxa"/>
            <w:vAlign w:val="bottom"/>
            <w:shd w:val="clear" w:color="auto" w:fill="444444"/>
          </w:tcPr>
          <w:p>
            <w:pPr>
              <w:jc w:val="right"/>
              <w:spacing w:after="0" w:line="122" w:lineRule="exact"/>
              <w:rPr>
                <w:sz w:val="20"/>
                <w:szCs w:val="20"/>
                <w:color w:val="auto"/>
              </w:rPr>
            </w:pPr>
            <w:r>
              <w:rPr>
                <w:rFonts w:ascii="Arial" w:cs="Arial" w:eastAsia="Arial" w:hAnsi="Arial"/>
                <w:sz w:val="11"/>
                <w:szCs w:val="11"/>
                <w:b w:val="1"/>
                <w:bCs w:val="1"/>
                <w:color w:val="FFFFFF"/>
              </w:rPr>
              <w:t>or Base</w:t>
            </w:r>
          </w:p>
        </w:tc>
        <w:tc>
          <w:tcPr>
            <w:tcW w:w="780" w:type="dxa"/>
            <w:vAlign w:val="bottom"/>
            <w:shd w:val="clear" w:color="auto" w:fill="444444"/>
          </w:tcPr>
          <w:p>
            <w:pPr>
              <w:jc w:val="right"/>
              <w:ind w:right="37"/>
              <w:spacing w:after="0" w:line="122" w:lineRule="exact"/>
              <w:rPr>
                <w:sz w:val="20"/>
                <w:szCs w:val="20"/>
                <w:color w:val="auto"/>
              </w:rPr>
            </w:pPr>
            <w:r>
              <w:rPr>
                <w:rFonts w:ascii="Arial" w:cs="Arial" w:eastAsia="Arial" w:hAnsi="Arial"/>
                <w:sz w:val="11"/>
                <w:szCs w:val="11"/>
                <w:b w:val="1"/>
                <w:bCs w:val="1"/>
                <w:color w:val="FFFFFF"/>
                <w:w w:val="99"/>
              </w:rPr>
              <w:t>Fair Value of</w:t>
            </w:r>
          </w:p>
        </w:tc>
      </w:tr>
      <w:tr>
        <w:trPr>
          <w:trHeight w:val="122"/>
        </w:trPr>
        <w:tc>
          <w:tcPr>
            <w:tcW w:w="2060" w:type="dxa"/>
            <w:vAlign w:val="bottom"/>
            <w:shd w:val="clear" w:color="auto" w:fill="444444"/>
          </w:tcPr>
          <w:p>
            <w:pPr>
              <w:spacing w:after="0"/>
              <w:rPr>
                <w:sz w:val="10"/>
                <w:szCs w:val="10"/>
                <w:color w:val="auto"/>
              </w:rPr>
            </w:pPr>
          </w:p>
        </w:tc>
        <w:tc>
          <w:tcPr>
            <w:tcW w:w="760" w:type="dxa"/>
            <w:vAlign w:val="bottom"/>
            <w:shd w:val="clear" w:color="auto" w:fill="444444"/>
          </w:tcPr>
          <w:p>
            <w:pPr>
              <w:spacing w:after="0"/>
              <w:rPr>
                <w:sz w:val="10"/>
                <w:szCs w:val="10"/>
                <w:color w:val="auto"/>
              </w:rPr>
            </w:pPr>
          </w:p>
        </w:tc>
        <w:tc>
          <w:tcPr>
            <w:tcW w:w="640" w:type="dxa"/>
            <w:vAlign w:val="bottom"/>
            <w:shd w:val="clear" w:color="auto" w:fill="444444"/>
          </w:tcPr>
          <w:p>
            <w:pPr>
              <w:spacing w:after="0"/>
              <w:rPr>
                <w:sz w:val="10"/>
                <w:szCs w:val="10"/>
                <w:color w:val="auto"/>
              </w:rPr>
            </w:pPr>
          </w:p>
        </w:tc>
        <w:tc>
          <w:tcPr>
            <w:tcW w:w="840" w:type="dxa"/>
            <w:vAlign w:val="bottom"/>
            <w:shd w:val="clear" w:color="auto" w:fill="444444"/>
          </w:tcPr>
          <w:p>
            <w:pPr>
              <w:spacing w:after="0"/>
              <w:rPr>
                <w:sz w:val="10"/>
                <w:szCs w:val="10"/>
                <w:color w:val="auto"/>
              </w:rPr>
            </w:pPr>
          </w:p>
        </w:tc>
        <w:tc>
          <w:tcPr>
            <w:tcW w:w="780" w:type="dxa"/>
            <w:vAlign w:val="bottom"/>
            <w:shd w:val="clear" w:color="auto" w:fill="444444"/>
          </w:tcPr>
          <w:p>
            <w:pPr>
              <w:spacing w:after="0"/>
              <w:rPr>
                <w:sz w:val="10"/>
                <w:szCs w:val="10"/>
                <w:color w:val="auto"/>
              </w:rPr>
            </w:pPr>
          </w:p>
        </w:tc>
        <w:tc>
          <w:tcPr>
            <w:tcW w:w="740" w:type="dxa"/>
            <w:vAlign w:val="bottom"/>
            <w:shd w:val="clear" w:color="auto" w:fill="444444"/>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shd w:val="clear" w:color="auto" w:fill="444444"/>
          </w:tcPr>
          <w:p>
            <w:pPr>
              <w:spacing w:after="0"/>
              <w:rPr>
                <w:sz w:val="10"/>
                <w:szCs w:val="10"/>
                <w:color w:val="auto"/>
              </w:rPr>
            </w:pPr>
          </w:p>
        </w:tc>
        <w:tc>
          <w:tcPr>
            <w:tcW w:w="660" w:type="dxa"/>
            <w:vAlign w:val="bottom"/>
            <w:shd w:val="clear" w:color="auto" w:fill="444444"/>
          </w:tcPr>
          <w:p>
            <w:pPr>
              <w:spacing w:after="0"/>
              <w:rPr>
                <w:sz w:val="10"/>
                <w:szCs w:val="10"/>
                <w:color w:val="auto"/>
              </w:rPr>
            </w:pPr>
          </w:p>
        </w:tc>
        <w:tc>
          <w:tcPr>
            <w:tcW w:w="640" w:type="dxa"/>
            <w:vAlign w:val="bottom"/>
            <w:shd w:val="clear" w:color="auto" w:fill="444444"/>
          </w:tcPr>
          <w:p>
            <w:pPr>
              <w:spacing w:after="0"/>
              <w:rPr>
                <w:sz w:val="10"/>
                <w:szCs w:val="10"/>
                <w:color w:val="auto"/>
              </w:rPr>
            </w:pPr>
          </w:p>
        </w:tc>
        <w:tc>
          <w:tcPr>
            <w:tcW w:w="700" w:type="dxa"/>
            <w:vAlign w:val="bottom"/>
            <w:shd w:val="clear" w:color="auto" w:fill="444444"/>
          </w:tcPr>
          <w:p>
            <w:pPr>
              <w:jc w:val="right"/>
              <w:ind w:right="18"/>
              <w:spacing w:after="0" w:line="122" w:lineRule="exact"/>
              <w:rPr>
                <w:sz w:val="20"/>
                <w:szCs w:val="20"/>
                <w:color w:val="auto"/>
              </w:rPr>
            </w:pPr>
            <w:r>
              <w:rPr>
                <w:rFonts w:ascii="Arial" w:cs="Arial" w:eastAsia="Arial" w:hAnsi="Arial"/>
                <w:sz w:val="11"/>
                <w:szCs w:val="11"/>
                <w:b w:val="1"/>
                <w:bCs w:val="1"/>
                <w:color w:val="FFFFFF"/>
              </w:rPr>
              <w:t>Shares of</w:t>
            </w:r>
          </w:p>
        </w:tc>
        <w:tc>
          <w:tcPr>
            <w:tcW w:w="700" w:type="dxa"/>
            <w:vAlign w:val="bottom"/>
            <w:shd w:val="clear" w:color="auto" w:fill="444444"/>
          </w:tcPr>
          <w:p>
            <w:pPr>
              <w:jc w:val="right"/>
              <w:ind w:right="17"/>
              <w:spacing w:after="0" w:line="122" w:lineRule="exact"/>
              <w:rPr>
                <w:sz w:val="20"/>
                <w:szCs w:val="20"/>
                <w:color w:val="auto"/>
              </w:rPr>
            </w:pPr>
            <w:r>
              <w:rPr>
                <w:rFonts w:ascii="Arial" w:cs="Arial" w:eastAsia="Arial" w:hAnsi="Arial"/>
                <w:sz w:val="11"/>
                <w:szCs w:val="11"/>
                <w:b w:val="1"/>
                <w:bCs w:val="1"/>
                <w:color w:val="FFFFFF"/>
              </w:rPr>
              <w:t>Securities</w:t>
            </w:r>
          </w:p>
        </w:tc>
        <w:tc>
          <w:tcPr>
            <w:tcW w:w="560" w:type="dxa"/>
            <w:vAlign w:val="bottom"/>
            <w:shd w:val="clear" w:color="auto" w:fill="444444"/>
          </w:tcPr>
          <w:p>
            <w:pPr>
              <w:jc w:val="right"/>
              <w:spacing w:after="0" w:line="122" w:lineRule="exact"/>
              <w:rPr>
                <w:sz w:val="20"/>
                <w:szCs w:val="20"/>
                <w:color w:val="auto"/>
              </w:rPr>
            </w:pPr>
            <w:r>
              <w:rPr>
                <w:rFonts w:ascii="Arial" w:cs="Arial" w:eastAsia="Arial" w:hAnsi="Arial"/>
                <w:sz w:val="11"/>
                <w:szCs w:val="11"/>
                <w:b w:val="1"/>
                <w:bCs w:val="1"/>
                <w:color w:val="FFFFFF"/>
              </w:rPr>
              <w:t>Price of</w:t>
            </w:r>
          </w:p>
        </w:tc>
        <w:tc>
          <w:tcPr>
            <w:tcW w:w="780" w:type="dxa"/>
            <w:vAlign w:val="bottom"/>
            <w:shd w:val="clear" w:color="auto" w:fill="444444"/>
          </w:tcPr>
          <w:p>
            <w:pPr>
              <w:jc w:val="right"/>
              <w:ind w:right="37"/>
              <w:spacing w:after="0" w:line="122" w:lineRule="exact"/>
              <w:rPr>
                <w:sz w:val="20"/>
                <w:szCs w:val="20"/>
                <w:color w:val="auto"/>
              </w:rPr>
            </w:pPr>
            <w:r>
              <w:rPr>
                <w:rFonts w:ascii="Arial" w:cs="Arial" w:eastAsia="Arial" w:hAnsi="Arial"/>
                <w:sz w:val="11"/>
                <w:szCs w:val="11"/>
                <w:b w:val="1"/>
                <w:bCs w:val="1"/>
                <w:color w:val="FFFFFF"/>
              </w:rPr>
              <w:t>Stock and</w:t>
            </w:r>
          </w:p>
        </w:tc>
      </w:tr>
      <w:tr>
        <w:trPr>
          <w:trHeight w:val="122"/>
        </w:trPr>
        <w:tc>
          <w:tcPr>
            <w:tcW w:w="2060" w:type="dxa"/>
            <w:vAlign w:val="bottom"/>
            <w:shd w:val="clear" w:color="auto" w:fill="444444"/>
          </w:tcPr>
          <w:p>
            <w:pPr>
              <w:spacing w:after="0"/>
              <w:rPr>
                <w:sz w:val="10"/>
                <w:szCs w:val="10"/>
                <w:color w:val="auto"/>
              </w:rPr>
            </w:pPr>
          </w:p>
        </w:tc>
        <w:tc>
          <w:tcPr>
            <w:tcW w:w="760" w:type="dxa"/>
            <w:vAlign w:val="bottom"/>
            <w:shd w:val="clear" w:color="auto" w:fill="444444"/>
          </w:tcPr>
          <w:p>
            <w:pPr>
              <w:spacing w:after="0"/>
              <w:rPr>
                <w:sz w:val="10"/>
                <w:szCs w:val="10"/>
                <w:color w:val="auto"/>
              </w:rPr>
            </w:pPr>
          </w:p>
        </w:tc>
        <w:tc>
          <w:tcPr>
            <w:tcW w:w="640" w:type="dxa"/>
            <w:vAlign w:val="bottom"/>
            <w:shd w:val="clear" w:color="auto" w:fill="444444"/>
          </w:tcPr>
          <w:p>
            <w:pPr>
              <w:spacing w:after="0"/>
              <w:rPr>
                <w:sz w:val="10"/>
                <w:szCs w:val="10"/>
                <w:color w:val="auto"/>
              </w:rPr>
            </w:pPr>
          </w:p>
        </w:tc>
        <w:tc>
          <w:tcPr>
            <w:tcW w:w="840" w:type="dxa"/>
            <w:vAlign w:val="bottom"/>
            <w:shd w:val="clear" w:color="auto" w:fill="444444"/>
          </w:tcPr>
          <w:p>
            <w:pPr>
              <w:spacing w:after="0"/>
              <w:rPr>
                <w:sz w:val="10"/>
                <w:szCs w:val="10"/>
                <w:color w:val="auto"/>
              </w:rPr>
            </w:pPr>
          </w:p>
        </w:tc>
        <w:tc>
          <w:tcPr>
            <w:tcW w:w="780" w:type="dxa"/>
            <w:vAlign w:val="bottom"/>
            <w:shd w:val="clear" w:color="auto" w:fill="444444"/>
          </w:tcPr>
          <w:p>
            <w:pPr>
              <w:spacing w:after="0"/>
              <w:rPr>
                <w:sz w:val="10"/>
                <w:szCs w:val="10"/>
                <w:color w:val="auto"/>
              </w:rPr>
            </w:pPr>
          </w:p>
        </w:tc>
        <w:tc>
          <w:tcPr>
            <w:tcW w:w="740" w:type="dxa"/>
            <w:vAlign w:val="bottom"/>
            <w:shd w:val="clear" w:color="auto" w:fill="444444"/>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shd w:val="clear" w:color="auto" w:fill="444444"/>
          </w:tcPr>
          <w:p>
            <w:pPr>
              <w:spacing w:after="0"/>
              <w:rPr>
                <w:sz w:val="10"/>
                <w:szCs w:val="10"/>
                <w:color w:val="auto"/>
              </w:rPr>
            </w:pPr>
          </w:p>
        </w:tc>
        <w:tc>
          <w:tcPr>
            <w:tcW w:w="660" w:type="dxa"/>
            <w:vAlign w:val="bottom"/>
            <w:shd w:val="clear" w:color="auto" w:fill="444444"/>
          </w:tcPr>
          <w:p>
            <w:pPr>
              <w:spacing w:after="0"/>
              <w:rPr>
                <w:sz w:val="10"/>
                <w:szCs w:val="10"/>
                <w:color w:val="auto"/>
              </w:rPr>
            </w:pPr>
          </w:p>
        </w:tc>
        <w:tc>
          <w:tcPr>
            <w:tcW w:w="640" w:type="dxa"/>
            <w:vAlign w:val="bottom"/>
            <w:shd w:val="clear" w:color="auto" w:fill="444444"/>
          </w:tcPr>
          <w:p>
            <w:pPr>
              <w:spacing w:after="0"/>
              <w:rPr>
                <w:sz w:val="10"/>
                <w:szCs w:val="10"/>
                <w:color w:val="auto"/>
              </w:rPr>
            </w:pPr>
          </w:p>
        </w:tc>
        <w:tc>
          <w:tcPr>
            <w:tcW w:w="700" w:type="dxa"/>
            <w:vAlign w:val="bottom"/>
            <w:shd w:val="clear" w:color="auto" w:fill="444444"/>
          </w:tcPr>
          <w:p>
            <w:pPr>
              <w:jc w:val="right"/>
              <w:ind w:right="18"/>
              <w:spacing w:after="0" w:line="122" w:lineRule="exact"/>
              <w:rPr>
                <w:sz w:val="20"/>
                <w:szCs w:val="20"/>
                <w:color w:val="auto"/>
              </w:rPr>
            </w:pPr>
            <w:r>
              <w:rPr>
                <w:rFonts w:ascii="Arial" w:cs="Arial" w:eastAsia="Arial" w:hAnsi="Arial"/>
                <w:sz w:val="11"/>
                <w:szCs w:val="11"/>
                <w:b w:val="1"/>
                <w:bCs w:val="1"/>
                <w:color w:val="FFFFFF"/>
              </w:rPr>
              <w:t>Stock or</w:t>
            </w:r>
          </w:p>
        </w:tc>
        <w:tc>
          <w:tcPr>
            <w:tcW w:w="700" w:type="dxa"/>
            <w:vAlign w:val="bottom"/>
            <w:shd w:val="clear" w:color="auto" w:fill="444444"/>
          </w:tcPr>
          <w:p>
            <w:pPr>
              <w:jc w:val="right"/>
              <w:ind w:right="17"/>
              <w:spacing w:after="0" w:line="122" w:lineRule="exact"/>
              <w:rPr>
                <w:sz w:val="20"/>
                <w:szCs w:val="20"/>
                <w:color w:val="auto"/>
              </w:rPr>
            </w:pPr>
            <w:r>
              <w:rPr>
                <w:rFonts w:ascii="Arial" w:cs="Arial" w:eastAsia="Arial" w:hAnsi="Arial"/>
                <w:sz w:val="11"/>
                <w:szCs w:val="11"/>
                <w:b w:val="1"/>
                <w:bCs w:val="1"/>
                <w:color w:val="FFFFFF"/>
              </w:rPr>
              <w:t>Underlying</w:t>
            </w:r>
          </w:p>
        </w:tc>
        <w:tc>
          <w:tcPr>
            <w:tcW w:w="560" w:type="dxa"/>
            <w:vAlign w:val="bottom"/>
            <w:shd w:val="clear" w:color="auto" w:fill="444444"/>
          </w:tcPr>
          <w:p>
            <w:pPr>
              <w:jc w:val="right"/>
              <w:spacing w:after="0" w:line="122" w:lineRule="exact"/>
              <w:rPr>
                <w:sz w:val="20"/>
                <w:szCs w:val="20"/>
                <w:color w:val="auto"/>
              </w:rPr>
            </w:pPr>
            <w:r>
              <w:rPr>
                <w:rFonts w:ascii="Arial" w:cs="Arial" w:eastAsia="Arial" w:hAnsi="Arial"/>
                <w:sz w:val="11"/>
                <w:szCs w:val="11"/>
                <w:b w:val="1"/>
                <w:bCs w:val="1"/>
                <w:color w:val="FFFFFF"/>
              </w:rPr>
              <w:t>Option</w:t>
            </w:r>
          </w:p>
        </w:tc>
        <w:tc>
          <w:tcPr>
            <w:tcW w:w="780" w:type="dxa"/>
            <w:vAlign w:val="bottom"/>
            <w:shd w:val="clear" w:color="auto" w:fill="444444"/>
          </w:tcPr>
          <w:p>
            <w:pPr>
              <w:jc w:val="right"/>
              <w:ind w:right="37"/>
              <w:spacing w:after="0" w:line="122" w:lineRule="exact"/>
              <w:rPr>
                <w:sz w:val="20"/>
                <w:szCs w:val="20"/>
                <w:color w:val="auto"/>
              </w:rPr>
            </w:pPr>
            <w:r>
              <w:rPr>
                <w:rFonts w:ascii="Arial" w:cs="Arial" w:eastAsia="Arial" w:hAnsi="Arial"/>
                <w:sz w:val="11"/>
                <w:szCs w:val="11"/>
                <w:b w:val="1"/>
                <w:bCs w:val="1"/>
                <w:color w:val="FFFFFF"/>
              </w:rPr>
              <w:t>Option</w:t>
            </w:r>
          </w:p>
        </w:tc>
      </w:tr>
      <w:tr>
        <w:trPr>
          <w:trHeight w:val="123"/>
        </w:trPr>
        <w:tc>
          <w:tcPr>
            <w:tcW w:w="2060" w:type="dxa"/>
            <w:vAlign w:val="bottom"/>
            <w:shd w:val="clear" w:color="auto" w:fill="444444"/>
          </w:tcPr>
          <w:p>
            <w:pPr>
              <w:spacing w:after="0"/>
              <w:rPr>
                <w:sz w:val="10"/>
                <w:szCs w:val="10"/>
                <w:color w:val="auto"/>
              </w:rPr>
            </w:pPr>
          </w:p>
        </w:tc>
        <w:tc>
          <w:tcPr>
            <w:tcW w:w="760" w:type="dxa"/>
            <w:vAlign w:val="bottom"/>
            <w:shd w:val="clear" w:color="auto" w:fill="444444"/>
          </w:tcPr>
          <w:p>
            <w:pPr>
              <w:jc w:val="right"/>
              <w:ind w:right="35"/>
              <w:spacing w:after="0" w:line="123" w:lineRule="exact"/>
              <w:rPr>
                <w:sz w:val="20"/>
                <w:szCs w:val="20"/>
                <w:color w:val="auto"/>
              </w:rPr>
            </w:pPr>
            <w:r>
              <w:rPr>
                <w:rFonts w:ascii="Arial" w:cs="Arial" w:eastAsia="Arial" w:hAnsi="Arial"/>
                <w:sz w:val="11"/>
                <w:szCs w:val="11"/>
                <w:b w:val="1"/>
                <w:bCs w:val="1"/>
                <w:color w:val="FFFFFF"/>
              </w:rPr>
              <w:t>Grant</w:t>
            </w:r>
          </w:p>
        </w:tc>
        <w:tc>
          <w:tcPr>
            <w:tcW w:w="640" w:type="dxa"/>
            <w:vAlign w:val="bottom"/>
            <w:shd w:val="clear" w:color="auto" w:fill="444444"/>
          </w:tcPr>
          <w:p>
            <w:pPr>
              <w:jc w:val="right"/>
              <w:spacing w:after="0" w:line="123" w:lineRule="exact"/>
              <w:rPr>
                <w:sz w:val="20"/>
                <w:szCs w:val="20"/>
                <w:color w:val="auto"/>
              </w:rPr>
            </w:pPr>
            <w:r>
              <w:rPr>
                <w:rFonts w:ascii="Arial" w:cs="Arial" w:eastAsia="Arial" w:hAnsi="Arial"/>
                <w:sz w:val="11"/>
                <w:szCs w:val="11"/>
                <w:b w:val="1"/>
                <w:bCs w:val="1"/>
                <w:color w:val="FFFFFF"/>
              </w:rPr>
              <w:t>Approval</w:t>
            </w:r>
          </w:p>
        </w:tc>
        <w:tc>
          <w:tcPr>
            <w:tcW w:w="840" w:type="dxa"/>
            <w:vAlign w:val="bottom"/>
            <w:shd w:val="clear" w:color="auto" w:fill="444444"/>
          </w:tcPr>
          <w:p>
            <w:pPr>
              <w:jc w:val="right"/>
              <w:ind w:right="35"/>
              <w:spacing w:after="0" w:line="123" w:lineRule="exact"/>
              <w:rPr>
                <w:sz w:val="20"/>
                <w:szCs w:val="20"/>
                <w:color w:val="auto"/>
              </w:rPr>
            </w:pPr>
            <w:r>
              <w:rPr>
                <w:rFonts w:ascii="Arial" w:cs="Arial" w:eastAsia="Arial" w:hAnsi="Arial"/>
                <w:sz w:val="11"/>
                <w:szCs w:val="11"/>
                <w:b w:val="1"/>
                <w:bCs w:val="1"/>
                <w:color w:val="FFFFFF"/>
              </w:rPr>
              <w:t>Threshold</w:t>
            </w:r>
          </w:p>
        </w:tc>
        <w:tc>
          <w:tcPr>
            <w:tcW w:w="780" w:type="dxa"/>
            <w:vAlign w:val="bottom"/>
            <w:shd w:val="clear" w:color="auto" w:fill="444444"/>
          </w:tcPr>
          <w:p>
            <w:pPr>
              <w:jc w:val="right"/>
              <w:ind w:right="14"/>
              <w:spacing w:after="0" w:line="123" w:lineRule="exact"/>
              <w:rPr>
                <w:sz w:val="20"/>
                <w:szCs w:val="20"/>
                <w:color w:val="auto"/>
              </w:rPr>
            </w:pPr>
            <w:r>
              <w:rPr>
                <w:rFonts w:ascii="Arial" w:cs="Arial" w:eastAsia="Arial" w:hAnsi="Arial"/>
                <w:sz w:val="11"/>
                <w:szCs w:val="11"/>
                <w:b w:val="1"/>
                <w:bCs w:val="1"/>
                <w:color w:val="FFFFFF"/>
              </w:rPr>
              <w:t>Target</w:t>
            </w:r>
          </w:p>
        </w:tc>
        <w:tc>
          <w:tcPr>
            <w:tcW w:w="740" w:type="dxa"/>
            <w:vAlign w:val="bottom"/>
            <w:shd w:val="clear" w:color="auto" w:fill="444444"/>
          </w:tcPr>
          <w:p>
            <w:pPr>
              <w:jc w:val="right"/>
              <w:spacing w:after="0" w:line="123" w:lineRule="exact"/>
              <w:rPr>
                <w:sz w:val="20"/>
                <w:szCs w:val="20"/>
                <w:color w:val="auto"/>
              </w:rPr>
            </w:pPr>
            <w:r>
              <w:rPr>
                <w:rFonts w:ascii="Arial" w:cs="Arial" w:eastAsia="Arial" w:hAnsi="Arial"/>
                <w:sz w:val="11"/>
                <w:szCs w:val="11"/>
                <w:b w:val="1"/>
                <w:bCs w:val="1"/>
                <w:color w:val="FFFFFF"/>
              </w:rPr>
              <w:t>Maximum</w:t>
            </w:r>
          </w:p>
        </w:tc>
        <w:tc>
          <w:tcPr>
            <w:tcW w:w="420" w:type="dxa"/>
            <w:vAlign w:val="bottom"/>
          </w:tcPr>
          <w:p>
            <w:pPr>
              <w:spacing w:after="0"/>
              <w:rPr>
                <w:sz w:val="10"/>
                <w:szCs w:val="10"/>
                <w:color w:val="auto"/>
              </w:rPr>
            </w:pPr>
          </w:p>
        </w:tc>
        <w:tc>
          <w:tcPr>
            <w:tcW w:w="740" w:type="dxa"/>
            <w:vAlign w:val="bottom"/>
            <w:shd w:val="clear" w:color="auto" w:fill="444444"/>
          </w:tcPr>
          <w:p>
            <w:pPr>
              <w:jc w:val="right"/>
              <w:ind w:right="36"/>
              <w:spacing w:after="0" w:line="123" w:lineRule="exact"/>
              <w:rPr>
                <w:sz w:val="20"/>
                <w:szCs w:val="20"/>
                <w:color w:val="auto"/>
              </w:rPr>
            </w:pPr>
            <w:r>
              <w:rPr>
                <w:rFonts w:ascii="Arial" w:cs="Arial" w:eastAsia="Arial" w:hAnsi="Arial"/>
                <w:sz w:val="11"/>
                <w:szCs w:val="11"/>
                <w:b w:val="1"/>
                <w:bCs w:val="1"/>
                <w:color w:val="FFFFFF"/>
              </w:rPr>
              <w:t>Threshold</w:t>
            </w:r>
          </w:p>
        </w:tc>
        <w:tc>
          <w:tcPr>
            <w:tcW w:w="660" w:type="dxa"/>
            <w:vAlign w:val="bottom"/>
            <w:shd w:val="clear" w:color="auto" w:fill="444444"/>
          </w:tcPr>
          <w:p>
            <w:pPr>
              <w:jc w:val="right"/>
              <w:ind w:right="14"/>
              <w:spacing w:after="0" w:line="123" w:lineRule="exact"/>
              <w:rPr>
                <w:sz w:val="20"/>
                <w:szCs w:val="20"/>
                <w:color w:val="auto"/>
              </w:rPr>
            </w:pPr>
            <w:r>
              <w:rPr>
                <w:rFonts w:ascii="Arial" w:cs="Arial" w:eastAsia="Arial" w:hAnsi="Arial"/>
                <w:sz w:val="11"/>
                <w:szCs w:val="11"/>
                <w:b w:val="1"/>
                <w:bCs w:val="1"/>
                <w:color w:val="FFFFFF"/>
              </w:rPr>
              <w:t>Target</w:t>
            </w:r>
          </w:p>
        </w:tc>
        <w:tc>
          <w:tcPr>
            <w:tcW w:w="640" w:type="dxa"/>
            <w:vAlign w:val="bottom"/>
            <w:shd w:val="clear" w:color="auto" w:fill="444444"/>
          </w:tcPr>
          <w:p>
            <w:pPr>
              <w:jc w:val="right"/>
              <w:spacing w:after="0" w:line="123" w:lineRule="exact"/>
              <w:rPr>
                <w:sz w:val="20"/>
                <w:szCs w:val="20"/>
                <w:color w:val="auto"/>
              </w:rPr>
            </w:pPr>
            <w:r>
              <w:rPr>
                <w:rFonts w:ascii="Arial" w:cs="Arial" w:eastAsia="Arial" w:hAnsi="Arial"/>
                <w:sz w:val="11"/>
                <w:szCs w:val="11"/>
                <w:b w:val="1"/>
                <w:bCs w:val="1"/>
                <w:color w:val="FFFFFF"/>
              </w:rPr>
              <w:t>Maximum</w:t>
            </w:r>
          </w:p>
        </w:tc>
        <w:tc>
          <w:tcPr>
            <w:tcW w:w="700" w:type="dxa"/>
            <w:vAlign w:val="bottom"/>
            <w:shd w:val="clear" w:color="auto" w:fill="444444"/>
          </w:tcPr>
          <w:p>
            <w:pPr>
              <w:jc w:val="right"/>
              <w:ind w:right="18"/>
              <w:spacing w:after="0" w:line="123" w:lineRule="exact"/>
              <w:rPr>
                <w:sz w:val="20"/>
                <w:szCs w:val="20"/>
                <w:color w:val="auto"/>
              </w:rPr>
            </w:pPr>
            <w:r>
              <w:rPr>
                <w:rFonts w:ascii="Arial" w:cs="Arial" w:eastAsia="Arial" w:hAnsi="Arial"/>
                <w:sz w:val="11"/>
                <w:szCs w:val="11"/>
                <w:b w:val="1"/>
                <w:bCs w:val="1"/>
                <w:color w:val="FFFFFF"/>
              </w:rPr>
              <w:t>Units</w:t>
            </w:r>
          </w:p>
        </w:tc>
        <w:tc>
          <w:tcPr>
            <w:tcW w:w="700" w:type="dxa"/>
            <w:vAlign w:val="bottom"/>
            <w:shd w:val="clear" w:color="auto" w:fill="444444"/>
          </w:tcPr>
          <w:p>
            <w:pPr>
              <w:jc w:val="right"/>
              <w:ind w:right="17"/>
              <w:spacing w:after="0" w:line="123" w:lineRule="exact"/>
              <w:rPr>
                <w:sz w:val="20"/>
                <w:szCs w:val="20"/>
                <w:color w:val="auto"/>
              </w:rPr>
            </w:pPr>
            <w:r>
              <w:rPr>
                <w:rFonts w:ascii="Arial" w:cs="Arial" w:eastAsia="Arial" w:hAnsi="Arial"/>
                <w:sz w:val="11"/>
                <w:szCs w:val="11"/>
                <w:b w:val="1"/>
                <w:bCs w:val="1"/>
                <w:color w:val="FFFFFF"/>
              </w:rPr>
              <w:t>Options</w:t>
            </w:r>
          </w:p>
        </w:tc>
        <w:tc>
          <w:tcPr>
            <w:tcW w:w="560" w:type="dxa"/>
            <w:vAlign w:val="bottom"/>
            <w:shd w:val="clear" w:color="auto" w:fill="444444"/>
          </w:tcPr>
          <w:p>
            <w:pPr>
              <w:jc w:val="right"/>
              <w:spacing w:after="0" w:line="123" w:lineRule="exact"/>
              <w:rPr>
                <w:sz w:val="20"/>
                <w:szCs w:val="20"/>
                <w:color w:val="auto"/>
              </w:rPr>
            </w:pPr>
            <w:r>
              <w:rPr>
                <w:rFonts w:ascii="Arial" w:cs="Arial" w:eastAsia="Arial" w:hAnsi="Arial"/>
                <w:sz w:val="11"/>
                <w:szCs w:val="11"/>
                <w:b w:val="1"/>
                <w:bCs w:val="1"/>
                <w:color w:val="FFFFFF"/>
              </w:rPr>
              <w:t>Awards</w:t>
            </w:r>
          </w:p>
        </w:tc>
        <w:tc>
          <w:tcPr>
            <w:tcW w:w="780" w:type="dxa"/>
            <w:vAlign w:val="bottom"/>
            <w:shd w:val="clear" w:color="auto" w:fill="444444"/>
          </w:tcPr>
          <w:p>
            <w:pPr>
              <w:jc w:val="right"/>
              <w:ind w:right="37"/>
              <w:spacing w:after="0" w:line="123" w:lineRule="exact"/>
              <w:rPr>
                <w:sz w:val="20"/>
                <w:szCs w:val="20"/>
                <w:color w:val="auto"/>
              </w:rPr>
            </w:pPr>
            <w:r>
              <w:rPr>
                <w:rFonts w:ascii="Arial" w:cs="Arial" w:eastAsia="Arial" w:hAnsi="Arial"/>
                <w:sz w:val="11"/>
                <w:szCs w:val="11"/>
                <w:b w:val="1"/>
                <w:bCs w:val="1"/>
                <w:color w:val="FFFFFF"/>
              </w:rPr>
              <w:t>Awards</w:t>
            </w:r>
          </w:p>
        </w:tc>
      </w:tr>
      <w:tr>
        <w:trPr>
          <w:trHeight w:val="149"/>
        </w:trPr>
        <w:tc>
          <w:tcPr>
            <w:tcW w:w="2060" w:type="dxa"/>
            <w:vAlign w:val="bottom"/>
            <w:shd w:val="clear" w:color="auto" w:fill="444444"/>
          </w:tcPr>
          <w:p>
            <w:pPr>
              <w:ind w:left="60"/>
              <w:spacing w:after="0"/>
              <w:rPr>
                <w:sz w:val="20"/>
                <w:szCs w:val="20"/>
                <w:color w:val="auto"/>
              </w:rPr>
            </w:pPr>
            <w:r>
              <w:rPr>
                <w:rFonts w:ascii="Arial" w:cs="Arial" w:eastAsia="Arial" w:hAnsi="Arial"/>
                <w:sz w:val="11"/>
                <w:szCs w:val="11"/>
                <w:b w:val="1"/>
                <w:bCs w:val="1"/>
                <w:color w:val="FFFFFF"/>
              </w:rPr>
              <w:t>Name</w:t>
            </w:r>
          </w:p>
        </w:tc>
        <w:tc>
          <w:tcPr>
            <w:tcW w:w="760" w:type="dxa"/>
            <w:vAlign w:val="bottom"/>
            <w:shd w:val="clear" w:color="auto" w:fill="444444"/>
          </w:tcPr>
          <w:p>
            <w:pPr>
              <w:jc w:val="right"/>
              <w:ind w:right="35"/>
              <w:spacing w:after="0"/>
              <w:rPr>
                <w:sz w:val="20"/>
                <w:szCs w:val="20"/>
                <w:color w:val="auto"/>
              </w:rPr>
            </w:pPr>
            <w:r>
              <w:rPr>
                <w:rFonts w:ascii="Arial" w:cs="Arial" w:eastAsia="Arial" w:hAnsi="Arial"/>
                <w:sz w:val="11"/>
                <w:szCs w:val="11"/>
                <w:b w:val="1"/>
                <w:bCs w:val="1"/>
                <w:color w:val="FFFFFF"/>
              </w:rPr>
              <w:t>Date</w:t>
            </w:r>
          </w:p>
        </w:tc>
        <w:tc>
          <w:tcPr>
            <w:tcW w:w="640" w:type="dxa"/>
            <w:vAlign w:val="bottom"/>
            <w:shd w:val="clear" w:color="auto" w:fill="444444"/>
          </w:tcPr>
          <w:p>
            <w:pPr>
              <w:jc w:val="right"/>
              <w:spacing w:after="0"/>
              <w:rPr>
                <w:sz w:val="20"/>
                <w:szCs w:val="20"/>
                <w:color w:val="auto"/>
              </w:rPr>
            </w:pPr>
            <w:r>
              <w:rPr>
                <w:rFonts w:ascii="Arial" w:cs="Arial" w:eastAsia="Arial" w:hAnsi="Arial"/>
                <w:sz w:val="11"/>
                <w:szCs w:val="11"/>
                <w:b w:val="1"/>
                <w:bCs w:val="1"/>
                <w:color w:val="FFFFFF"/>
              </w:rPr>
              <w:t>Date</w:t>
            </w:r>
          </w:p>
        </w:tc>
        <w:tc>
          <w:tcPr>
            <w:tcW w:w="840" w:type="dxa"/>
            <w:vAlign w:val="bottom"/>
            <w:shd w:val="clear" w:color="auto" w:fill="444444"/>
          </w:tcPr>
          <w:p>
            <w:pPr>
              <w:jc w:val="right"/>
              <w:ind w:right="35"/>
              <w:spacing w:after="0"/>
              <w:rPr>
                <w:sz w:val="20"/>
                <w:szCs w:val="20"/>
                <w:color w:val="auto"/>
              </w:rPr>
            </w:pPr>
            <w:r>
              <w:rPr>
                <w:rFonts w:ascii="Arial" w:cs="Arial" w:eastAsia="Arial" w:hAnsi="Arial"/>
                <w:sz w:val="11"/>
                <w:szCs w:val="11"/>
                <w:b w:val="1"/>
                <w:bCs w:val="1"/>
                <w:color w:val="FFFFFF"/>
              </w:rPr>
              <w:t>($)</w:t>
            </w:r>
          </w:p>
        </w:tc>
        <w:tc>
          <w:tcPr>
            <w:tcW w:w="780" w:type="dxa"/>
            <w:vAlign w:val="bottom"/>
            <w:shd w:val="clear" w:color="auto" w:fill="444444"/>
          </w:tcPr>
          <w:p>
            <w:pPr>
              <w:jc w:val="right"/>
              <w:ind w:right="14"/>
              <w:spacing w:after="0"/>
              <w:rPr>
                <w:sz w:val="20"/>
                <w:szCs w:val="20"/>
                <w:color w:val="auto"/>
              </w:rPr>
            </w:pPr>
            <w:r>
              <w:rPr>
                <w:rFonts w:ascii="Arial" w:cs="Arial" w:eastAsia="Arial" w:hAnsi="Arial"/>
                <w:sz w:val="11"/>
                <w:szCs w:val="11"/>
                <w:b w:val="1"/>
                <w:bCs w:val="1"/>
                <w:color w:val="FFFFFF"/>
              </w:rPr>
              <w:t>($)</w:t>
            </w:r>
          </w:p>
        </w:tc>
        <w:tc>
          <w:tcPr>
            <w:tcW w:w="740" w:type="dxa"/>
            <w:vAlign w:val="bottom"/>
            <w:shd w:val="clear" w:color="auto" w:fill="444444"/>
          </w:tcPr>
          <w:p>
            <w:pPr>
              <w:jc w:val="right"/>
              <w:spacing w:after="0"/>
              <w:rPr>
                <w:sz w:val="20"/>
                <w:szCs w:val="20"/>
                <w:color w:val="auto"/>
              </w:rPr>
            </w:pPr>
            <w:r>
              <w:rPr>
                <w:rFonts w:ascii="Arial" w:cs="Arial" w:eastAsia="Arial" w:hAnsi="Arial"/>
                <w:sz w:val="11"/>
                <w:szCs w:val="11"/>
                <w:b w:val="1"/>
                <w:bCs w:val="1"/>
                <w:color w:val="FFFFFF"/>
              </w:rPr>
              <w:t>($)</w:t>
            </w:r>
          </w:p>
        </w:tc>
        <w:tc>
          <w:tcPr>
            <w:tcW w:w="420" w:type="dxa"/>
            <w:vAlign w:val="bottom"/>
          </w:tcPr>
          <w:p>
            <w:pPr>
              <w:spacing w:after="0"/>
              <w:rPr>
                <w:sz w:val="12"/>
                <w:szCs w:val="12"/>
                <w:color w:val="auto"/>
              </w:rPr>
            </w:pPr>
          </w:p>
        </w:tc>
        <w:tc>
          <w:tcPr>
            <w:tcW w:w="740" w:type="dxa"/>
            <w:vAlign w:val="bottom"/>
            <w:shd w:val="clear" w:color="auto" w:fill="444444"/>
          </w:tcPr>
          <w:p>
            <w:pPr>
              <w:jc w:val="right"/>
              <w:ind w:right="36"/>
              <w:spacing w:after="0"/>
              <w:rPr>
                <w:sz w:val="20"/>
                <w:szCs w:val="20"/>
                <w:color w:val="auto"/>
              </w:rPr>
            </w:pPr>
            <w:r>
              <w:rPr>
                <w:rFonts w:ascii="Arial" w:cs="Arial" w:eastAsia="Arial" w:hAnsi="Arial"/>
                <w:sz w:val="11"/>
                <w:szCs w:val="11"/>
                <w:b w:val="1"/>
                <w:bCs w:val="1"/>
                <w:color w:val="FFFFFF"/>
              </w:rPr>
              <w:t>(#)</w:t>
            </w:r>
          </w:p>
        </w:tc>
        <w:tc>
          <w:tcPr>
            <w:tcW w:w="660" w:type="dxa"/>
            <w:vAlign w:val="bottom"/>
            <w:shd w:val="clear" w:color="auto" w:fill="444444"/>
          </w:tcPr>
          <w:p>
            <w:pPr>
              <w:jc w:val="right"/>
              <w:ind w:right="14"/>
              <w:spacing w:after="0"/>
              <w:rPr>
                <w:sz w:val="20"/>
                <w:szCs w:val="20"/>
                <w:color w:val="auto"/>
              </w:rPr>
            </w:pPr>
            <w:r>
              <w:rPr>
                <w:rFonts w:ascii="Arial" w:cs="Arial" w:eastAsia="Arial" w:hAnsi="Arial"/>
                <w:sz w:val="11"/>
                <w:szCs w:val="11"/>
                <w:b w:val="1"/>
                <w:bCs w:val="1"/>
                <w:color w:val="FFFFFF"/>
              </w:rPr>
              <w:t>(#)</w:t>
            </w:r>
          </w:p>
        </w:tc>
        <w:tc>
          <w:tcPr>
            <w:tcW w:w="640" w:type="dxa"/>
            <w:vAlign w:val="bottom"/>
            <w:shd w:val="clear" w:color="auto" w:fill="444444"/>
          </w:tcPr>
          <w:p>
            <w:pPr>
              <w:jc w:val="right"/>
              <w:spacing w:after="0"/>
              <w:rPr>
                <w:sz w:val="20"/>
                <w:szCs w:val="20"/>
                <w:color w:val="auto"/>
              </w:rPr>
            </w:pPr>
            <w:r>
              <w:rPr>
                <w:rFonts w:ascii="Arial" w:cs="Arial" w:eastAsia="Arial" w:hAnsi="Arial"/>
                <w:sz w:val="11"/>
                <w:szCs w:val="11"/>
                <w:b w:val="1"/>
                <w:bCs w:val="1"/>
                <w:color w:val="FFFFFF"/>
              </w:rPr>
              <w:t>(#)</w:t>
            </w:r>
          </w:p>
        </w:tc>
        <w:tc>
          <w:tcPr>
            <w:tcW w:w="700" w:type="dxa"/>
            <w:vAlign w:val="bottom"/>
            <w:shd w:val="clear" w:color="auto" w:fill="444444"/>
          </w:tcPr>
          <w:p>
            <w:pPr>
              <w:jc w:val="right"/>
              <w:ind w:right="18"/>
              <w:spacing w:after="0" w:line="149" w:lineRule="exact"/>
              <w:rPr>
                <w:sz w:val="20"/>
                <w:szCs w:val="20"/>
                <w:color w:val="auto"/>
              </w:rPr>
            </w:pPr>
            <w:r>
              <w:rPr>
                <w:rFonts w:ascii="Arial" w:cs="Arial" w:eastAsia="Arial" w:hAnsi="Arial"/>
                <w:sz w:val="17"/>
                <w:szCs w:val="17"/>
                <w:b w:val="1"/>
                <w:bCs w:val="1"/>
                <w:color w:val="FFFFFF"/>
                <w:vertAlign w:val="subscript"/>
              </w:rPr>
              <w:t>(#)</w:t>
            </w:r>
            <w:r>
              <w:rPr>
                <w:rFonts w:ascii="Arial" w:cs="Arial" w:eastAsia="Arial" w:hAnsi="Arial"/>
                <w:sz w:val="7"/>
                <w:szCs w:val="7"/>
                <w:b w:val="1"/>
                <w:bCs w:val="1"/>
                <w:color w:val="FFFFFF"/>
              </w:rPr>
              <w:t>(3)</w:t>
            </w:r>
          </w:p>
        </w:tc>
        <w:tc>
          <w:tcPr>
            <w:tcW w:w="700" w:type="dxa"/>
            <w:vAlign w:val="bottom"/>
            <w:shd w:val="clear" w:color="auto" w:fill="444444"/>
          </w:tcPr>
          <w:p>
            <w:pPr>
              <w:jc w:val="right"/>
              <w:ind w:right="17"/>
              <w:spacing w:after="0"/>
              <w:rPr>
                <w:sz w:val="20"/>
                <w:szCs w:val="20"/>
                <w:color w:val="auto"/>
              </w:rPr>
            </w:pPr>
            <w:r>
              <w:rPr>
                <w:rFonts w:ascii="Arial" w:cs="Arial" w:eastAsia="Arial" w:hAnsi="Arial"/>
                <w:sz w:val="11"/>
                <w:szCs w:val="11"/>
                <w:b w:val="1"/>
                <w:bCs w:val="1"/>
                <w:color w:val="FFFFFF"/>
              </w:rPr>
              <w:t>(#)</w:t>
            </w:r>
          </w:p>
        </w:tc>
        <w:tc>
          <w:tcPr>
            <w:tcW w:w="560" w:type="dxa"/>
            <w:vAlign w:val="bottom"/>
            <w:shd w:val="clear" w:color="auto" w:fill="444444"/>
          </w:tcPr>
          <w:p>
            <w:pPr>
              <w:jc w:val="right"/>
              <w:spacing w:after="0"/>
              <w:rPr>
                <w:sz w:val="20"/>
                <w:szCs w:val="20"/>
                <w:color w:val="auto"/>
              </w:rPr>
            </w:pPr>
            <w:r>
              <w:rPr>
                <w:rFonts w:ascii="Arial" w:cs="Arial" w:eastAsia="Arial" w:hAnsi="Arial"/>
                <w:sz w:val="11"/>
                <w:szCs w:val="11"/>
                <w:b w:val="1"/>
                <w:bCs w:val="1"/>
                <w:color w:val="FFFFFF"/>
              </w:rPr>
              <w:t>($/Sh)</w:t>
            </w:r>
          </w:p>
        </w:tc>
        <w:tc>
          <w:tcPr>
            <w:tcW w:w="780" w:type="dxa"/>
            <w:vAlign w:val="bottom"/>
            <w:shd w:val="clear" w:color="auto" w:fill="444444"/>
          </w:tcPr>
          <w:p>
            <w:pPr>
              <w:jc w:val="right"/>
              <w:ind w:right="37"/>
              <w:spacing w:after="0" w:line="149" w:lineRule="exact"/>
              <w:rPr>
                <w:sz w:val="20"/>
                <w:szCs w:val="20"/>
                <w:color w:val="auto"/>
              </w:rPr>
            </w:pPr>
            <w:r>
              <w:rPr>
                <w:rFonts w:ascii="Arial" w:cs="Arial" w:eastAsia="Arial" w:hAnsi="Arial"/>
                <w:sz w:val="17"/>
                <w:szCs w:val="17"/>
                <w:b w:val="1"/>
                <w:bCs w:val="1"/>
                <w:color w:val="FFFFFF"/>
                <w:vertAlign w:val="subscript"/>
              </w:rPr>
              <w:t>($)</w:t>
            </w:r>
            <w:r>
              <w:rPr>
                <w:rFonts w:ascii="Arial" w:cs="Arial" w:eastAsia="Arial" w:hAnsi="Arial"/>
                <w:sz w:val="7"/>
                <w:szCs w:val="7"/>
                <w:b w:val="1"/>
                <w:bCs w:val="1"/>
                <w:color w:val="FFFFFF"/>
              </w:rPr>
              <w:t>(4)</w:t>
            </w:r>
          </w:p>
        </w:tc>
      </w:tr>
      <w:tr>
        <w:trPr>
          <w:trHeight w:val="148"/>
        </w:trPr>
        <w:tc>
          <w:tcPr>
            <w:tcW w:w="2060" w:type="dxa"/>
            <w:vAlign w:val="bottom"/>
          </w:tcPr>
          <w:p>
            <w:pPr>
              <w:ind w:left="60"/>
              <w:spacing w:after="0" w:line="148" w:lineRule="exact"/>
              <w:rPr>
                <w:sz w:val="20"/>
                <w:szCs w:val="20"/>
                <w:color w:val="auto"/>
              </w:rPr>
            </w:pPr>
            <w:r>
              <w:rPr>
                <w:rFonts w:ascii="Arial" w:cs="Arial" w:eastAsia="Arial" w:hAnsi="Arial"/>
                <w:sz w:val="13"/>
                <w:szCs w:val="13"/>
                <w:color w:val="auto"/>
              </w:rPr>
              <w:t>Michael Goettler</w:t>
            </w: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jc w:val="right"/>
              <w:ind w:right="35"/>
              <w:spacing w:after="0" w:line="148" w:lineRule="exact"/>
              <w:rPr>
                <w:sz w:val="20"/>
                <w:szCs w:val="20"/>
                <w:color w:val="auto"/>
              </w:rPr>
            </w:pPr>
            <w:r>
              <w:rPr>
                <w:rFonts w:ascii="Arial" w:cs="Arial" w:eastAsia="Arial" w:hAnsi="Arial"/>
                <w:sz w:val="13"/>
                <w:szCs w:val="13"/>
                <w:color w:val="auto"/>
              </w:rPr>
              <w:t>975,000</w:t>
            </w:r>
          </w:p>
        </w:tc>
        <w:tc>
          <w:tcPr>
            <w:tcW w:w="780" w:type="dxa"/>
            <w:vAlign w:val="bottom"/>
          </w:tcPr>
          <w:p>
            <w:pPr>
              <w:jc w:val="right"/>
              <w:ind w:right="14"/>
              <w:spacing w:after="0" w:line="148" w:lineRule="exact"/>
              <w:rPr>
                <w:sz w:val="20"/>
                <w:szCs w:val="20"/>
                <w:color w:val="auto"/>
              </w:rPr>
            </w:pPr>
            <w:r>
              <w:rPr>
                <w:rFonts w:ascii="Arial" w:cs="Arial" w:eastAsia="Arial" w:hAnsi="Arial"/>
                <w:sz w:val="13"/>
                <w:szCs w:val="13"/>
                <w:color w:val="auto"/>
              </w:rPr>
              <w:t>1,950,000</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3,900,000</w:t>
            </w:r>
          </w:p>
        </w:tc>
        <w:tc>
          <w:tcPr>
            <w:tcW w:w="420" w:type="dxa"/>
            <w:vAlign w:val="bottom"/>
          </w:tcPr>
          <w:p>
            <w:pPr>
              <w:spacing w:after="0"/>
              <w:rPr>
                <w:sz w:val="12"/>
                <w:szCs w:val="12"/>
                <w:color w:val="auto"/>
              </w:rPr>
            </w:pPr>
          </w:p>
        </w:tc>
        <w:tc>
          <w:tcPr>
            <w:tcW w:w="740" w:type="dxa"/>
            <w:vAlign w:val="bottom"/>
          </w:tcPr>
          <w:p>
            <w:pPr>
              <w:jc w:val="right"/>
              <w:ind w:right="36"/>
              <w:spacing w:after="0" w:line="148"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4"/>
              <w:spacing w:after="0" w:line="14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8"/>
              <w:spacing w:after="0" w:line="148"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w:t>
            </w:r>
          </w:p>
        </w:tc>
      </w:tr>
      <w:tr>
        <w:trPr>
          <w:trHeight w:val="148"/>
        </w:trPr>
        <w:tc>
          <w:tcPr>
            <w:tcW w:w="2060" w:type="dxa"/>
            <w:vAlign w:val="bottom"/>
          </w:tcPr>
          <w:p>
            <w:pPr>
              <w:spacing w:after="0"/>
              <w:rPr>
                <w:sz w:val="12"/>
                <w:szCs w:val="12"/>
                <w:color w:val="auto"/>
              </w:rPr>
            </w:pPr>
          </w:p>
        </w:tc>
        <w:tc>
          <w:tcPr>
            <w:tcW w:w="760" w:type="dxa"/>
            <w:vAlign w:val="bottom"/>
          </w:tcPr>
          <w:p>
            <w:pPr>
              <w:jc w:val="right"/>
              <w:ind w:right="35"/>
              <w:spacing w:after="0"/>
              <w:rPr>
                <w:sz w:val="20"/>
                <w:szCs w:val="20"/>
                <w:color w:val="auto"/>
              </w:rPr>
            </w:pPr>
            <w:r>
              <w:rPr>
                <w:rFonts w:ascii="Arial" w:cs="Arial" w:eastAsia="Arial" w:hAnsi="Arial"/>
                <w:sz w:val="13"/>
                <w:szCs w:val="13"/>
                <w:color w:val="auto"/>
              </w:rPr>
              <w:t>3/2/2021</w:t>
            </w:r>
          </w:p>
        </w:tc>
        <w:tc>
          <w:tcPr>
            <w:tcW w:w="640" w:type="dxa"/>
            <w:vAlign w:val="bottom"/>
          </w:tcPr>
          <w:p>
            <w:pPr>
              <w:jc w:val="right"/>
              <w:spacing w:after="0"/>
              <w:rPr>
                <w:sz w:val="20"/>
                <w:szCs w:val="20"/>
                <w:color w:val="auto"/>
              </w:rPr>
            </w:pPr>
            <w:r>
              <w:rPr>
                <w:rFonts w:ascii="Arial" w:cs="Arial" w:eastAsia="Arial" w:hAnsi="Arial"/>
                <w:sz w:val="13"/>
                <w:szCs w:val="13"/>
                <w:color w:val="auto"/>
              </w:rPr>
              <w:t>3/2/2021</w:t>
            </w:r>
          </w:p>
        </w:tc>
        <w:tc>
          <w:tcPr>
            <w:tcW w:w="8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36"/>
              <w:spacing w:after="0"/>
              <w:rPr>
                <w:sz w:val="20"/>
                <w:szCs w:val="20"/>
                <w:color w:val="auto"/>
              </w:rPr>
            </w:pPr>
            <w:r>
              <w:rPr>
                <w:rFonts w:ascii="Arial" w:cs="Arial" w:eastAsia="Arial" w:hAnsi="Arial"/>
                <w:sz w:val="13"/>
                <w:szCs w:val="13"/>
                <w:color w:val="auto"/>
              </w:rPr>
              <w:t>133,731</w:t>
            </w: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382,086</w:t>
            </w:r>
          </w:p>
        </w:tc>
        <w:tc>
          <w:tcPr>
            <w:tcW w:w="640" w:type="dxa"/>
            <w:vAlign w:val="bottom"/>
          </w:tcPr>
          <w:p>
            <w:pPr>
              <w:jc w:val="right"/>
              <w:spacing w:after="0"/>
              <w:rPr>
                <w:sz w:val="20"/>
                <w:szCs w:val="20"/>
                <w:color w:val="auto"/>
              </w:rPr>
            </w:pPr>
            <w:r>
              <w:rPr>
                <w:rFonts w:ascii="Arial" w:cs="Arial" w:eastAsia="Arial" w:hAnsi="Arial"/>
                <w:sz w:val="13"/>
                <w:szCs w:val="13"/>
                <w:color w:val="auto"/>
              </w:rPr>
              <w:t>745,068</w:t>
            </w: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5,460,009</w:t>
            </w:r>
          </w:p>
        </w:tc>
      </w:tr>
      <w:tr>
        <w:trPr>
          <w:trHeight w:val="149"/>
        </w:trPr>
        <w:tc>
          <w:tcPr>
            <w:tcW w:w="2060" w:type="dxa"/>
            <w:vAlign w:val="bottom"/>
          </w:tcPr>
          <w:p>
            <w:pPr>
              <w:spacing w:after="0"/>
              <w:rPr>
                <w:sz w:val="12"/>
                <w:szCs w:val="12"/>
                <w:color w:val="auto"/>
              </w:rPr>
            </w:pPr>
          </w:p>
        </w:tc>
        <w:tc>
          <w:tcPr>
            <w:tcW w:w="760" w:type="dxa"/>
            <w:vAlign w:val="bottom"/>
          </w:tcPr>
          <w:p>
            <w:pPr>
              <w:jc w:val="right"/>
              <w:ind w:right="35"/>
              <w:spacing w:after="0"/>
              <w:rPr>
                <w:sz w:val="20"/>
                <w:szCs w:val="20"/>
                <w:color w:val="auto"/>
              </w:rPr>
            </w:pPr>
            <w:r>
              <w:rPr>
                <w:rFonts w:ascii="Arial" w:cs="Arial" w:eastAsia="Arial" w:hAnsi="Arial"/>
                <w:sz w:val="13"/>
                <w:szCs w:val="13"/>
                <w:color w:val="auto"/>
              </w:rPr>
              <w:t>3/2/2021</w:t>
            </w:r>
          </w:p>
        </w:tc>
        <w:tc>
          <w:tcPr>
            <w:tcW w:w="640" w:type="dxa"/>
            <w:vAlign w:val="bottom"/>
          </w:tcPr>
          <w:p>
            <w:pPr>
              <w:jc w:val="right"/>
              <w:spacing w:after="0"/>
              <w:rPr>
                <w:sz w:val="20"/>
                <w:szCs w:val="20"/>
                <w:color w:val="auto"/>
              </w:rPr>
            </w:pPr>
            <w:r>
              <w:rPr>
                <w:rFonts w:ascii="Arial" w:cs="Arial" w:eastAsia="Arial" w:hAnsi="Arial"/>
                <w:sz w:val="13"/>
                <w:szCs w:val="13"/>
                <w:color w:val="auto"/>
              </w:rPr>
              <w:t>3/2/2021</w:t>
            </w:r>
          </w:p>
        </w:tc>
        <w:tc>
          <w:tcPr>
            <w:tcW w:w="8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2"/>
                <w:szCs w:val="12"/>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254,724</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3,640,006</w:t>
            </w:r>
          </w:p>
        </w:tc>
      </w:tr>
      <w:tr>
        <w:trPr>
          <w:trHeight w:val="148"/>
        </w:trPr>
        <w:tc>
          <w:tcPr>
            <w:tcW w:w="2060" w:type="dxa"/>
            <w:vAlign w:val="bottom"/>
            <w:shd w:val="clear" w:color="auto" w:fill="EAEAEA"/>
          </w:tcPr>
          <w:p>
            <w:pPr>
              <w:ind w:left="60"/>
              <w:spacing w:after="0" w:line="148" w:lineRule="exact"/>
              <w:rPr>
                <w:sz w:val="20"/>
                <w:szCs w:val="20"/>
                <w:color w:val="auto"/>
              </w:rPr>
            </w:pPr>
            <w:r>
              <w:rPr>
                <w:rFonts w:ascii="Arial" w:cs="Arial" w:eastAsia="Arial" w:hAnsi="Arial"/>
                <w:sz w:val="13"/>
                <w:szCs w:val="13"/>
                <w:color w:val="auto"/>
              </w:rPr>
              <w:t>Sanjeev Narula</w:t>
            </w:r>
          </w:p>
        </w:tc>
        <w:tc>
          <w:tcPr>
            <w:tcW w:w="760" w:type="dxa"/>
            <w:vAlign w:val="bottom"/>
            <w:shd w:val="clear" w:color="auto" w:fill="EAEAEA"/>
          </w:tcPr>
          <w:p>
            <w:pPr>
              <w:spacing w:after="0"/>
              <w:rPr>
                <w:sz w:val="12"/>
                <w:szCs w:val="12"/>
                <w:color w:val="auto"/>
              </w:rPr>
            </w:pPr>
          </w:p>
        </w:tc>
        <w:tc>
          <w:tcPr>
            <w:tcW w:w="640" w:type="dxa"/>
            <w:vAlign w:val="bottom"/>
            <w:shd w:val="clear" w:color="auto" w:fill="EAEAEA"/>
          </w:tcPr>
          <w:p>
            <w:pPr>
              <w:spacing w:after="0"/>
              <w:rPr>
                <w:sz w:val="12"/>
                <w:szCs w:val="12"/>
                <w:color w:val="auto"/>
              </w:rPr>
            </w:pPr>
          </w:p>
        </w:tc>
        <w:tc>
          <w:tcPr>
            <w:tcW w:w="840" w:type="dxa"/>
            <w:vAlign w:val="bottom"/>
            <w:shd w:val="clear" w:color="auto" w:fill="EAEAEA"/>
          </w:tcPr>
          <w:p>
            <w:pPr>
              <w:jc w:val="right"/>
              <w:ind w:right="35"/>
              <w:spacing w:after="0" w:line="148" w:lineRule="exact"/>
              <w:rPr>
                <w:sz w:val="20"/>
                <w:szCs w:val="20"/>
                <w:color w:val="auto"/>
              </w:rPr>
            </w:pPr>
            <w:r>
              <w:rPr>
                <w:rFonts w:ascii="Arial" w:cs="Arial" w:eastAsia="Arial" w:hAnsi="Arial"/>
                <w:sz w:val="13"/>
                <w:szCs w:val="13"/>
                <w:color w:val="auto"/>
              </w:rPr>
              <w:t>400,000</w:t>
            </w:r>
          </w:p>
        </w:tc>
        <w:tc>
          <w:tcPr>
            <w:tcW w:w="780" w:type="dxa"/>
            <w:vAlign w:val="bottom"/>
            <w:shd w:val="clear" w:color="auto" w:fill="EAEAEA"/>
          </w:tcPr>
          <w:p>
            <w:pPr>
              <w:jc w:val="right"/>
              <w:ind w:right="14"/>
              <w:spacing w:after="0" w:line="148" w:lineRule="exact"/>
              <w:rPr>
                <w:sz w:val="20"/>
                <w:szCs w:val="20"/>
                <w:color w:val="auto"/>
              </w:rPr>
            </w:pPr>
            <w:r>
              <w:rPr>
                <w:rFonts w:ascii="Arial" w:cs="Arial" w:eastAsia="Arial" w:hAnsi="Arial"/>
                <w:sz w:val="13"/>
                <w:szCs w:val="13"/>
                <w:color w:val="auto"/>
              </w:rPr>
              <w:t>800,000</w:t>
            </w:r>
          </w:p>
        </w:tc>
        <w:tc>
          <w:tcPr>
            <w:tcW w:w="740" w:type="dxa"/>
            <w:vAlign w:val="bottom"/>
            <w:shd w:val="clear" w:color="auto" w:fill="EAEAEA"/>
          </w:tcPr>
          <w:p>
            <w:pPr>
              <w:jc w:val="right"/>
              <w:spacing w:after="0" w:line="148" w:lineRule="exact"/>
              <w:rPr>
                <w:sz w:val="20"/>
                <w:szCs w:val="20"/>
                <w:color w:val="auto"/>
              </w:rPr>
            </w:pPr>
            <w:r>
              <w:rPr>
                <w:rFonts w:ascii="Arial" w:cs="Arial" w:eastAsia="Arial" w:hAnsi="Arial"/>
                <w:sz w:val="13"/>
                <w:szCs w:val="13"/>
                <w:color w:val="auto"/>
              </w:rPr>
              <w:t>1,600,000</w:t>
            </w:r>
          </w:p>
        </w:tc>
        <w:tc>
          <w:tcPr>
            <w:tcW w:w="420" w:type="dxa"/>
            <w:vAlign w:val="bottom"/>
          </w:tcPr>
          <w:p>
            <w:pPr>
              <w:spacing w:after="0"/>
              <w:rPr>
                <w:sz w:val="12"/>
                <w:szCs w:val="12"/>
                <w:color w:val="auto"/>
              </w:rPr>
            </w:pPr>
          </w:p>
        </w:tc>
        <w:tc>
          <w:tcPr>
            <w:tcW w:w="740" w:type="dxa"/>
            <w:vAlign w:val="bottom"/>
            <w:shd w:val="clear" w:color="auto" w:fill="EAEAEA"/>
          </w:tcPr>
          <w:p>
            <w:pPr>
              <w:jc w:val="right"/>
              <w:ind w:right="36"/>
              <w:spacing w:after="0" w:line="148" w:lineRule="exact"/>
              <w:rPr>
                <w:sz w:val="20"/>
                <w:szCs w:val="20"/>
                <w:color w:val="auto"/>
              </w:rPr>
            </w:pPr>
            <w:r>
              <w:rPr>
                <w:rFonts w:ascii="Arial" w:cs="Arial" w:eastAsia="Arial" w:hAnsi="Arial"/>
                <w:sz w:val="13"/>
                <w:szCs w:val="13"/>
                <w:color w:val="auto"/>
              </w:rPr>
              <w:t>—</w:t>
            </w:r>
          </w:p>
        </w:tc>
        <w:tc>
          <w:tcPr>
            <w:tcW w:w="660" w:type="dxa"/>
            <w:vAlign w:val="bottom"/>
            <w:shd w:val="clear" w:color="auto" w:fill="EAEAEA"/>
          </w:tcPr>
          <w:p>
            <w:pPr>
              <w:jc w:val="right"/>
              <w:ind w:right="14"/>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EAEAEA"/>
          </w:tcPr>
          <w:p>
            <w:pPr>
              <w:jc w:val="right"/>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ind w:right="18"/>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EAEAEA"/>
          </w:tcPr>
          <w:p>
            <w:pPr>
              <w:jc w:val="right"/>
              <w:spacing w:after="0" w:line="148" w:lineRule="exact"/>
              <w:rPr>
                <w:sz w:val="20"/>
                <w:szCs w:val="20"/>
                <w:color w:val="auto"/>
              </w:rPr>
            </w:pPr>
            <w:r>
              <w:rPr>
                <w:rFonts w:ascii="Arial" w:cs="Arial" w:eastAsia="Arial" w:hAnsi="Arial"/>
                <w:sz w:val="13"/>
                <w:szCs w:val="13"/>
                <w:color w:val="auto"/>
              </w:rPr>
              <w:t>—</w:t>
            </w:r>
          </w:p>
        </w:tc>
        <w:tc>
          <w:tcPr>
            <w:tcW w:w="780" w:type="dxa"/>
            <w:vAlign w:val="bottom"/>
            <w:shd w:val="clear" w:color="auto" w:fill="EAEAEA"/>
          </w:tcPr>
          <w:p>
            <w:pPr>
              <w:jc w:val="right"/>
              <w:ind w:right="37"/>
              <w:spacing w:after="0" w:line="148" w:lineRule="exact"/>
              <w:rPr>
                <w:sz w:val="20"/>
                <w:szCs w:val="20"/>
                <w:color w:val="auto"/>
              </w:rPr>
            </w:pPr>
            <w:r>
              <w:rPr>
                <w:rFonts w:ascii="Arial" w:cs="Arial" w:eastAsia="Arial" w:hAnsi="Arial"/>
                <w:sz w:val="13"/>
                <w:szCs w:val="13"/>
                <w:color w:val="auto"/>
              </w:rPr>
              <w:t>—</w:t>
            </w:r>
          </w:p>
        </w:tc>
      </w:tr>
      <w:tr>
        <w:trPr>
          <w:trHeight w:val="149"/>
        </w:trPr>
        <w:tc>
          <w:tcPr>
            <w:tcW w:w="2060" w:type="dxa"/>
            <w:vAlign w:val="bottom"/>
            <w:shd w:val="clear" w:color="auto" w:fill="EAEAEA"/>
          </w:tcPr>
          <w:p>
            <w:pPr>
              <w:spacing w:after="0"/>
              <w:rPr>
                <w:sz w:val="12"/>
                <w:szCs w:val="12"/>
                <w:color w:val="auto"/>
              </w:rPr>
            </w:pPr>
          </w:p>
        </w:tc>
        <w:tc>
          <w:tcPr>
            <w:tcW w:w="760" w:type="dxa"/>
            <w:vAlign w:val="bottom"/>
            <w:shd w:val="clear" w:color="auto" w:fill="EAEAEA"/>
          </w:tcPr>
          <w:p>
            <w:pPr>
              <w:jc w:val="right"/>
              <w:ind w:right="35"/>
              <w:spacing w:after="0"/>
              <w:rPr>
                <w:sz w:val="20"/>
                <w:szCs w:val="20"/>
                <w:color w:val="auto"/>
              </w:rPr>
            </w:pPr>
            <w:r>
              <w:rPr>
                <w:rFonts w:ascii="Arial" w:cs="Arial" w:eastAsia="Arial" w:hAnsi="Arial"/>
                <w:sz w:val="13"/>
                <w:szCs w:val="13"/>
                <w:color w:val="auto"/>
              </w:rPr>
              <w:t>3/2/2021</w:t>
            </w:r>
          </w:p>
        </w:tc>
        <w:tc>
          <w:tcPr>
            <w:tcW w:w="6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3/2/2021</w:t>
            </w:r>
          </w:p>
        </w:tc>
        <w:tc>
          <w:tcPr>
            <w:tcW w:w="840" w:type="dxa"/>
            <w:vAlign w:val="bottom"/>
            <w:shd w:val="clear" w:color="auto" w:fill="EAEAEA"/>
          </w:tcPr>
          <w:p>
            <w:pPr>
              <w:jc w:val="right"/>
              <w:ind w:right="35"/>
              <w:spacing w:after="0"/>
              <w:rPr>
                <w:sz w:val="20"/>
                <w:szCs w:val="20"/>
                <w:color w:val="auto"/>
              </w:rPr>
            </w:pPr>
            <w:r>
              <w:rPr>
                <w:rFonts w:ascii="Arial" w:cs="Arial" w:eastAsia="Arial" w:hAnsi="Arial"/>
                <w:sz w:val="13"/>
                <w:szCs w:val="13"/>
                <w:color w:val="auto"/>
              </w:rPr>
              <w:t>—</w:t>
            </w:r>
          </w:p>
        </w:tc>
        <w:tc>
          <w:tcPr>
            <w:tcW w:w="780" w:type="dxa"/>
            <w:vAlign w:val="bottom"/>
            <w:shd w:val="clear" w:color="auto" w:fill="EAEAEA"/>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2"/>
                <w:szCs w:val="12"/>
                <w:color w:val="auto"/>
              </w:rPr>
            </w:pPr>
          </w:p>
        </w:tc>
        <w:tc>
          <w:tcPr>
            <w:tcW w:w="740" w:type="dxa"/>
            <w:vAlign w:val="bottom"/>
            <w:shd w:val="clear" w:color="auto" w:fill="EAEAEA"/>
          </w:tcPr>
          <w:p>
            <w:pPr>
              <w:jc w:val="right"/>
              <w:ind w:right="36"/>
              <w:spacing w:after="0"/>
              <w:rPr>
                <w:sz w:val="20"/>
                <w:szCs w:val="20"/>
                <w:color w:val="auto"/>
              </w:rPr>
            </w:pPr>
            <w:r>
              <w:rPr>
                <w:rFonts w:ascii="Arial" w:cs="Arial" w:eastAsia="Arial" w:hAnsi="Arial"/>
                <w:sz w:val="13"/>
                <w:szCs w:val="13"/>
                <w:color w:val="auto"/>
              </w:rPr>
              <w:t>41,148</w:t>
            </w:r>
          </w:p>
        </w:tc>
        <w:tc>
          <w:tcPr>
            <w:tcW w:w="660" w:type="dxa"/>
            <w:vAlign w:val="bottom"/>
            <w:shd w:val="clear" w:color="auto" w:fill="EAEAEA"/>
          </w:tcPr>
          <w:p>
            <w:pPr>
              <w:jc w:val="right"/>
              <w:ind w:right="14"/>
              <w:spacing w:after="0"/>
              <w:rPr>
                <w:sz w:val="20"/>
                <w:szCs w:val="20"/>
                <w:color w:val="auto"/>
              </w:rPr>
            </w:pPr>
            <w:r>
              <w:rPr>
                <w:rFonts w:ascii="Arial" w:cs="Arial" w:eastAsia="Arial" w:hAnsi="Arial"/>
                <w:sz w:val="13"/>
                <w:szCs w:val="13"/>
                <w:color w:val="auto"/>
              </w:rPr>
              <w:t>117,565</w:t>
            </w:r>
          </w:p>
        </w:tc>
        <w:tc>
          <w:tcPr>
            <w:tcW w:w="6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229,252</w:t>
            </w:r>
          </w:p>
        </w:tc>
        <w:tc>
          <w:tcPr>
            <w:tcW w:w="700" w:type="dxa"/>
            <w:vAlign w:val="bottom"/>
            <w:shd w:val="clear" w:color="auto" w:fill="EAEAEA"/>
          </w:tcPr>
          <w:p>
            <w:pPr>
              <w:jc w:val="right"/>
              <w:ind w:right="18"/>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1,680,004</w:t>
            </w:r>
          </w:p>
        </w:tc>
      </w:tr>
      <w:tr>
        <w:trPr>
          <w:trHeight w:val="149"/>
        </w:trPr>
        <w:tc>
          <w:tcPr>
            <w:tcW w:w="2060" w:type="dxa"/>
            <w:vAlign w:val="bottom"/>
            <w:shd w:val="clear" w:color="auto" w:fill="EAEAEA"/>
          </w:tcPr>
          <w:p>
            <w:pPr>
              <w:spacing w:after="0"/>
              <w:rPr>
                <w:sz w:val="12"/>
                <w:szCs w:val="12"/>
                <w:color w:val="auto"/>
              </w:rPr>
            </w:pPr>
          </w:p>
        </w:tc>
        <w:tc>
          <w:tcPr>
            <w:tcW w:w="760" w:type="dxa"/>
            <w:vAlign w:val="bottom"/>
            <w:shd w:val="clear" w:color="auto" w:fill="EAEAEA"/>
          </w:tcPr>
          <w:p>
            <w:pPr>
              <w:jc w:val="right"/>
              <w:ind w:right="35"/>
              <w:spacing w:after="0"/>
              <w:rPr>
                <w:sz w:val="20"/>
                <w:szCs w:val="20"/>
                <w:color w:val="auto"/>
              </w:rPr>
            </w:pPr>
            <w:r>
              <w:rPr>
                <w:rFonts w:ascii="Arial" w:cs="Arial" w:eastAsia="Arial" w:hAnsi="Arial"/>
                <w:sz w:val="13"/>
                <w:szCs w:val="13"/>
                <w:color w:val="auto"/>
              </w:rPr>
              <w:t>3/2/2021</w:t>
            </w:r>
          </w:p>
        </w:tc>
        <w:tc>
          <w:tcPr>
            <w:tcW w:w="6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3/2/2021</w:t>
            </w:r>
          </w:p>
        </w:tc>
        <w:tc>
          <w:tcPr>
            <w:tcW w:w="840" w:type="dxa"/>
            <w:vAlign w:val="bottom"/>
            <w:shd w:val="clear" w:color="auto" w:fill="EAEAEA"/>
          </w:tcPr>
          <w:p>
            <w:pPr>
              <w:jc w:val="right"/>
              <w:ind w:right="35"/>
              <w:spacing w:after="0"/>
              <w:rPr>
                <w:sz w:val="20"/>
                <w:szCs w:val="20"/>
                <w:color w:val="auto"/>
              </w:rPr>
            </w:pPr>
            <w:r>
              <w:rPr>
                <w:rFonts w:ascii="Arial" w:cs="Arial" w:eastAsia="Arial" w:hAnsi="Arial"/>
                <w:sz w:val="13"/>
                <w:szCs w:val="13"/>
                <w:color w:val="auto"/>
              </w:rPr>
              <w:t>—</w:t>
            </w:r>
          </w:p>
        </w:tc>
        <w:tc>
          <w:tcPr>
            <w:tcW w:w="780" w:type="dxa"/>
            <w:vAlign w:val="bottom"/>
            <w:shd w:val="clear" w:color="auto" w:fill="EAEAEA"/>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2"/>
                <w:szCs w:val="12"/>
                <w:color w:val="auto"/>
              </w:rPr>
            </w:pPr>
          </w:p>
        </w:tc>
        <w:tc>
          <w:tcPr>
            <w:tcW w:w="740" w:type="dxa"/>
            <w:vAlign w:val="bottom"/>
            <w:shd w:val="clear" w:color="auto" w:fill="EAEAEA"/>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shd w:val="clear" w:color="auto" w:fill="EAEAEA"/>
          </w:tcPr>
          <w:p>
            <w:pPr>
              <w:jc w:val="right"/>
              <w:ind w:right="14"/>
              <w:spacing w:after="0"/>
              <w:rPr>
                <w:sz w:val="20"/>
                <w:szCs w:val="20"/>
                <w:color w:val="auto"/>
              </w:rPr>
            </w:pPr>
            <w:r>
              <w:rPr>
                <w:rFonts w:ascii="Arial" w:cs="Arial" w:eastAsia="Arial" w:hAnsi="Arial"/>
                <w:sz w:val="13"/>
                <w:szCs w:val="13"/>
                <w:color w:val="auto"/>
              </w:rPr>
              <w:t>—</w:t>
            </w:r>
          </w:p>
        </w:tc>
        <w:tc>
          <w:tcPr>
            <w:tcW w:w="6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ind w:right="18"/>
              <w:spacing w:after="0"/>
              <w:rPr>
                <w:sz w:val="20"/>
                <w:szCs w:val="20"/>
                <w:color w:val="auto"/>
              </w:rPr>
            </w:pPr>
            <w:r>
              <w:rPr>
                <w:rFonts w:ascii="Arial" w:cs="Arial" w:eastAsia="Arial" w:hAnsi="Arial"/>
                <w:sz w:val="13"/>
                <w:szCs w:val="13"/>
                <w:color w:val="auto"/>
              </w:rPr>
              <w:t>78,377</w:t>
            </w:r>
          </w:p>
        </w:tc>
        <w:tc>
          <w:tcPr>
            <w:tcW w:w="700" w:type="dxa"/>
            <w:vAlign w:val="bottom"/>
            <w:shd w:val="clear" w:color="auto" w:fill="EAEAEA"/>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1,120,007</w:t>
            </w:r>
          </w:p>
        </w:tc>
      </w:tr>
      <w:tr>
        <w:trPr>
          <w:trHeight w:val="148"/>
        </w:trPr>
        <w:tc>
          <w:tcPr>
            <w:tcW w:w="2060" w:type="dxa"/>
            <w:vAlign w:val="bottom"/>
          </w:tcPr>
          <w:p>
            <w:pPr>
              <w:ind w:left="60"/>
              <w:spacing w:after="0" w:line="148" w:lineRule="exact"/>
              <w:rPr>
                <w:sz w:val="20"/>
                <w:szCs w:val="20"/>
                <w:color w:val="auto"/>
              </w:rPr>
            </w:pPr>
            <w:r>
              <w:rPr>
                <w:rFonts w:ascii="Arial" w:cs="Arial" w:eastAsia="Arial" w:hAnsi="Arial"/>
                <w:sz w:val="13"/>
                <w:szCs w:val="13"/>
                <w:color w:val="auto"/>
              </w:rPr>
              <w:t>Rajiv</w:t>
            </w: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jc w:val="right"/>
              <w:ind w:right="35"/>
              <w:spacing w:after="0" w:line="148" w:lineRule="exact"/>
              <w:rPr>
                <w:sz w:val="20"/>
                <w:szCs w:val="20"/>
                <w:color w:val="auto"/>
              </w:rPr>
            </w:pPr>
            <w:r>
              <w:rPr>
                <w:rFonts w:ascii="Arial" w:cs="Arial" w:eastAsia="Arial" w:hAnsi="Arial"/>
                <w:sz w:val="13"/>
                <w:szCs w:val="13"/>
                <w:color w:val="auto"/>
              </w:rPr>
              <w:t>750,000</w:t>
            </w:r>
          </w:p>
        </w:tc>
        <w:tc>
          <w:tcPr>
            <w:tcW w:w="780" w:type="dxa"/>
            <w:vAlign w:val="bottom"/>
          </w:tcPr>
          <w:p>
            <w:pPr>
              <w:jc w:val="right"/>
              <w:ind w:right="14"/>
              <w:spacing w:after="0" w:line="148" w:lineRule="exact"/>
              <w:rPr>
                <w:sz w:val="20"/>
                <w:szCs w:val="20"/>
                <w:color w:val="auto"/>
              </w:rPr>
            </w:pPr>
            <w:r>
              <w:rPr>
                <w:rFonts w:ascii="Arial" w:cs="Arial" w:eastAsia="Arial" w:hAnsi="Arial"/>
                <w:sz w:val="13"/>
                <w:szCs w:val="13"/>
                <w:color w:val="auto"/>
              </w:rPr>
              <w:t>1,500,000</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3,000,000</w:t>
            </w:r>
          </w:p>
        </w:tc>
        <w:tc>
          <w:tcPr>
            <w:tcW w:w="420" w:type="dxa"/>
            <w:vAlign w:val="bottom"/>
          </w:tcPr>
          <w:p>
            <w:pPr>
              <w:spacing w:after="0"/>
              <w:rPr>
                <w:sz w:val="12"/>
                <w:szCs w:val="12"/>
                <w:color w:val="auto"/>
              </w:rPr>
            </w:pPr>
          </w:p>
        </w:tc>
        <w:tc>
          <w:tcPr>
            <w:tcW w:w="740" w:type="dxa"/>
            <w:vAlign w:val="bottom"/>
          </w:tcPr>
          <w:p>
            <w:pPr>
              <w:jc w:val="right"/>
              <w:ind w:right="36"/>
              <w:spacing w:after="0" w:line="148"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4"/>
              <w:spacing w:after="0" w:line="14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8"/>
              <w:spacing w:after="0" w:line="148"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w:t>
            </w:r>
          </w:p>
        </w:tc>
      </w:tr>
      <w:tr>
        <w:trPr>
          <w:trHeight w:val="162"/>
        </w:trPr>
        <w:tc>
          <w:tcPr>
            <w:tcW w:w="2060" w:type="dxa"/>
            <w:vAlign w:val="bottom"/>
          </w:tcPr>
          <w:p>
            <w:pPr>
              <w:ind w:left="60"/>
              <w:spacing w:after="0"/>
              <w:rPr>
                <w:sz w:val="20"/>
                <w:szCs w:val="20"/>
                <w:color w:val="auto"/>
              </w:rPr>
            </w:pPr>
            <w:r>
              <w:rPr>
                <w:rFonts w:ascii="Arial" w:cs="Arial" w:eastAsia="Arial" w:hAnsi="Arial"/>
                <w:sz w:val="13"/>
                <w:szCs w:val="13"/>
                <w:color w:val="auto"/>
              </w:rPr>
              <w:t>Malik</w:t>
            </w:r>
          </w:p>
        </w:tc>
        <w:tc>
          <w:tcPr>
            <w:tcW w:w="760" w:type="dxa"/>
            <w:vAlign w:val="bottom"/>
          </w:tcPr>
          <w:p>
            <w:pPr>
              <w:jc w:val="right"/>
              <w:ind w:right="35"/>
              <w:spacing w:after="0"/>
              <w:rPr>
                <w:sz w:val="20"/>
                <w:szCs w:val="20"/>
                <w:color w:val="auto"/>
              </w:rPr>
            </w:pPr>
            <w:r>
              <w:rPr>
                <w:rFonts w:ascii="Arial" w:cs="Arial" w:eastAsia="Arial" w:hAnsi="Arial"/>
                <w:sz w:val="13"/>
                <w:szCs w:val="13"/>
                <w:color w:val="auto"/>
              </w:rPr>
              <w:t>3/2/2021</w:t>
            </w:r>
          </w:p>
        </w:tc>
        <w:tc>
          <w:tcPr>
            <w:tcW w:w="640" w:type="dxa"/>
            <w:vAlign w:val="bottom"/>
          </w:tcPr>
          <w:p>
            <w:pPr>
              <w:jc w:val="right"/>
              <w:spacing w:after="0"/>
              <w:rPr>
                <w:sz w:val="20"/>
                <w:szCs w:val="20"/>
                <w:color w:val="auto"/>
              </w:rPr>
            </w:pPr>
            <w:r>
              <w:rPr>
                <w:rFonts w:ascii="Arial" w:cs="Arial" w:eastAsia="Arial" w:hAnsi="Arial"/>
                <w:sz w:val="13"/>
                <w:szCs w:val="13"/>
                <w:color w:val="auto"/>
              </w:rPr>
              <w:t>3/2/2021</w:t>
            </w:r>
          </w:p>
        </w:tc>
        <w:tc>
          <w:tcPr>
            <w:tcW w:w="8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36"/>
              <w:spacing w:after="0"/>
              <w:rPr>
                <w:sz w:val="20"/>
                <w:szCs w:val="20"/>
                <w:color w:val="auto"/>
              </w:rPr>
            </w:pPr>
            <w:r>
              <w:rPr>
                <w:rFonts w:ascii="Arial" w:cs="Arial" w:eastAsia="Arial" w:hAnsi="Arial"/>
                <w:sz w:val="13"/>
                <w:szCs w:val="13"/>
                <w:color w:val="auto"/>
              </w:rPr>
              <w:t>105,809</w:t>
            </w: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302,310</w:t>
            </w:r>
          </w:p>
        </w:tc>
        <w:tc>
          <w:tcPr>
            <w:tcW w:w="640" w:type="dxa"/>
            <w:vAlign w:val="bottom"/>
          </w:tcPr>
          <w:p>
            <w:pPr>
              <w:jc w:val="right"/>
              <w:spacing w:after="0"/>
              <w:rPr>
                <w:sz w:val="20"/>
                <w:szCs w:val="20"/>
                <w:color w:val="auto"/>
              </w:rPr>
            </w:pPr>
            <w:r>
              <w:rPr>
                <w:rFonts w:ascii="Arial" w:cs="Arial" w:eastAsia="Arial" w:hAnsi="Arial"/>
                <w:sz w:val="13"/>
                <w:szCs w:val="13"/>
                <w:color w:val="auto"/>
              </w:rPr>
              <w:t>589,505</w:t>
            </w: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4,320,010</w:t>
            </w:r>
          </w:p>
        </w:tc>
      </w:tr>
      <w:tr>
        <w:trPr>
          <w:trHeight w:val="149"/>
        </w:trPr>
        <w:tc>
          <w:tcPr>
            <w:tcW w:w="2060" w:type="dxa"/>
            <w:vAlign w:val="bottom"/>
          </w:tcPr>
          <w:p>
            <w:pPr>
              <w:spacing w:after="0"/>
              <w:rPr>
                <w:sz w:val="12"/>
                <w:szCs w:val="12"/>
                <w:color w:val="auto"/>
              </w:rPr>
            </w:pPr>
          </w:p>
        </w:tc>
        <w:tc>
          <w:tcPr>
            <w:tcW w:w="760" w:type="dxa"/>
            <w:vAlign w:val="bottom"/>
          </w:tcPr>
          <w:p>
            <w:pPr>
              <w:jc w:val="right"/>
              <w:ind w:right="35"/>
              <w:spacing w:after="0"/>
              <w:rPr>
                <w:sz w:val="20"/>
                <w:szCs w:val="20"/>
                <w:color w:val="auto"/>
              </w:rPr>
            </w:pPr>
            <w:r>
              <w:rPr>
                <w:rFonts w:ascii="Arial" w:cs="Arial" w:eastAsia="Arial" w:hAnsi="Arial"/>
                <w:sz w:val="13"/>
                <w:szCs w:val="13"/>
                <w:color w:val="auto"/>
              </w:rPr>
              <w:t>3/2/2021</w:t>
            </w:r>
          </w:p>
        </w:tc>
        <w:tc>
          <w:tcPr>
            <w:tcW w:w="640" w:type="dxa"/>
            <w:vAlign w:val="bottom"/>
          </w:tcPr>
          <w:p>
            <w:pPr>
              <w:jc w:val="right"/>
              <w:spacing w:after="0"/>
              <w:rPr>
                <w:sz w:val="20"/>
                <w:szCs w:val="20"/>
                <w:color w:val="auto"/>
              </w:rPr>
            </w:pPr>
            <w:r>
              <w:rPr>
                <w:rFonts w:ascii="Arial" w:cs="Arial" w:eastAsia="Arial" w:hAnsi="Arial"/>
                <w:sz w:val="13"/>
                <w:szCs w:val="13"/>
                <w:color w:val="auto"/>
              </w:rPr>
              <w:t>3/2/2021</w:t>
            </w:r>
          </w:p>
        </w:tc>
        <w:tc>
          <w:tcPr>
            <w:tcW w:w="8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2"/>
                <w:szCs w:val="12"/>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201,540</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2,880,007</w:t>
            </w:r>
          </w:p>
        </w:tc>
      </w:tr>
      <w:tr>
        <w:trPr>
          <w:trHeight w:val="148"/>
        </w:trPr>
        <w:tc>
          <w:tcPr>
            <w:tcW w:w="2060" w:type="dxa"/>
            <w:vAlign w:val="bottom"/>
            <w:shd w:val="clear" w:color="auto" w:fill="EAEAEA"/>
          </w:tcPr>
          <w:p>
            <w:pPr>
              <w:ind w:left="60"/>
              <w:spacing w:after="0" w:line="148" w:lineRule="exact"/>
              <w:rPr>
                <w:sz w:val="20"/>
                <w:szCs w:val="20"/>
                <w:color w:val="auto"/>
              </w:rPr>
            </w:pPr>
            <w:r>
              <w:rPr>
                <w:rFonts w:ascii="Arial" w:cs="Arial" w:eastAsia="Arial" w:hAnsi="Arial"/>
                <w:sz w:val="13"/>
                <w:szCs w:val="13"/>
                <w:color w:val="auto"/>
              </w:rPr>
              <w:t>Anthony Mauro</w:t>
            </w:r>
          </w:p>
        </w:tc>
        <w:tc>
          <w:tcPr>
            <w:tcW w:w="760" w:type="dxa"/>
            <w:vAlign w:val="bottom"/>
            <w:shd w:val="clear" w:color="auto" w:fill="EAEAEA"/>
          </w:tcPr>
          <w:p>
            <w:pPr>
              <w:spacing w:after="0"/>
              <w:rPr>
                <w:sz w:val="12"/>
                <w:szCs w:val="12"/>
                <w:color w:val="auto"/>
              </w:rPr>
            </w:pPr>
          </w:p>
        </w:tc>
        <w:tc>
          <w:tcPr>
            <w:tcW w:w="640" w:type="dxa"/>
            <w:vAlign w:val="bottom"/>
            <w:shd w:val="clear" w:color="auto" w:fill="EAEAEA"/>
          </w:tcPr>
          <w:p>
            <w:pPr>
              <w:spacing w:after="0"/>
              <w:rPr>
                <w:sz w:val="12"/>
                <w:szCs w:val="12"/>
                <w:color w:val="auto"/>
              </w:rPr>
            </w:pPr>
          </w:p>
        </w:tc>
        <w:tc>
          <w:tcPr>
            <w:tcW w:w="840" w:type="dxa"/>
            <w:vAlign w:val="bottom"/>
            <w:shd w:val="clear" w:color="auto" w:fill="EAEAEA"/>
          </w:tcPr>
          <w:p>
            <w:pPr>
              <w:jc w:val="right"/>
              <w:ind w:right="35"/>
              <w:spacing w:after="0" w:line="148" w:lineRule="exact"/>
              <w:rPr>
                <w:sz w:val="20"/>
                <w:szCs w:val="20"/>
                <w:color w:val="auto"/>
              </w:rPr>
            </w:pPr>
            <w:r>
              <w:rPr>
                <w:rFonts w:ascii="Arial" w:cs="Arial" w:eastAsia="Arial" w:hAnsi="Arial"/>
                <w:sz w:val="13"/>
                <w:szCs w:val="13"/>
                <w:color w:val="auto"/>
              </w:rPr>
              <w:t>460,000</w:t>
            </w:r>
          </w:p>
        </w:tc>
        <w:tc>
          <w:tcPr>
            <w:tcW w:w="780" w:type="dxa"/>
            <w:vAlign w:val="bottom"/>
            <w:shd w:val="clear" w:color="auto" w:fill="EAEAEA"/>
          </w:tcPr>
          <w:p>
            <w:pPr>
              <w:jc w:val="right"/>
              <w:ind w:right="14"/>
              <w:spacing w:after="0" w:line="148" w:lineRule="exact"/>
              <w:rPr>
                <w:sz w:val="20"/>
                <w:szCs w:val="20"/>
                <w:color w:val="auto"/>
              </w:rPr>
            </w:pPr>
            <w:r>
              <w:rPr>
                <w:rFonts w:ascii="Arial" w:cs="Arial" w:eastAsia="Arial" w:hAnsi="Arial"/>
                <w:sz w:val="13"/>
                <w:szCs w:val="13"/>
                <w:color w:val="auto"/>
              </w:rPr>
              <w:t>920,000</w:t>
            </w:r>
          </w:p>
        </w:tc>
        <w:tc>
          <w:tcPr>
            <w:tcW w:w="740" w:type="dxa"/>
            <w:vAlign w:val="bottom"/>
            <w:shd w:val="clear" w:color="auto" w:fill="EAEAEA"/>
          </w:tcPr>
          <w:p>
            <w:pPr>
              <w:jc w:val="right"/>
              <w:spacing w:after="0" w:line="148" w:lineRule="exact"/>
              <w:rPr>
                <w:sz w:val="20"/>
                <w:szCs w:val="20"/>
                <w:color w:val="auto"/>
              </w:rPr>
            </w:pPr>
            <w:r>
              <w:rPr>
                <w:rFonts w:ascii="Arial" w:cs="Arial" w:eastAsia="Arial" w:hAnsi="Arial"/>
                <w:sz w:val="13"/>
                <w:szCs w:val="13"/>
                <w:color w:val="auto"/>
              </w:rPr>
              <w:t>1,840,000</w:t>
            </w:r>
          </w:p>
        </w:tc>
        <w:tc>
          <w:tcPr>
            <w:tcW w:w="420" w:type="dxa"/>
            <w:vAlign w:val="bottom"/>
          </w:tcPr>
          <w:p>
            <w:pPr>
              <w:spacing w:after="0"/>
              <w:rPr>
                <w:sz w:val="12"/>
                <w:szCs w:val="12"/>
                <w:color w:val="auto"/>
              </w:rPr>
            </w:pPr>
          </w:p>
        </w:tc>
        <w:tc>
          <w:tcPr>
            <w:tcW w:w="740" w:type="dxa"/>
            <w:vAlign w:val="bottom"/>
            <w:shd w:val="clear" w:color="auto" w:fill="EAEAEA"/>
          </w:tcPr>
          <w:p>
            <w:pPr>
              <w:jc w:val="right"/>
              <w:ind w:right="36"/>
              <w:spacing w:after="0" w:line="148" w:lineRule="exact"/>
              <w:rPr>
                <w:sz w:val="20"/>
                <w:szCs w:val="20"/>
                <w:color w:val="auto"/>
              </w:rPr>
            </w:pPr>
            <w:r>
              <w:rPr>
                <w:rFonts w:ascii="Arial" w:cs="Arial" w:eastAsia="Arial" w:hAnsi="Arial"/>
                <w:sz w:val="13"/>
                <w:szCs w:val="13"/>
                <w:color w:val="auto"/>
              </w:rPr>
              <w:t>—</w:t>
            </w:r>
          </w:p>
        </w:tc>
        <w:tc>
          <w:tcPr>
            <w:tcW w:w="660" w:type="dxa"/>
            <w:vAlign w:val="bottom"/>
            <w:shd w:val="clear" w:color="auto" w:fill="EAEAEA"/>
          </w:tcPr>
          <w:p>
            <w:pPr>
              <w:jc w:val="right"/>
              <w:ind w:right="14"/>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EAEAEA"/>
          </w:tcPr>
          <w:p>
            <w:pPr>
              <w:jc w:val="right"/>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ind w:right="18"/>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EAEAEA"/>
          </w:tcPr>
          <w:p>
            <w:pPr>
              <w:jc w:val="right"/>
              <w:spacing w:after="0" w:line="148" w:lineRule="exact"/>
              <w:rPr>
                <w:sz w:val="20"/>
                <w:szCs w:val="20"/>
                <w:color w:val="auto"/>
              </w:rPr>
            </w:pPr>
            <w:r>
              <w:rPr>
                <w:rFonts w:ascii="Arial" w:cs="Arial" w:eastAsia="Arial" w:hAnsi="Arial"/>
                <w:sz w:val="13"/>
                <w:szCs w:val="13"/>
                <w:color w:val="auto"/>
              </w:rPr>
              <w:t>—</w:t>
            </w:r>
          </w:p>
        </w:tc>
        <w:tc>
          <w:tcPr>
            <w:tcW w:w="780" w:type="dxa"/>
            <w:vAlign w:val="bottom"/>
            <w:shd w:val="clear" w:color="auto" w:fill="EAEAEA"/>
          </w:tcPr>
          <w:p>
            <w:pPr>
              <w:jc w:val="right"/>
              <w:ind w:right="37"/>
              <w:spacing w:after="0" w:line="148" w:lineRule="exact"/>
              <w:rPr>
                <w:sz w:val="20"/>
                <w:szCs w:val="20"/>
                <w:color w:val="auto"/>
              </w:rPr>
            </w:pPr>
            <w:r>
              <w:rPr>
                <w:rFonts w:ascii="Arial" w:cs="Arial" w:eastAsia="Arial" w:hAnsi="Arial"/>
                <w:sz w:val="13"/>
                <w:szCs w:val="13"/>
                <w:color w:val="auto"/>
              </w:rPr>
              <w:t>—</w:t>
            </w:r>
          </w:p>
        </w:tc>
      </w:tr>
      <w:tr>
        <w:trPr>
          <w:trHeight w:val="148"/>
        </w:trPr>
        <w:tc>
          <w:tcPr>
            <w:tcW w:w="2060" w:type="dxa"/>
            <w:vAlign w:val="bottom"/>
            <w:shd w:val="clear" w:color="auto" w:fill="EAEAEA"/>
          </w:tcPr>
          <w:p>
            <w:pPr>
              <w:spacing w:after="0"/>
              <w:rPr>
                <w:sz w:val="12"/>
                <w:szCs w:val="12"/>
                <w:color w:val="auto"/>
              </w:rPr>
            </w:pPr>
          </w:p>
        </w:tc>
        <w:tc>
          <w:tcPr>
            <w:tcW w:w="760" w:type="dxa"/>
            <w:vAlign w:val="bottom"/>
            <w:shd w:val="clear" w:color="auto" w:fill="EAEAEA"/>
          </w:tcPr>
          <w:p>
            <w:pPr>
              <w:jc w:val="right"/>
              <w:ind w:right="35"/>
              <w:spacing w:after="0"/>
              <w:rPr>
                <w:sz w:val="20"/>
                <w:szCs w:val="20"/>
                <w:color w:val="auto"/>
              </w:rPr>
            </w:pPr>
            <w:r>
              <w:rPr>
                <w:rFonts w:ascii="Arial" w:cs="Arial" w:eastAsia="Arial" w:hAnsi="Arial"/>
                <w:sz w:val="13"/>
                <w:szCs w:val="13"/>
                <w:color w:val="auto"/>
              </w:rPr>
              <w:t>3/2/2021</w:t>
            </w:r>
          </w:p>
        </w:tc>
        <w:tc>
          <w:tcPr>
            <w:tcW w:w="6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3/2/2021</w:t>
            </w:r>
          </w:p>
        </w:tc>
        <w:tc>
          <w:tcPr>
            <w:tcW w:w="840" w:type="dxa"/>
            <w:vAlign w:val="bottom"/>
            <w:shd w:val="clear" w:color="auto" w:fill="EAEAEA"/>
          </w:tcPr>
          <w:p>
            <w:pPr>
              <w:jc w:val="right"/>
              <w:ind w:right="35"/>
              <w:spacing w:after="0"/>
              <w:rPr>
                <w:sz w:val="20"/>
                <w:szCs w:val="20"/>
                <w:color w:val="auto"/>
              </w:rPr>
            </w:pPr>
            <w:r>
              <w:rPr>
                <w:rFonts w:ascii="Arial" w:cs="Arial" w:eastAsia="Arial" w:hAnsi="Arial"/>
                <w:sz w:val="13"/>
                <w:szCs w:val="13"/>
                <w:color w:val="auto"/>
              </w:rPr>
              <w:t>—</w:t>
            </w:r>
          </w:p>
        </w:tc>
        <w:tc>
          <w:tcPr>
            <w:tcW w:w="780" w:type="dxa"/>
            <w:vAlign w:val="bottom"/>
            <w:shd w:val="clear" w:color="auto" w:fill="EAEAEA"/>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2"/>
                <w:szCs w:val="12"/>
                <w:color w:val="auto"/>
              </w:rPr>
            </w:pPr>
          </w:p>
        </w:tc>
        <w:tc>
          <w:tcPr>
            <w:tcW w:w="740" w:type="dxa"/>
            <w:vAlign w:val="bottom"/>
            <w:shd w:val="clear" w:color="auto" w:fill="EAEAEA"/>
          </w:tcPr>
          <w:p>
            <w:pPr>
              <w:jc w:val="right"/>
              <w:ind w:right="36"/>
              <w:spacing w:after="0"/>
              <w:rPr>
                <w:sz w:val="20"/>
                <w:szCs w:val="20"/>
                <w:color w:val="auto"/>
              </w:rPr>
            </w:pPr>
            <w:r>
              <w:rPr>
                <w:rFonts w:ascii="Arial" w:cs="Arial" w:eastAsia="Arial" w:hAnsi="Arial"/>
                <w:sz w:val="13"/>
                <w:szCs w:val="13"/>
                <w:color w:val="auto"/>
              </w:rPr>
              <w:t>47,026</w:t>
            </w:r>
          </w:p>
        </w:tc>
        <w:tc>
          <w:tcPr>
            <w:tcW w:w="660" w:type="dxa"/>
            <w:vAlign w:val="bottom"/>
            <w:shd w:val="clear" w:color="auto" w:fill="EAEAEA"/>
          </w:tcPr>
          <w:p>
            <w:pPr>
              <w:jc w:val="right"/>
              <w:ind w:right="14"/>
              <w:spacing w:after="0"/>
              <w:rPr>
                <w:sz w:val="20"/>
                <w:szCs w:val="20"/>
                <w:color w:val="auto"/>
              </w:rPr>
            </w:pPr>
            <w:r>
              <w:rPr>
                <w:rFonts w:ascii="Arial" w:cs="Arial" w:eastAsia="Arial" w:hAnsi="Arial"/>
                <w:sz w:val="13"/>
                <w:szCs w:val="13"/>
                <w:color w:val="auto"/>
              </w:rPr>
              <w:t>134,360</w:t>
            </w:r>
          </w:p>
        </w:tc>
        <w:tc>
          <w:tcPr>
            <w:tcW w:w="6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262,002</w:t>
            </w:r>
          </w:p>
        </w:tc>
        <w:tc>
          <w:tcPr>
            <w:tcW w:w="700" w:type="dxa"/>
            <w:vAlign w:val="bottom"/>
            <w:shd w:val="clear" w:color="auto" w:fill="EAEAEA"/>
          </w:tcPr>
          <w:p>
            <w:pPr>
              <w:jc w:val="right"/>
              <w:ind w:right="18"/>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1,920,004</w:t>
            </w:r>
          </w:p>
        </w:tc>
      </w:tr>
      <w:tr>
        <w:trPr>
          <w:trHeight w:val="149"/>
        </w:trPr>
        <w:tc>
          <w:tcPr>
            <w:tcW w:w="2060" w:type="dxa"/>
            <w:vAlign w:val="bottom"/>
            <w:shd w:val="clear" w:color="auto" w:fill="EAEAEA"/>
          </w:tcPr>
          <w:p>
            <w:pPr>
              <w:spacing w:after="0"/>
              <w:rPr>
                <w:sz w:val="12"/>
                <w:szCs w:val="12"/>
                <w:color w:val="auto"/>
              </w:rPr>
            </w:pPr>
          </w:p>
        </w:tc>
        <w:tc>
          <w:tcPr>
            <w:tcW w:w="760" w:type="dxa"/>
            <w:vAlign w:val="bottom"/>
            <w:shd w:val="clear" w:color="auto" w:fill="EAEAEA"/>
          </w:tcPr>
          <w:p>
            <w:pPr>
              <w:jc w:val="right"/>
              <w:ind w:right="35"/>
              <w:spacing w:after="0"/>
              <w:rPr>
                <w:sz w:val="20"/>
                <w:szCs w:val="20"/>
                <w:color w:val="auto"/>
              </w:rPr>
            </w:pPr>
            <w:r>
              <w:rPr>
                <w:rFonts w:ascii="Arial" w:cs="Arial" w:eastAsia="Arial" w:hAnsi="Arial"/>
                <w:sz w:val="13"/>
                <w:szCs w:val="13"/>
                <w:color w:val="auto"/>
              </w:rPr>
              <w:t>3/2/2021</w:t>
            </w:r>
          </w:p>
        </w:tc>
        <w:tc>
          <w:tcPr>
            <w:tcW w:w="6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3/2/2021</w:t>
            </w:r>
          </w:p>
        </w:tc>
        <w:tc>
          <w:tcPr>
            <w:tcW w:w="840" w:type="dxa"/>
            <w:vAlign w:val="bottom"/>
            <w:shd w:val="clear" w:color="auto" w:fill="EAEAEA"/>
          </w:tcPr>
          <w:p>
            <w:pPr>
              <w:jc w:val="right"/>
              <w:ind w:right="35"/>
              <w:spacing w:after="0"/>
              <w:rPr>
                <w:sz w:val="20"/>
                <w:szCs w:val="20"/>
                <w:color w:val="auto"/>
              </w:rPr>
            </w:pPr>
            <w:r>
              <w:rPr>
                <w:rFonts w:ascii="Arial" w:cs="Arial" w:eastAsia="Arial" w:hAnsi="Arial"/>
                <w:sz w:val="13"/>
                <w:szCs w:val="13"/>
                <w:color w:val="auto"/>
              </w:rPr>
              <w:t>—</w:t>
            </w:r>
          </w:p>
        </w:tc>
        <w:tc>
          <w:tcPr>
            <w:tcW w:w="780" w:type="dxa"/>
            <w:vAlign w:val="bottom"/>
            <w:shd w:val="clear" w:color="auto" w:fill="EAEAEA"/>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2"/>
                <w:szCs w:val="12"/>
                <w:color w:val="auto"/>
              </w:rPr>
            </w:pPr>
          </w:p>
        </w:tc>
        <w:tc>
          <w:tcPr>
            <w:tcW w:w="740" w:type="dxa"/>
            <w:vAlign w:val="bottom"/>
            <w:shd w:val="clear" w:color="auto" w:fill="EAEAEA"/>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shd w:val="clear" w:color="auto" w:fill="EAEAEA"/>
          </w:tcPr>
          <w:p>
            <w:pPr>
              <w:jc w:val="right"/>
              <w:ind w:right="14"/>
              <w:spacing w:after="0"/>
              <w:rPr>
                <w:sz w:val="20"/>
                <w:szCs w:val="20"/>
                <w:color w:val="auto"/>
              </w:rPr>
            </w:pPr>
            <w:r>
              <w:rPr>
                <w:rFonts w:ascii="Arial" w:cs="Arial" w:eastAsia="Arial" w:hAnsi="Arial"/>
                <w:sz w:val="13"/>
                <w:szCs w:val="13"/>
                <w:color w:val="auto"/>
              </w:rPr>
              <w:t>—</w:t>
            </w:r>
          </w:p>
        </w:tc>
        <w:tc>
          <w:tcPr>
            <w:tcW w:w="6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AEAEA"/>
          </w:tcPr>
          <w:p>
            <w:pPr>
              <w:jc w:val="right"/>
              <w:ind w:right="18"/>
              <w:spacing w:after="0"/>
              <w:rPr>
                <w:sz w:val="20"/>
                <w:szCs w:val="20"/>
                <w:color w:val="auto"/>
              </w:rPr>
            </w:pPr>
            <w:r>
              <w:rPr>
                <w:rFonts w:ascii="Arial" w:cs="Arial" w:eastAsia="Arial" w:hAnsi="Arial"/>
                <w:sz w:val="13"/>
                <w:szCs w:val="13"/>
                <w:color w:val="auto"/>
              </w:rPr>
              <w:t>89,574</w:t>
            </w:r>
          </w:p>
        </w:tc>
        <w:tc>
          <w:tcPr>
            <w:tcW w:w="700" w:type="dxa"/>
            <w:vAlign w:val="bottom"/>
            <w:shd w:val="clear" w:color="auto" w:fill="EAEAEA"/>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AEAEA"/>
          </w:tcPr>
          <w:p>
            <w:pPr>
              <w:jc w:val="right"/>
              <w:ind w:right="37"/>
              <w:spacing w:after="0"/>
              <w:rPr>
                <w:sz w:val="20"/>
                <w:szCs w:val="20"/>
                <w:color w:val="auto"/>
              </w:rPr>
            </w:pPr>
            <w:r>
              <w:rPr>
                <w:rFonts w:ascii="Arial" w:cs="Arial" w:eastAsia="Arial" w:hAnsi="Arial"/>
                <w:sz w:val="13"/>
                <w:szCs w:val="13"/>
                <w:color w:val="auto"/>
              </w:rPr>
              <w:t>1,280,012</w:t>
            </w:r>
          </w:p>
        </w:tc>
      </w:tr>
      <w:tr>
        <w:trPr>
          <w:trHeight w:val="148"/>
        </w:trPr>
        <w:tc>
          <w:tcPr>
            <w:tcW w:w="2060" w:type="dxa"/>
            <w:vAlign w:val="bottom"/>
          </w:tcPr>
          <w:p>
            <w:pPr>
              <w:ind w:left="60"/>
              <w:spacing w:after="0" w:line="148" w:lineRule="exact"/>
              <w:rPr>
                <w:sz w:val="20"/>
                <w:szCs w:val="20"/>
                <w:color w:val="auto"/>
              </w:rPr>
            </w:pPr>
            <w:r>
              <w:rPr>
                <w:rFonts w:ascii="Arial" w:cs="Arial" w:eastAsia="Arial" w:hAnsi="Arial"/>
                <w:sz w:val="13"/>
                <w:szCs w:val="13"/>
                <w:color w:val="auto"/>
              </w:rPr>
              <w:t>Robert J. Coury</w:t>
            </w: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jc w:val="right"/>
              <w:ind w:right="35"/>
              <w:spacing w:after="0" w:line="148" w:lineRule="exact"/>
              <w:rPr>
                <w:sz w:val="20"/>
                <w:szCs w:val="20"/>
                <w:color w:val="auto"/>
              </w:rPr>
            </w:pPr>
            <w:r>
              <w:rPr>
                <w:rFonts w:ascii="Arial" w:cs="Arial" w:eastAsia="Arial" w:hAnsi="Arial"/>
                <w:sz w:val="13"/>
                <w:szCs w:val="13"/>
                <w:color w:val="auto"/>
              </w:rPr>
              <w:t>1,350,000</w:t>
            </w:r>
          </w:p>
        </w:tc>
        <w:tc>
          <w:tcPr>
            <w:tcW w:w="780" w:type="dxa"/>
            <w:vAlign w:val="bottom"/>
          </w:tcPr>
          <w:p>
            <w:pPr>
              <w:jc w:val="right"/>
              <w:ind w:right="14"/>
              <w:spacing w:after="0" w:line="148" w:lineRule="exact"/>
              <w:rPr>
                <w:sz w:val="20"/>
                <w:szCs w:val="20"/>
                <w:color w:val="auto"/>
              </w:rPr>
            </w:pPr>
            <w:r>
              <w:rPr>
                <w:rFonts w:ascii="Arial" w:cs="Arial" w:eastAsia="Arial" w:hAnsi="Arial"/>
                <w:sz w:val="13"/>
                <w:szCs w:val="13"/>
                <w:color w:val="auto"/>
              </w:rPr>
              <w:t>2,700,000</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5,400,000</w:t>
            </w:r>
          </w:p>
        </w:tc>
        <w:tc>
          <w:tcPr>
            <w:tcW w:w="420" w:type="dxa"/>
            <w:vAlign w:val="bottom"/>
          </w:tcPr>
          <w:p>
            <w:pPr>
              <w:spacing w:after="0"/>
              <w:rPr>
                <w:sz w:val="12"/>
                <w:szCs w:val="12"/>
                <w:color w:val="auto"/>
              </w:rPr>
            </w:pPr>
          </w:p>
        </w:tc>
        <w:tc>
          <w:tcPr>
            <w:tcW w:w="740" w:type="dxa"/>
            <w:vAlign w:val="bottom"/>
          </w:tcPr>
          <w:p>
            <w:pPr>
              <w:jc w:val="right"/>
              <w:ind w:right="36"/>
              <w:spacing w:after="0" w:line="148"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4"/>
              <w:spacing w:after="0" w:line="14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8"/>
              <w:spacing w:after="0" w:line="148"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w:t>
            </w:r>
          </w:p>
        </w:tc>
      </w:tr>
      <w:tr>
        <w:trPr>
          <w:trHeight w:val="148"/>
        </w:trPr>
        <w:tc>
          <w:tcPr>
            <w:tcW w:w="2060" w:type="dxa"/>
            <w:vAlign w:val="bottom"/>
          </w:tcPr>
          <w:p>
            <w:pPr>
              <w:spacing w:after="0"/>
              <w:rPr>
                <w:sz w:val="12"/>
                <w:szCs w:val="12"/>
                <w:color w:val="auto"/>
              </w:rPr>
            </w:pPr>
          </w:p>
        </w:tc>
        <w:tc>
          <w:tcPr>
            <w:tcW w:w="760" w:type="dxa"/>
            <w:vAlign w:val="bottom"/>
          </w:tcPr>
          <w:p>
            <w:pPr>
              <w:jc w:val="right"/>
              <w:ind w:right="35"/>
              <w:spacing w:after="0"/>
              <w:rPr>
                <w:sz w:val="20"/>
                <w:szCs w:val="20"/>
                <w:color w:val="auto"/>
              </w:rPr>
            </w:pPr>
            <w:r>
              <w:rPr>
                <w:rFonts w:ascii="Arial" w:cs="Arial" w:eastAsia="Arial" w:hAnsi="Arial"/>
                <w:sz w:val="13"/>
                <w:szCs w:val="13"/>
                <w:color w:val="auto"/>
              </w:rPr>
              <w:t>3/2/2021</w:t>
            </w:r>
          </w:p>
        </w:tc>
        <w:tc>
          <w:tcPr>
            <w:tcW w:w="640" w:type="dxa"/>
            <w:vAlign w:val="bottom"/>
          </w:tcPr>
          <w:p>
            <w:pPr>
              <w:jc w:val="right"/>
              <w:spacing w:after="0"/>
              <w:rPr>
                <w:sz w:val="20"/>
                <w:szCs w:val="20"/>
                <w:color w:val="auto"/>
              </w:rPr>
            </w:pPr>
            <w:r>
              <w:rPr>
                <w:rFonts w:ascii="Arial" w:cs="Arial" w:eastAsia="Arial" w:hAnsi="Arial"/>
                <w:sz w:val="13"/>
                <w:szCs w:val="13"/>
                <w:color w:val="auto"/>
              </w:rPr>
              <w:t>3/2/2021</w:t>
            </w:r>
          </w:p>
        </w:tc>
        <w:tc>
          <w:tcPr>
            <w:tcW w:w="8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36"/>
              <w:spacing w:after="0"/>
              <w:rPr>
                <w:sz w:val="20"/>
                <w:szCs w:val="20"/>
                <w:color w:val="auto"/>
              </w:rPr>
            </w:pPr>
            <w:r>
              <w:rPr>
                <w:rFonts w:ascii="Arial" w:cs="Arial" w:eastAsia="Arial" w:hAnsi="Arial"/>
                <w:sz w:val="13"/>
                <w:szCs w:val="13"/>
                <w:color w:val="auto"/>
              </w:rPr>
              <w:t>158,713</w:t>
            </w: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453,464</w:t>
            </w:r>
          </w:p>
        </w:tc>
        <w:tc>
          <w:tcPr>
            <w:tcW w:w="640" w:type="dxa"/>
            <w:vAlign w:val="bottom"/>
          </w:tcPr>
          <w:p>
            <w:pPr>
              <w:jc w:val="right"/>
              <w:spacing w:after="0"/>
              <w:rPr>
                <w:sz w:val="20"/>
                <w:szCs w:val="20"/>
                <w:color w:val="auto"/>
              </w:rPr>
            </w:pPr>
            <w:r>
              <w:rPr>
                <w:rFonts w:ascii="Arial" w:cs="Arial" w:eastAsia="Arial" w:hAnsi="Arial"/>
                <w:sz w:val="13"/>
                <w:szCs w:val="13"/>
                <w:color w:val="auto"/>
              </w:rPr>
              <w:t>884,255</w:t>
            </w: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6,480,001</w:t>
            </w:r>
          </w:p>
        </w:tc>
      </w:tr>
      <w:tr>
        <w:trPr>
          <w:trHeight w:val="162"/>
        </w:trPr>
        <w:tc>
          <w:tcPr>
            <w:tcW w:w="2060" w:type="dxa"/>
            <w:vAlign w:val="bottom"/>
          </w:tcPr>
          <w:p>
            <w:pPr>
              <w:spacing w:after="0"/>
              <w:rPr>
                <w:sz w:val="14"/>
                <w:szCs w:val="14"/>
                <w:color w:val="auto"/>
              </w:rPr>
            </w:pPr>
          </w:p>
        </w:tc>
        <w:tc>
          <w:tcPr>
            <w:tcW w:w="760" w:type="dxa"/>
            <w:vAlign w:val="bottom"/>
          </w:tcPr>
          <w:p>
            <w:pPr>
              <w:jc w:val="right"/>
              <w:ind w:right="35"/>
              <w:spacing w:after="0"/>
              <w:rPr>
                <w:sz w:val="20"/>
                <w:szCs w:val="20"/>
                <w:color w:val="auto"/>
              </w:rPr>
            </w:pPr>
            <w:r>
              <w:rPr>
                <w:rFonts w:ascii="Arial" w:cs="Arial" w:eastAsia="Arial" w:hAnsi="Arial"/>
                <w:sz w:val="13"/>
                <w:szCs w:val="13"/>
                <w:color w:val="auto"/>
              </w:rPr>
              <w:t>3/2/2021</w:t>
            </w:r>
          </w:p>
        </w:tc>
        <w:tc>
          <w:tcPr>
            <w:tcW w:w="640" w:type="dxa"/>
            <w:vAlign w:val="bottom"/>
          </w:tcPr>
          <w:p>
            <w:pPr>
              <w:jc w:val="right"/>
              <w:spacing w:after="0"/>
              <w:rPr>
                <w:sz w:val="20"/>
                <w:szCs w:val="20"/>
                <w:color w:val="auto"/>
              </w:rPr>
            </w:pPr>
            <w:r>
              <w:rPr>
                <w:rFonts w:ascii="Arial" w:cs="Arial" w:eastAsia="Arial" w:hAnsi="Arial"/>
                <w:sz w:val="13"/>
                <w:szCs w:val="13"/>
                <w:color w:val="auto"/>
              </w:rPr>
              <w:t>3/2/2021</w:t>
            </w:r>
          </w:p>
        </w:tc>
        <w:tc>
          <w:tcPr>
            <w:tcW w:w="8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302,310</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4,320,010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6995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540" w:right="20" w:hanging="424"/>
        <w:spacing w:after="0" w:line="248" w:lineRule="auto"/>
        <w:tabs>
          <w:tab w:leader="none" w:pos="540" w:val="left"/>
        </w:tabs>
        <w:numPr>
          <w:ilvl w:val="0"/>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The performance goals under the annual incentive compensation program applicable to the NEOs during 2021 are described above in the CD&amp;A. For a discussion of these awards, see “2021 Annual Incentive Compensation Program” on pages 27 to 29 of this Form 10-K/A.</w:t>
      </w:r>
    </w:p>
    <w:p>
      <w:pPr>
        <w:ind w:left="540" w:right="20" w:hanging="424"/>
        <w:spacing w:after="0" w:line="246" w:lineRule="auto"/>
        <w:tabs>
          <w:tab w:leader="none" w:pos="540" w:val="left"/>
        </w:tabs>
        <w:numPr>
          <w:ilvl w:val="0"/>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PRSUs awarded under the Viatris 2020 Stock Plan. The vesting terms applicable to these awards are described above in the CD&amp;A and below following the Outstanding Equity Awards at the End of 2021 table.</w:t>
      </w:r>
    </w:p>
    <w:p>
      <w:pPr>
        <w:ind w:left="540" w:hanging="424"/>
        <w:spacing w:after="0" w:line="246" w:lineRule="auto"/>
        <w:tabs>
          <w:tab w:leader="none" w:pos="540" w:val="left"/>
        </w:tabs>
        <w:numPr>
          <w:ilvl w:val="0"/>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RSUs awarded under the Viatris 2020 Stock Plan. The vesting terms applicable to these awards are described above in the CD&amp;A and below following the Outstanding Equity Awards at the End of 2021 table.</w:t>
      </w:r>
    </w:p>
    <w:p>
      <w:pPr>
        <w:ind w:left="540" w:right="20" w:hanging="424"/>
        <w:spacing w:after="0" w:line="260" w:lineRule="auto"/>
        <w:tabs>
          <w:tab w:leader="none" w:pos="540" w:val="left"/>
        </w:tabs>
        <w:numPr>
          <w:ilvl w:val="0"/>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grant date fair value of the specific award granted to the NEO. For information regarding assumptions used in determining such value, please refer to Note 13 to the Company’s Consolidated Financial Statements contained in the Original Filing.</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86"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732282"/>
        </w:rPr>
        <w:t>Outstanding Equity Awards at the End of 2021</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information concerning all of the outstanding LTI awards held by each NEO as of December 31, 2021.</w:t>
      </w: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100" w:type="dxa"/>
            <w:vAlign w:val="bottom"/>
          </w:tcPr>
          <w:p>
            <w:pPr>
              <w:spacing w:after="0"/>
              <w:rPr>
                <w:sz w:val="13"/>
                <w:szCs w:val="13"/>
                <w:color w:val="auto"/>
              </w:rPr>
            </w:pPr>
          </w:p>
        </w:tc>
        <w:tc>
          <w:tcPr>
            <w:tcW w:w="1000" w:type="dxa"/>
            <w:vAlign w:val="bottom"/>
            <w:shd w:val="clear" w:color="auto" w:fill="231161"/>
          </w:tcPr>
          <w:p>
            <w:pPr>
              <w:spacing w:after="0"/>
              <w:rPr>
                <w:sz w:val="13"/>
                <w:szCs w:val="13"/>
                <w:color w:val="auto"/>
              </w:rPr>
            </w:pPr>
          </w:p>
        </w:tc>
        <w:tc>
          <w:tcPr>
            <w:tcW w:w="1980" w:type="dxa"/>
            <w:vAlign w:val="bottom"/>
            <w:gridSpan w:val="2"/>
            <w:shd w:val="clear" w:color="auto" w:fill="231161"/>
          </w:tcPr>
          <w:p>
            <w:pPr>
              <w:jc w:val="right"/>
              <w:ind w:right="433"/>
              <w:spacing w:after="0"/>
              <w:rPr>
                <w:sz w:val="20"/>
                <w:szCs w:val="20"/>
                <w:color w:val="auto"/>
              </w:rPr>
            </w:pPr>
            <w:r>
              <w:rPr>
                <w:rFonts w:ascii="Arial" w:cs="Arial" w:eastAsia="Arial" w:hAnsi="Arial"/>
                <w:sz w:val="13"/>
                <w:szCs w:val="13"/>
                <w:b w:val="1"/>
                <w:bCs w:val="1"/>
                <w:color w:val="FFFFFF"/>
              </w:rPr>
              <w:t>Option Awards</w:t>
            </w:r>
          </w:p>
        </w:tc>
        <w:tc>
          <w:tcPr>
            <w:tcW w:w="920" w:type="dxa"/>
            <w:vAlign w:val="bottom"/>
            <w:shd w:val="clear" w:color="auto" w:fill="231161"/>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shd w:val="clear" w:color="auto" w:fill="231161"/>
          </w:tcPr>
          <w:p>
            <w:pPr>
              <w:spacing w:after="0"/>
              <w:rPr>
                <w:sz w:val="13"/>
                <w:szCs w:val="13"/>
                <w:color w:val="auto"/>
              </w:rPr>
            </w:pPr>
          </w:p>
        </w:tc>
        <w:tc>
          <w:tcPr>
            <w:tcW w:w="160" w:type="dxa"/>
            <w:vAlign w:val="bottom"/>
            <w:shd w:val="clear" w:color="auto" w:fill="231161"/>
          </w:tcPr>
          <w:p>
            <w:pPr>
              <w:spacing w:after="0"/>
              <w:rPr>
                <w:sz w:val="13"/>
                <w:szCs w:val="13"/>
                <w:color w:val="auto"/>
              </w:rPr>
            </w:pPr>
          </w:p>
        </w:tc>
        <w:tc>
          <w:tcPr>
            <w:tcW w:w="2080" w:type="dxa"/>
            <w:vAlign w:val="bottom"/>
            <w:gridSpan w:val="3"/>
            <w:shd w:val="clear" w:color="auto" w:fill="231161"/>
          </w:tcPr>
          <w:p>
            <w:pPr>
              <w:jc w:val="right"/>
              <w:ind w:right="378"/>
              <w:spacing w:after="0"/>
              <w:rPr>
                <w:sz w:val="20"/>
                <w:szCs w:val="20"/>
                <w:color w:val="auto"/>
              </w:rPr>
            </w:pPr>
            <w:r>
              <w:rPr>
                <w:rFonts w:ascii="Arial" w:cs="Arial" w:eastAsia="Arial" w:hAnsi="Arial"/>
                <w:sz w:val="13"/>
                <w:szCs w:val="13"/>
                <w:b w:val="1"/>
                <w:bCs w:val="1"/>
                <w:color w:val="FFFFFF"/>
              </w:rPr>
              <w:t>Stock Awards</w:t>
            </w:r>
          </w:p>
        </w:tc>
        <w:tc>
          <w:tcPr>
            <w:tcW w:w="1380" w:type="dxa"/>
            <w:vAlign w:val="bottom"/>
            <w:shd w:val="clear" w:color="auto" w:fill="231161"/>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100" w:type="dxa"/>
            <w:vAlign w:val="bottom"/>
            <w:shd w:val="clear" w:color="auto" w:fill="444444"/>
          </w:tcPr>
          <w:p>
            <w:pPr>
              <w:spacing w:after="0"/>
              <w:rPr>
                <w:sz w:val="11"/>
                <w:szCs w:val="11"/>
                <w:color w:val="auto"/>
              </w:rPr>
            </w:pPr>
          </w:p>
        </w:tc>
        <w:tc>
          <w:tcPr>
            <w:tcW w:w="1000" w:type="dxa"/>
            <w:vAlign w:val="bottom"/>
            <w:shd w:val="clear" w:color="auto" w:fill="444444"/>
          </w:tcPr>
          <w:p>
            <w:pPr>
              <w:spacing w:after="0"/>
              <w:rPr>
                <w:sz w:val="11"/>
                <w:szCs w:val="11"/>
                <w:color w:val="auto"/>
              </w:rPr>
            </w:pPr>
          </w:p>
        </w:tc>
        <w:tc>
          <w:tcPr>
            <w:tcW w:w="1220" w:type="dxa"/>
            <w:vAlign w:val="bottom"/>
            <w:shd w:val="clear" w:color="auto" w:fill="444444"/>
          </w:tcPr>
          <w:p>
            <w:pPr>
              <w:spacing w:after="0"/>
              <w:rPr>
                <w:sz w:val="11"/>
                <w:szCs w:val="11"/>
                <w:color w:val="auto"/>
              </w:rPr>
            </w:pPr>
          </w:p>
        </w:tc>
        <w:tc>
          <w:tcPr>
            <w:tcW w:w="760" w:type="dxa"/>
            <w:vAlign w:val="bottom"/>
            <w:shd w:val="clear" w:color="auto" w:fill="444444"/>
          </w:tcPr>
          <w:p>
            <w:pPr>
              <w:spacing w:after="0"/>
              <w:rPr>
                <w:sz w:val="11"/>
                <w:szCs w:val="11"/>
                <w:color w:val="auto"/>
              </w:rPr>
            </w:pPr>
          </w:p>
        </w:tc>
        <w:tc>
          <w:tcPr>
            <w:tcW w:w="920" w:type="dxa"/>
            <w:vAlign w:val="bottom"/>
            <w:shd w:val="clear" w:color="auto" w:fill="444444"/>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shd w:val="clear" w:color="auto" w:fill="444444"/>
          </w:tcPr>
          <w:p>
            <w:pPr>
              <w:spacing w:after="0"/>
              <w:rPr>
                <w:sz w:val="11"/>
                <w:szCs w:val="11"/>
                <w:color w:val="auto"/>
              </w:rPr>
            </w:pPr>
          </w:p>
        </w:tc>
        <w:tc>
          <w:tcPr>
            <w:tcW w:w="160" w:type="dxa"/>
            <w:vAlign w:val="bottom"/>
            <w:shd w:val="clear" w:color="auto" w:fill="444444"/>
          </w:tcPr>
          <w:p>
            <w:pPr>
              <w:spacing w:after="0"/>
              <w:rPr>
                <w:sz w:val="11"/>
                <w:szCs w:val="11"/>
                <w:color w:val="auto"/>
              </w:rPr>
            </w:pPr>
          </w:p>
        </w:tc>
        <w:tc>
          <w:tcPr>
            <w:tcW w:w="840" w:type="dxa"/>
            <w:vAlign w:val="bottom"/>
            <w:shd w:val="clear" w:color="auto" w:fill="444444"/>
          </w:tcPr>
          <w:p>
            <w:pPr>
              <w:jc w:val="right"/>
              <w:spacing w:after="0" w:line="132" w:lineRule="exact"/>
              <w:rPr>
                <w:sz w:val="20"/>
                <w:szCs w:val="20"/>
                <w:color w:val="auto"/>
              </w:rPr>
            </w:pPr>
            <w:r>
              <w:rPr>
                <w:rFonts w:ascii="Arial" w:cs="Arial" w:eastAsia="Arial" w:hAnsi="Arial"/>
                <w:sz w:val="13"/>
                <w:szCs w:val="13"/>
                <w:b w:val="1"/>
                <w:bCs w:val="1"/>
                <w:color w:val="FFFFFF"/>
              </w:rPr>
              <w:t>Market</w:t>
            </w:r>
          </w:p>
        </w:tc>
        <w:tc>
          <w:tcPr>
            <w:tcW w:w="1040" w:type="dxa"/>
            <w:vAlign w:val="bottom"/>
            <w:shd w:val="clear" w:color="auto" w:fill="444444"/>
          </w:tcPr>
          <w:p>
            <w:pPr>
              <w:spacing w:after="0"/>
              <w:rPr>
                <w:sz w:val="11"/>
                <w:szCs w:val="11"/>
                <w:color w:val="auto"/>
              </w:rPr>
            </w:pPr>
          </w:p>
        </w:tc>
        <w:tc>
          <w:tcPr>
            <w:tcW w:w="200" w:type="dxa"/>
            <w:vAlign w:val="bottom"/>
            <w:shd w:val="clear" w:color="auto" w:fill="444444"/>
          </w:tcPr>
          <w:p>
            <w:pPr>
              <w:spacing w:after="0"/>
              <w:rPr>
                <w:sz w:val="11"/>
                <w:szCs w:val="11"/>
                <w:color w:val="auto"/>
              </w:rPr>
            </w:pPr>
          </w:p>
        </w:tc>
        <w:tc>
          <w:tcPr>
            <w:tcW w:w="1380" w:type="dxa"/>
            <w:vAlign w:val="bottom"/>
            <w:shd w:val="clear" w:color="auto" w:fill="444444"/>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444444"/>
          </w:tcPr>
          <w:p>
            <w:pPr>
              <w:spacing w:after="0"/>
              <w:rPr>
                <w:sz w:val="12"/>
                <w:szCs w:val="12"/>
                <w:color w:val="auto"/>
              </w:rPr>
            </w:pPr>
          </w:p>
        </w:tc>
        <w:tc>
          <w:tcPr>
            <w:tcW w:w="1000" w:type="dxa"/>
            <w:vAlign w:val="bottom"/>
            <w:shd w:val="clear" w:color="auto" w:fill="444444"/>
          </w:tcPr>
          <w:p>
            <w:pPr>
              <w:spacing w:after="0"/>
              <w:rPr>
                <w:sz w:val="12"/>
                <w:szCs w:val="12"/>
                <w:color w:val="auto"/>
              </w:rPr>
            </w:pPr>
          </w:p>
        </w:tc>
        <w:tc>
          <w:tcPr>
            <w:tcW w:w="1220" w:type="dxa"/>
            <w:vAlign w:val="bottom"/>
            <w:shd w:val="clear" w:color="auto" w:fill="444444"/>
          </w:tcPr>
          <w:p>
            <w:pPr>
              <w:spacing w:after="0"/>
              <w:rPr>
                <w:sz w:val="12"/>
                <w:szCs w:val="12"/>
                <w:color w:val="auto"/>
              </w:rPr>
            </w:pPr>
          </w:p>
        </w:tc>
        <w:tc>
          <w:tcPr>
            <w:tcW w:w="760" w:type="dxa"/>
            <w:vAlign w:val="bottom"/>
            <w:shd w:val="clear" w:color="auto" w:fill="444444"/>
          </w:tcPr>
          <w:p>
            <w:pPr>
              <w:spacing w:after="0"/>
              <w:rPr>
                <w:sz w:val="12"/>
                <w:szCs w:val="12"/>
                <w:color w:val="auto"/>
              </w:rPr>
            </w:pPr>
          </w:p>
        </w:tc>
        <w:tc>
          <w:tcPr>
            <w:tcW w:w="920" w:type="dxa"/>
            <w:vAlign w:val="bottom"/>
            <w:shd w:val="clear" w:color="auto" w:fill="444444"/>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shd w:val="clear" w:color="auto" w:fill="444444"/>
          </w:tcPr>
          <w:p>
            <w:pPr>
              <w:spacing w:after="0"/>
              <w:rPr>
                <w:sz w:val="12"/>
                <w:szCs w:val="12"/>
                <w:color w:val="auto"/>
              </w:rPr>
            </w:pPr>
          </w:p>
        </w:tc>
        <w:tc>
          <w:tcPr>
            <w:tcW w:w="160" w:type="dxa"/>
            <w:vAlign w:val="bottom"/>
            <w:shd w:val="clear" w:color="auto" w:fill="444444"/>
          </w:tcPr>
          <w:p>
            <w:pPr>
              <w:spacing w:after="0"/>
              <w:rPr>
                <w:sz w:val="12"/>
                <w:szCs w:val="12"/>
                <w:color w:val="auto"/>
              </w:rPr>
            </w:pPr>
          </w:p>
        </w:tc>
        <w:tc>
          <w:tcPr>
            <w:tcW w:w="84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Value of</w:t>
            </w:r>
          </w:p>
        </w:tc>
        <w:tc>
          <w:tcPr>
            <w:tcW w:w="1240" w:type="dxa"/>
            <w:vAlign w:val="bottom"/>
            <w:gridSpan w:val="2"/>
            <w:shd w:val="clear" w:color="auto" w:fill="444444"/>
          </w:tcPr>
          <w:p>
            <w:pPr>
              <w:jc w:val="right"/>
              <w:ind w:right="158"/>
              <w:spacing w:after="0"/>
              <w:rPr>
                <w:sz w:val="20"/>
                <w:szCs w:val="20"/>
                <w:color w:val="auto"/>
              </w:rPr>
            </w:pPr>
            <w:r>
              <w:rPr>
                <w:rFonts w:ascii="Arial" w:cs="Arial" w:eastAsia="Arial" w:hAnsi="Arial"/>
                <w:sz w:val="13"/>
                <w:szCs w:val="13"/>
                <w:b w:val="1"/>
                <w:bCs w:val="1"/>
                <w:color w:val="FFFFFF"/>
              </w:rPr>
              <w:t>Equity</w:t>
            </w:r>
          </w:p>
        </w:tc>
        <w:tc>
          <w:tcPr>
            <w:tcW w:w="1380" w:type="dxa"/>
            <w:vAlign w:val="bottom"/>
            <w:shd w:val="clear" w:color="auto" w:fill="444444"/>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444444"/>
          </w:tcPr>
          <w:p>
            <w:pPr>
              <w:spacing w:after="0"/>
              <w:rPr>
                <w:sz w:val="12"/>
                <w:szCs w:val="12"/>
                <w:color w:val="auto"/>
              </w:rPr>
            </w:pPr>
          </w:p>
        </w:tc>
        <w:tc>
          <w:tcPr>
            <w:tcW w:w="1000" w:type="dxa"/>
            <w:vAlign w:val="bottom"/>
            <w:shd w:val="clear" w:color="auto" w:fill="444444"/>
          </w:tcPr>
          <w:p>
            <w:pPr>
              <w:spacing w:after="0"/>
              <w:rPr>
                <w:sz w:val="12"/>
                <w:szCs w:val="12"/>
                <w:color w:val="auto"/>
              </w:rPr>
            </w:pPr>
          </w:p>
        </w:tc>
        <w:tc>
          <w:tcPr>
            <w:tcW w:w="1220" w:type="dxa"/>
            <w:vAlign w:val="bottom"/>
            <w:shd w:val="clear" w:color="auto" w:fill="444444"/>
          </w:tcPr>
          <w:p>
            <w:pPr>
              <w:spacing w:after="0"/>
              <w:rPr>
                <w:sz w:val="12"/>
                <w:szCs w:val="12"/>
                <w:color w:val="auto"/>
              </w:rPr>
            </w:pPr>
          </w:p>
        </w:tc>
        <w:tc>
          <w:tcPr>
            <w:tcW w:w="760" w:type="dxa"/>
            <w:vAlign w:val="bottom"/>
            <w:shd w:val="clear" w:color="auto" w:fill="444444"/>
          </w:tcPr>
          <w:p>
            <w:pPr>
              <w:spacing w:after="0"/>
              <w:rPr>
                <w:sz w:val="12"/>
                <w:szCs w:val="12"/>
                <w:color w:val="auto"/>
              </w:rPr>
            </w:pPr>
          </w:p>
        </w:tc>
        <w:tc>
          <w:tcPr>
            <w:tcW w:w="920" w:type="dxa"/>
            <w:vAlign w:val="bottom"/>
            <w:shd w:val="clear" w:color="auto" w:fill="444444"/>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shd w:val="clear" w:color="auto" w:fill="444444"/>
          </w:tcPr>
          <w:p>
            <w:pPr>
              <w:spacing w:after="0"/>
              <w:rPr>
                <w:sz w:val="12"/>
                <w:szCs w:val="12"/>
                <w:color w:val="auto"/>
              </w:rPr>
            </w:pPr>
          </w:p>
        </w:tc>
        <w:tc>
          <w:tcPr>
            <w:tcW w:w="160" w:type="dxa"/>
            <w:vAlign w:val="bottom"/>
            <w:shd w:val="clear" w:color="auto" w:fill="444444"/>
          </w:tcPr>
          <w:p>
            <w:pPr>
              <w:spacing w:after="0"/>
              <w:rPr>
                <w:sz w:val="12"/>
                <w:szCs w:val="12"/>
                <w:color w:val="auto"/>
              </w:rPr>
            </w:pPr>
          </w:p>
        </w:tc>
        <w:tc>
          <w:tcPr>
            <w:tcW w:w="84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Shares</w:t>
            </w:r>
          </w:p>
        </w:tc>
        <w:tc>
          <w:tcPr>
            <w:tcW w:w="1240" w:type="dxa"/>
            <w:vAlign w:val="bottom"/>
            <w:gridSpan w:val="2"/>
            <w:shd w:val="clear" w:color="auto" w:fill="444444"/>
          </w:tcPr>
          <w:p>
            <w:pPr>
              <w:jc w:val="right"/>
              <w:ind w:right="158"/>
              <w:spacing w:after="0"/>
              <w:rPr>
                <w:sz w:val="20"/>
                <w:szCs w:val="20"/>
                <w:color w:val="auto"/>
              </w:rPr>
            </w:pPr>
            <w:r>
              <w:rPr>
                <w:rFonts w:ascii="Arial" w:cs="Arial" w:eastAsia="Arial" w:hAnsi="Arial"/>
                <w:sz w:val="13"/>
                <w:szCs w:val="13"/>
                <w:b w:val="1"/>
                <w:bCs w:val="1"/>
                <w:color w:val="FFFFFF"/>
              </w:rPr>
              <w:t>Incentive Plan</w:t>
            </w:r>
          </w:p>
        </w:tc>
        <w:tc>
          <w:tcPr>
            <w:tcW w:w="1380" w:type="dxa"/>
            <w:vAlign w:val="bottom"/>
            <w:shd w:val="clear" w:color="auto" w:fill="444444"/>
          </w:tcPr>
          <w:p>
            <w:pPr>
              <w:jc w:val="right"/>
              <w:ind w:right="93"/>
              <w:spacing w:after="0"/>
              <w:rPr>
                <w:sz w:val="20"/>
                <w:szCs w:val="20"/>
                <w:color w:val="auto"/>
              </w:rPr>
            </w:pPr>
            <w:r>
              <w:rPr>
                <w:rFonts w:ascii="Arial" w:cs="Arial" w:eastAsia="Arial" w:hAnsi="Arial"/>
                <w:sz w:val="13"/>
                <w:szCs w:val="13"/>
                <w:b w:val="1"/>
                <w:bCs w:val="1"/>
                <w:color w:val="FFFFFF"/>
              </w:rPr>
              <w:t>Equity Incentive</w:t>
            </w:r>
          </w:p>
        </w:tc>
        <w:tc>
          <w:tcPr>
            <w:tcW w:w="0" w:type="dxa"/>
            <w:vAlign w:val="bottom"/>
          </w:tcPr>
          <w:p>
            <w:pPr>
              <w:spacing w:after="0"/>
              <w:rPr>
                <w:sz w:val="1"/>
                <w:szCs w:val="1"/>
                <w:color w:val="auto"/>
              </w:rPr>
            </w:pPr>
          </w:p>
        </w:tc>
      </w:tr>
      <w:tr>
        <w:trPr>
          <w:trHeight w:val="148"/>
        </w:trPr>
        <w:tc>
          <w:tcPr>
            <w:tcW w:w="2100" w:type="dxa"/>
            <w:vAlign w:val="bottom"/>
            <w:shd w:val="clear" w:color="auto" w:fill="444444"/>
          </w:tcPr>
          <w:p>
            <w:pPr>
              <w:spacing w:after="0"/>
              <w:rPr>
                <w:sz w:val="12"/>
                <w:szCs w:val="12"/>
                <w:color w:val="auto"/>
              </w:rPr>
            </w:pPr>
          </w:p>
        </w:tc>
        <w:tc>
          <w:tcPr>
            <w:tcW w:w="1000" w:type="dxa"/>
            <w:vAlign w:val="bottom"/>
            <w:shd w:val="clear" w:color="auto" w:fill="444444"/>
          </w:tcPr>
          <w:p>
            <w:pPr>
              <w:spacing w:after="0"/>
              <w:rPr>
                <w:sz w:val="12"/>
                <w:szCs w:val="12"/>
                <w:color w:val="auto"/>
              </w:rPr>
            </w:pPr>
          </w:p>
        </w:tc>
        <w:tc>
          <w:tcPr>
            <w:tcW w:w="1220" w:type="dxa"/>
            <w:vAlign w:val="bottom"/>
            <w:shd w:val="clear" w:color="auto" w:fill="444444"/>
          </w:tcPr>
          <w:p>
            <w:pPr>
              <w:spacing w:after="0"/>
              <w:rPr>
                <w:sz w:val="12"/>
                <w:szCs w:val="12"/>
                <w:color w:val="auto"/>
              </w:rPr>
            </w:pPr>
          </w:p>
        </w:tc>
        <w:tc>
          <w:tcPr>
            <w:tcW w:w="760" w:type="dxa"/>
            <w:vAlign w:val="bottom"/>
            <w:shd w:val="clear" w:color="auto" w:fill="444444"/>
          </w:tcPr>
          <w:p>
            <w:pPr>
              <w:spacing w:after="0"/>
              <w:rPr>
                <w:sz w:val="12"/>
                <w:szCs w:val="12"/>
                <w:color w:val="auto"/>
              </w:rPr>
            </w:pPr>
          </w:p>
        </w:tc>
        <w:tc>
          <w:tcPr>
            <w:tcW w:w="920" w:type="dxa"/>
            <w:vAlign w:val="bottom"/>
            <w:shd w:val="clear" w:color="auto" w:fill="444444"/>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2"/>
            <w:shd w:val="clear" w:color="auto" w:fill="444444"/>
          </w:tcPr>
          <w:p>
            <w:pPr>
              <w:jc w:val="right"/>
              <w:ind w:right="112"/>
              <w:spacing w:after="0"/>
              <w:rPr>
                <w:sz w:val="20"/>
                <w:szCs w:val="20"/>
                <w:color w:val="auto"/>
              </w:rPr>
            </w:pPr>
            <w:r>
              <w:rPr>
                <w:rFonts w:ascii="Arial" w:cs="Arial" w:eastAsia="Arial" w:hAnsi="Arial"/>
                <w:sz w:val="13"/>
                <w:szCs w:val="13"/>
                <w:b w:val="1"/>
                <w:bCs w:val="1"/>
                <w:color w:val="FFFFFF"/>
              </w:rPr>
              <w:t>Number of</w:t>
            </w:r>
          </w:p>
        </w:tc>
        <w:tc>
          <w:tcPr>
            <w:tcW w:w="84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or Units</w:t>
            </w:r>
          </w:p>
        </w:tc>
        <w:tc>
          <w:tcPr>
            <w:tcW w:w="1240" w:type="dxa"/>
            <w:vAlign w:val="bottom"/>
            <w:gridSpan w:val="2"/>
            <w:shd w:val="clear" w:color="auto" w:fill="444444"/>
          </w:tcPr>
          <w:p>
            <w:pPr>
              <w:jc w:val="right"/>
              <w:ind w:right="158"/>
              <w:spacing w:after="0"/>
              <w:rPr>
                <w:sz w:val="20"/>
                <w:szCs w:val="20"/>
                <w:color w:val="auto"/>
              </w:rPr>
            </w:pPr>
            <w:r>
              <w:rPr>
                <w:rFonts w:ascii="Arial" w:cs="Arial" w:eastAsia="Arial" w:hAnsi="Arial"/>
                <w:sz w:val="13"/>
                <w:szCs w:val="13"/>
                <w:b w:val="1"/>
                <w:bCs w:val="1"/>
                <w:color w:val="FFFFFF"/>
              </w:rPr>
              <w:t>Awards:</w:t>
            </w:r>
          </w:p>
        </w:tc>
        <w:tc>
          <w:tcPr>
            <w:tcW w:w="1380" w:type="dxa"/>
            <w:vAlign w:val="bottom"/>
            <w:shd w:val="clear" w:color="auto" w:fill="444444"/>
          </w:tcPr>
          <w:p>
            <w:pPr>
              <w:jc w:val="right"/>
              <w:ind w:right="93"/>
              <w:spacing w:after="0"/>
              <w:rPr>
                <w:sz w:val="20"/>
                <w:szCs w:val="20"/>
                <w:color w:val="auto"/>
              </w:rPr>
            </w:pPr>
            <w:r>
              <w:rPr>
                <w:rFonts w:ascii="Arial" w:cs="Arial" w:eastAsia="Arial" w:hAnsi="Arial"/>
                <w:sz w:val="13"/>
                <w:szCs w:val="13"/>
                <w:b w:val="1"/>
                <w:bCs w:val="1"/>
                <w:color w:val="FFFFFF"/>
              </w:rPr>
              <w:t>Plan Awards:</w:t>
            </w:r>
          </w:p>
        </w:tc>
        <w:tc>
          <w:tcPr>
            <w:tcW w:w="0" w:type="dxa"/>
            <w:vAlign w:val="bottom"/>
          </w:tcPr>
          <w:p>
            <w:pPr>
              <w:spacing w:after="0"/>
              <w:rPr>
                <w:sz w:val="1"/>
                <w:szCs w:val="1"/>
                <w:color w:val="auto"/>
              </w:rPr>
            </w:pPr>
          </w:p>
        </w:tc>
      </w:tr>
      <w:tr>
        <w:trPr>
          <w:trHeight w:val="149"/>
        </w:trPr>
        <w:tc>
          <w:tcPr>
            <w:tcW w:w="2100" w:type="dxa"/>
            <w:vAlign w:val="bottom"/>
            <w:shd w:val="clear" w:color="auto" w:fill="444444"/>
          </w:tcPr>
          <w:p>
            <w:pPr>
              <w:spacing w:after="0"/>
              <w:rPr>
                <w:sz w:val="12"/>
                <w:szCs w:val="12"/>
                <w:color w:val="auto"/>
              </w:rPr>
            </w:pPr>
          </w:p>
        </w:tc>
        <w:tc>
          <w:tcPr>
            <w:tcW w:w="100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Number of</w:t>
            </w:r>
          </w:p>
        </w:tc>
        <w:tc>
          <w:tcPr>
            <w:tcW w:w="122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Number of</w:t>
            </w:r>
          </w:p>
        </w:tc>
        <w:tc>
          <w:tcPr>
            <w:tcW w:w="760" w:type="dxa"/>
            <w:vAlign w:val="bottom"/>
            <w:shd w:val="clear" w:color="auto" w:fill="444444"/>
          </w:tcPr>
          <w:p>
            <w:pPr>
              <w:spacing w:after="0"/>
              <w:rPr>
                <w:sz w:val="12"/>
                <w:szCs w:val="12"/>
                <w:color w:val="auto"/>
              </w:rPr>
            </w:pPr>
          </w:p>
        </w:tc>
        <w:tc>
          <w:tcPr>
            <w:tcW w:w="920" w:type="dxa"/>
            <w:vAlign w:val="bottom"/>
            <w:shd w:val="clear" w:color="auto" w:fill="444444"/>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2"/>
            <w:shd w:val="clear" w:color="auto" w:fill="444444"/>
          </w:tcPr>
          <w:p>
            <w:pPr>
              <w:jc w:val="right"/>
              <w:ind w:right="112"/>
              <w:spacing w:after="0"/>
              <w:rPr>
                <w:sz w:val="20"/>
                <w:szCs w:val="20"/>
                <w:color w:val="auto"/>
              </w:rPr>
            </w:pPr>
            <w:r>
              <w:rPr>
                <w:rFonts w:ascii="Arial" w:cs="Arial" w:eastAsia="Arial" w:hAnsi="Arial"/>
                <w:sz w:val="13"/>
                <w:szCs w:val="13"/>
                <w:b w:val="1"/>
                <w:bCs w:val="1"/>
                <w:color w:val="FFFFFF"/>
              </w:rPr>
              <w:t>Shares or</w:t>
            </w:r>
          </w:p>
        </w:tc>
        <w:tc>
          <w:tcPr>
            <w:tcW w:w="84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of Stock</w:t>
            </w:r>
          </w:p>
        </w:tc>
        <w:tc>
          <w:tcPr>
            <w:tcW w:w="1240" w:type="dxa"/>
            <w:vAlign w:val="bottom"/>
            <w:gridSpan w:val="2"/>
            <w:shd w:val="clear" w:color="auto" w:fill="444444"/>
          </w:tcPr>
          <w:p>
            <w:pPr>
              <w:jc w:val="right"/>
              <w:ind w:right="158"/>
              <w:spacing w:after="0"/>
              <w:rPr>
                <w:sz w:val="20"/>
                <w:szCs w:val="20"/>
                <w:color w:val="auto"/>
              </w:rPr>
            </w:pPr>
            <w:r>
              <w:rPr>
                <w:rFonts w:ascii="Arial" w:cs="Arial" w:eastAsia="Arial" w:hAnsi="Arial"/>
                <w:sz w:val="13"/>
                <w:szCs w:val="13"/>
                <w:b w:val="1"/>
                <w:bCs w:val="1"/>
                <w:color w:val="FFFFFF"/>
              </w:rPr>
              <w:t>Number of</w:t>
            </w:r>
          </w:p>
        </w:tc>
        <w:tc>
          <w:tcPr>
            <w:tcW w:w="1380" w:type="dxa"/>
            <w:vAlign w:val="bottom"/>
            <w:shd w:val="clear" w:color="auto" w:fill="444444"/>
          </w:tcPr>
          <w:p>
            <w:pPr>
              <w:jc w:val="right"/>
              <w:ind w:right="93"/>
              <w:spacing w:after="0"/>
              <w:rPr>
                <w:sz w:val="20"/>
                <w:szCs w:val="20"/>
                <w:color w:val="auto"/>
              </w:rPr>
            </w:pPr>
            <w:r>
              <w:rPr>
                <w:rFonts w:ascii="Arial" w:cs="Arial" w:eastAsia="Arial" w:hAnsi="Arial"/>
                <w:sz w:val="13"/>
                <w:szCs w:val="13"/>
                <w:b w:val="1"/>
                <w:bCs w:val="1"/>
                <w:color w:val="FFFFFF"/>
              </w:rPr>
              <w:t>Market or Payout</w:t>
            </w:r>
          </w:p>
        </w:tc>
        <w:tc>
          <w:tcPr>
            <w:tcW w:w="0" w:type="dxa"/>
            <w:vAlign w:val="bottom"/>
          </w:tcPr>
          <w:p>
            <w:pPr>
              <w:spacing w:after="0"/>
              <w:rPr>
                <w:sz w:val="1"/>
                <w:szCs w:val="1"/>
                <w:color w:val="auto"/>
              </w:rPr>
            </w:pPr>
          </w:p>
        </w:tc>
      </w:tr>
      <w:tr>
        <w:trPr>
          <w:trHeight w:val="148"/>
        </w:trPr>
        <w:tc>
          <w:tcPr>
            <w:tcW w:w="2100" w:type="dxa"/>
            <w:vAlign w:val="bottom"/>
            <w:shd w:val="clear" w:color="auto" w:fill="444444"/>
          </w:tcPr>
          <w:p>
            <w:pPr>
              <w:spacing w:after="0"/>
              <w:rPr>
                <w:sz w:val="12"/>
                <w:szCs w:val="12"/>
                <w:color w:val="auto"/>
              </w:rPr>
            </w:pPr>
          </w:p>
        </w:tc>
        <w:tc>
          <w:tcPr>
            <w:tcW w:w="100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Securities</w:t>
            </w:r>
          </w:p>
        </w:tc>
        <w:tc>
          <w:tcPr>
            <w:tcW w:w="122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Securities</w:t>
            </w:r>
          </w:p>
        </w:tc>
        <w:tc>
          <w:tcPr>
            <w:tcW w:w="760" w:type="dxa"/>
            <w:vAlign w:val="bottom"/>
            <w:shd w:val="clear" w:color="auto" w:fill="444444"/>
          </w:tcPr>
          <w:p>
            <w:pPr>
              <w:spacing w:after="0"/>
              <w:rPr>
                <w:sz w:val="12"/>
                <w:szCs w:val="12"/>
                <w:color w:val="auto"/>
              </w:rPr>
            </w:pPr>
          </w:p>
        </w:tc>
        <w:tc>
          <w:tcPr>
            <w:tcW w:w="920" w:type="dxa"/>
            <w:vAlign w:val="bottom"/>
            <w:shd w:val="clear" w:color="auto" w:fill="444444"/>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2"/>
            <w:shd w:val="clear" w:color="auto" w:fill="444444"/>
          </w:tcPr>
          <w:p>
            <w:pPr>
              <w:jc w:val="right"/>
              <w:ind w:right="112"/>
              <w:spacing w:after="0"/>
              <w:rPr>
                <w:sz w:val="20"/>
                <w:szCs w:val="20"/>
                <w:color w:val="auto"/>
              </w:rPr>
            </w:pPr>
            <w:r>
              <w:rPr>
                <w:rFonts w:ascii="Arial" w:cs="Arial" w:eastAsia="Arial" w:hAnsi="Arial"/>
                <w:sz w:val="13"/>
                <w:szCs w:val="13"/>
                <w:b w:val="1"/>
                <w:bCs w:val="1"/>
                <w:color w:val="FFFFFF"/>
              </w:rPr>
              <w:t>Units of</w:t>
            </w:r>
          </w:p>
        </w:tc>
        <w:tc>
          <w:tcPr>
            <w:tcW w:w="84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That</w:t>
            </w:r>
          </w:p>
        </w:tc>
        <w:tc>
          <w:tcPr>
            <w:tcW w:w="1240" w:type="dxa"/>
            <w:vAlign w:val="bottom"/>
            <w:gridSpan w:val="2"/>
            <w:shd w:val="clear" w:color="auto" w:fill="444444"/>
          </w:tcPr>
          <w:p>
            <w:pPr>
              <w:jc w:val="right"/>
              <w:ind w:right="158"/>
              <w:spacing w:after="0"/>
              <w:rPr>
                <w:sz w:val="20"/>
                <w:szCs w:val="20"/>
                <w:color w:val="auto"/>
              </w:rPr>
            </w:pPr>
            <w:r>
              <w:rPr>
                <w:rFonts w:ascii="Arial" w:cs="Arial" w:eastAsia="Arial" w:hAnsi="Arial"/>
                <w:sz w:val="13"/>
                <w:szCs w:val="13"/>
                <w:b w:val="1"/>
                <w:bCs w:val="1"/>
                <w:color w:val="FFFFFF"/>
              </w:rPr>
              <w:t>Unearned</w:t>
            </w:r>
          </w:p>
        </w:tc>
        <w:tc>
          <w:tcPr>
            <w:tcW w:w="1380" w:type="dxa"/>
            <w:vAlign w:val="bottom"/>
            <w:shd w:val="clear" w:color="auto" w:fill="444444"/>
          </w:tcPr>
          <w:p>
            <w:pPr>
              <w:jc w:val="right"/>
              <w:ind w:right="93"/>
              <w:spacing w:after="0"/>
              <w:rPr>
                <w:sz w:val="20"/>
                <w:szCs w:val="20"/>
                <w:color w:val="auto"/>
              </w:rPr>
            </w:pPr>
            <w:r>
              <w:rPr>
                <w:rFonts w:ascii="Arial" w:cs="Arial" w:eastAsia="Arial" w:hAnsi="Arial"/>
                <w:sz w:val="13"/>
                <w:szCs w:val="13"/>
                <w:b w:val="1"/>
                <w:bCs w:val="1"/>
                <w:color w:val="FFFFFF"/>
              </w:rPr>
              <w:t>Value of Unearned</w:t>
            </w:r>
          </w:p>
        </w:tc>
        <w:tc>
          <w:tcPr>
            <w:tcW w:w="0" w:type="dxa"/>
            <w:vAlign w:val="bottom"/>
          </w:tcPr>
          <w:p>
            <w:pPr>
              <w:spacing w:after="0"/>
              <w:rPr>
                <w:sz w:val="1"/>
                <w:szCs w:val="1"/>
                <w:color w:val="auto"/>
              </w:rPr>
            </w:pPr>
          </w:p>
        </w:tc>
      </w:tr>
      <w:tr>
        <w:trPr>
          <w:trHeight w:val="148"/>
        </w:trPr>
        <w:tc>
          <w:tcPr>
            <w:tcW w:w="2100" w:type="dxa"/>
            <w:vAlign w:val="bottom"/>
            <w:shd w:val="clear" w:color="auto" w:fill="444444"/>
          </w:tcPr>
          <w:p>
            <w:pPr>
              <w:spacing w:after="0"/>
              <w:rPr>
                <w:sz w:val="12"/>
                <w:szCs w:val="12"/>
                <w:color w:val="auto"/>
              </w:rPr>
            </w:pPr>
          </w:p>
        </w:tc>
        <w:tc>
          <w:tcPr>
            <w:tcW w:w="100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Underlying</w:t>
            </w:r>
          </w:p>
        </w:tc>
        <w:tc>
          <w:tcPr>
            <w:tcW w:w="122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Underlying</w:t>
            </w:r>
          </w:p>
        </w:tc>
        <w:tc>
          <w:tcPr>
            <w:tcW w:w="76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Option</w:t>
            </w:r>
          </w:p>
        </w:tc>
        <w:tc>
          <w:tcPr>
            <w:tcW w:w="920" w:type="dxa"/>
            <w:vAlign w:val="bottom"/>
            <w:shd w:val="clear" w:color="auto" w:fill="444444"/>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2"/>
            <w:shd w:val="clear" w:color="auto" w:fill="444444"/>
          </w:tcPr>
          <w:p>
            <w:pPr>
              <w:jc w:val="right"/>
              <w:ind w:right="112"/>
              <w:spacing w:after="0"/>
              <w:rPr>
                <w:sz w:val="20"/>
                <w:szCs w:val="20"/>
                <w:color w:val="auto"/>
              </w:rPr>
            </w:pPr>
            <w:r>
              <w:rPr>
                <w:rFonts w:ascii="Arial" w:cs="Arial" w:eastAsia="Arial" w:hAnsi="Arial"/>
                <w:sz w:val="13"/>
                <w:szCs w:val="13"/>
                <w:b w:val="1"/>
                <w:bCs w:val="1"/>
                <w:color w:val="FFFFFF"/>
              </w:rPr>
              <w:t>Stock That</w:t>
            </w:r>
          </w:p>
        </w:tc>
        <w:tc>
          <w:tcPr>
            <w:tcW w:w="84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Have</w:t>
            </w:r>
          </w:p>
        </w:tc>
        <w:tc>
          <w:tcPr>
            <w:tcW w:w="1240" w:type="dxa"/>
            <w:vAlign w:val="bottom"/>
            <w:gridSpan w:val="2"/>
            <w:shd w:val="clear" w:color="auto" w:fill="444444"/>
          </w:tcPr>
          <w:p>
            <w:pPr>
              <w:jc w:val="right"/>
              <w:ind w:right="158"/>
              <w:spacing w:after="0"/>
              <w:rPr>
                <w:sz w:val="20"/>
                <w:szCs w:val="20"/>
                <w:color w:val="auto"/>
              </w:rPr>
            </w:pPr>
            <w:r>
              <w:rPr>
                <w:rFonts w:ascii="Arial" w:cs="Arial" w:eastAsia="Arial" w:hAnsi="Arial"/>
                <w:sz w:val="13"/>
                <w:szCs w:val="13"/>
                <w:b w:val="1"/>
                <w:bCs w:val="1"/>
                <w:color w:val="FFFFFF"/>
              </w:rPr>
              <w:t>Shares, Units</w:t>
            </w:r>
          </w:p>
        </w:tc>
        <w:tc>
          <w:tcPr>
            <w:tcW w:w="1380" w:type="dxa"/>
            <w:vAlign w:val="bottom"/>
            <w:shd w:val="clear" w:color="auto" w:fill="444444"/>
          </w:tcPr>
          <w:p>
            <w:pPr>
              <w:jc w:val="right"/>
              <w:ind w:right="93"/>
              <w:spacing w:after="0"/>
              <w:rPr>
                <w:sz w:val="20"/>
                <w:szCs w:val="20"/>
                <w:color w:val="auto"/>
              </w:rPr>
            </w:pPr>
            <w:r>
              <w:rPr>
                <w:rFonts w:ascii="Arial" w:cs="Arial" w:eastAsia="Arial" w:hAnsi="Arial"/>
                <w:sz w:val="13"/>
                <w:szCs w:val="13"/>
                <w:b w:val="1"/>
                <w:bCs w:val="1"/>
                <w:color w:val="FFFFFF"/>
              </w:rPr>
              <w:t>Shares, Units or</w:t>
            </w:r>
          </w:p>
        </w:tc>
        <w:tc>
          <w:tcPr>
            <w:tcW w:w="0" w:type="dxa"/>
            <w:vAlign w:val="bottom"/>
          </w:tcPr>
          <w:p>
            <w:pPr>
              <w:spacing w:after="0"/>
              <w:rPr>
                <w:sz w:val="1"/>
                <w:szCs w:val="1"/>
                <w:color w:val="auto"/>
              </w:rPr>
            </w:pPr>
          </w:p>
        </w:tc>
      </w:tr>
      <w:tr>
        <w:trPr>
          <w:trHeight w:val="148"/>
        </w:trPr>
        <w:tc>
          <w:tcPr>
            <w:tcW w:w="2100" w:type="dxa"/>
            <w:vAlign w:val="bottom"/>
            <w:shd w:val="clear" w:color="auto" w:fill="444444"/>
          </w:tcPr>
          <w:p>
            <w:pPr>
              <w:spacing w:after="0"/>
              <w:rPr>
                <w:sz w:val="12"/>
                <w:szCs w:val="12"/>
                <w:color w:val="auto"/>
              </w:rPr>
            </w:pPr>
          </w:p>
        </w:tc>
        <w:tc>
          <w:tcPr>
            <w:tcW w:w="100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Unexercised</w:t>
            </w:r>
          </w:p>
        </w:tc>
        <w:tc>
          <w:tcPr>
            <w:tcW w:w="122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Unexercised</w:t>
            </w:r>
          </w:p>
        </w:tc>
        <w:tc>
          <w:tcPr>
            <w:tcW w:w="76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Exercise</w:t>
            </w:r>
          </w:p>
        </w:tc>
        <w:tc>
          <w:tcPr>
            <w:tcW w:w="92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Option</w:t>
            </w:r>
          </w:p>
        </w:tc>
        <w:tc>
          <w:tcPr>
            <w:tcW w:w="540" w:type="dxa"/>
            <w:vAlign w:val="bottom"/>
          </w:tcPr>
          <w:p>
            <w:pPr>
              <w:spacing w:after="0"/>
              <w:rPr>
                <w:sz w:val="12"/>
                <w:szCs w:val="12"/>
                <w:color w:val="auto"/>
              </w:rPr>
            </w:pPr>
          </w:p>
        </w:tc>
        <w:tc>
          <w:tcPr>
            <w:tcW w:w="1020" w:type="dxa"/>
            <w:vAlign w:val="bottom"/>
            <w:gridSpan w:val="2"/>
            <w:shd w:val="clear" w:color="auto" w:fill="444444"/>
          </w:tcPr>
          <w:p>
            <w:pPr>
              <w:jc w:val="right"/>
              <w:ind w:right="112"/>
              <w:spacing w:after="0"/>
              <w:rPr>
                <w:sz w:val="20"/>
                <w:szCs w:val="20"/>
                <w:color w:val="auto"/>
              </w:rPr>
            </w:pPr>
            <w:r>
              <w:rPr>
                <w:rFonts w:ascii="Arial" w:cs="Arial" w:eastAsia="Arial" w:hAnsi="Arial"/>
                <w:sz w:val="13"/>
                <w:szCs w:val="13"/>
                <w:b w:val="1"/>
                <w:bCs w:val="1"/>
                <w:color w:val="FFFFFF"/>
              </w:rPr>
              <w:t>Have Not</w:t>
            </w:r>
          </w:p>
        </w:tc>
        <w:tc>
          <w:tcPr>
            <w:tcW w:w="840" w:type="dxa"/>
            <w:vAlign w:val="bottom"/>
            <w:shd w:val="clear" w:color="auto" w:fill="444444"/>
          </w:tcPr>
          <w:p>
            <w:pPr>
              <w:jc w:val="right"/>
              <w:spacing w:after="0"/>
              <w:rPr>
                <w:sz w:val="20"/>
                <w:szCs w:val="20"/>
                <w:color w:val="auto"/>
              </w:rPr>
            </w:pPr>
            <w:r>
              <w:rPr>
                <w:rFonts w:ascii="Arial" w:cs="Arial" w:eastAsia="Arial" w:hAnsi="Arial"/>
                <w:sz w:val="13"/>
                <w:szCs w:val="13"/>
                <w:b w:val="1"/>
                <w:bCs w:val="1"/>
                <w:color w:val="FFFFFF"/>
              </w:rPr>
              <w:t>Not</w:t>
            </w:r>
          </w:p>
        </w:tc>
        <w:tc>
          <w:tcPr>
            <w:tcW w:w="1240" w:type="dxa"/>
            <w:vAlign w:val="bottom"/>
            <w:gridSpan w:val="2"/>
            <w:shd w:val="clear" w:color="auto" w:fill="444444"/>
          </w:tcPr>
          <w:p>
            <w:pPr>
              <w:jc w:val="right"/>
              <w:ind w:right="158"/>
              <w:spacing w:after="0"/>
              <w:rPr>
                <w:sz w:val="20"/>
                <w:szCs w:val="20"/>
                <w:color w:val="auto"/>
              </w:rPr>
            </w:pPr>
            <w:r>
              <w:rPr>
                <w:rFonts w:ascii="Arial" w:cs="Arial" w:eastAsia="Arial" w:hAnsi="Arial"/>
                <w:sz w:val="13"/>
                <w:szCs w:val="13"/>
                <w:b w:val="1"/>
                <w:bCs w:val="1"/>
                <w:color w:val="FFFFFF"/>
              </w:rPr>
              <w:t>or Other Rights</w:t>
            </w:r>
          </w:p>
        </w:tc>
        <w:tc>
          <w:tcPr>
            <w:tcW w:w="1380" w:type="dxa"/>
            <w:vAlign w:val="bottom"/>
            <w:shd w:val="clear" w:color="auto" w:fill="444444"/>
          </w:tcPr>
          <w:p>
            <w:pPr>
              <w:jc w:val="right"/>
              <w:ind w:right="93"/>
              <w:spacing w:after="0"/>
              <w:rPr>
                <w:sz w:val="20"/>
                <w:szCs w:val="20"/>
                <w:color w:val="auto"/>
              </w:rPr>
            </w:pPr>
            <w:r>
              <w:rPr>
                <w:rFonts w:ascii="Arial" w:cs="Arial" w:eastAsia="Arial" w:hAnsi="Arial"/>
                <w:sz w:val="13"/>
                <w:szCs w:val="13"/>
                <w:b w:val="1"/>
                <w:bCs w:val="1"/>
                <w:color w:val="FFFFFF"/>
              </w:rPr>
              <w:t>Other Rights That</w:t>
            </w:r>
          </w:p>
        </w:tc>
        <w:tc>
          <w:tcPr>
            <w:tcW w:w="0" w:type="dxa"/>
            <w:vAlign w:val="bottom"/>
          </w:tcPr>
          <w:p>
            <w:pPr>
              <w:spacing w:after="0"/>
              <w:rPr>
                <w:sz w:val="1"/>
                <w:szCs w:val="1"/>
                <w:color w:val="auto"/>
              </w:rPr>
            </w:pPr>
          </w:p>
        </w:tc>
      </w:tr>
      <w:tr>
        <w:trPr>
          <w:trHeight w:val="147"/>
        </w:trPr>
        <w:tc>
          <w:tcPr>
            <w:tcW w:w="2100" w:type="dxa"/>
            <w:vAlign w:val="bottom"/>
            <w:shd w:val="clear" w:color="auto" w:fill="444444"/>
          </w:tcPr>
          <w:p>
            <w:pPr>
              <w:spacing w:after="0"/>
              <w:rPr>
                <w:sz w:val="12"/>
                <w:szCs w:val="12"/>
                <w:color w:val="auto"/>
              </w:rPr>
            </w:pPr>
          </w:p>
        </w:tc>
        <w:tc>
          <w:tcPr>
            <w:tcW w:w="1000" w:type="dxa"/>
            <w:vAlign w:val="bottom"/>
            <w:shd w:val="clear" w:color="auto" w:fill="444444"/>
          </w:tcPr>
          <w:p>
            <w:pPr>
              <w:jc w:val="right"/>
              <w:spacing w:after="0" w:line="148" w:lineRule="exact"/>
              <w:rPr>
                <w:sz w:val="20"/>
                <w:szCs w:val="20"/>
                <w:color w:val="auto"/>
              </w:rPr>
            </w:pPr>
            <w:r>
              <w:rPr>
                <w:rFonts w:ascii="Arial" w:cs="Arial" w:eastAsia="Arial" w:hAnsi="Arial"/>
                <w:sz w:val="13"/>
                <w:szCs w:val="13"/>
                <w:b w:val="1"/>
                <w:bCs w:val="1"/>
                <w:color w:val="FFFFFF"/>
              </w:rPr>
              <w:t>Options (#)</w:t>
            </w:r>
          </w:p>
        </w:tc>
        <w:tc>
          <w:tcPr>
            <w:tcW w:w="1220" w:type="dxa"/>
            <w:vAlign w:val="bottom"/>
            <w:shd w:val="clear" w:color="auto" w:fill="444444"/>
          </w:tcPr>
          <w:p>
            <w:pPr>
              <w:jc w:val="right"/>
              <w:spacing w:after="0" w:line="148" w:lineRule="exact"/>
              <w:rPr>
                <w:sz w:val="20"/>
                <w:szCs w:val="20"/>
                <w:color w:val="auto"/>
              </w:rPr>
            </w:pPr>
            <w:r>
              <w:rPr>
                <w:rFonts w:ascii="Arial" w:cs="Arial" w:eastAsia="Arial" w:hAnsi="Arial"/>
                <w:sz w:val="13"/>
                <w:szCs w:val="13"/>
                <w:b w:val="1"/>
                <w:bCs w:val="1"/>
                <w:color w:val="FFFFFF"/>
              </w:rPr>
              <w:t>Options (#)</w:t>
            </w:r>
          </w:p>
        </w:tc>
        <w:tc>
          <w:tcPr>
            <w:tcW w:w="760" w:type="dxa"/>
            <w:vAlign w:val="bottom"/>
            <w:shd w:val="clear" w:color="auto" w:fill="444444"/>
          </w:tcPr>
          <w:p>
            <w:pPr>
              <w:jc w:val="right"/>
              <w:spacing w:after="0" w:line="148" w:lineRule="exact"/>
              <w:rPr>
                <w:sz w:val="20"/>
                <w:szCs w:val="20"/>
                <w:color w:val="auto"/>
              </w:rPr>
            </w:pPr>
            <w:r>
              <w:rPr>
                <w:rFonts w:ascii="Arial" w:cs="Arial" w:eastAsia="Arial" w:hAnsi="Arial"/>
                <w:sz w:val="13"/>
                <w:szCs w:val="13"/>
                <w:b w:val="1"/>
                <w:bCs w:val="1"/>
                <w:color w:val="FFFFFF"/>
              </w:rPr>
              <w:t>Price</w:t>
            </w:r>
          </w:p>
        </w:tc>
        <w:tc>
          <w:tcPr>
            <w:tcW w:w="920" w:type="dxa"/>
            <w:vAlign w:val="bottom"/>
            <w:shd w:val="clear" w:color="auto" w:fill="444444"/>
          </w:tcPr>
          <w:p>
            <w:pPr>
              <w:jc w:val="right"/>
              <w:spacing w:after="0" w:line="148" w:lineRule="exact"/>
              <w:rPr>
                <w:sz w:val="20"/>
                <w:szCs w:val="20"/>
                <w:color w:val="auto"/>
              </w:rPr>
            </w:pPr>
            <w:r>
              <w:rPr>
                <w:rFonts w:ascii="Arial" w:cs="Arial" w:eastAsia="Arial" w:hAnsi="Arial"/>
                <w:sz w:val="13"/>
                <w:szCs w:val="13"/>
                <w:b w:val="1"/>
                <w:bCs w:val="1"/>
                <w:color w:val="FFFFFF"/>
              </w:rPr>
              <w:t>Expiration</w:t>
            </w:r>
          </w:p>
        </w:tc>
        <w:tc>
          <w:tcPr>
            <w:tcW w:w="540" w:type="dxa"/>
            <w:vAlign w:val="bottom"/>
          </w:tcPr>
          <w:p>
            <w:pPr>
              <w:spacing w:after="0"/>
              <w:rPr>
                <w:sz w:val="12"/>
                <w:szCs w:val="12"/>
                <w:color w:val="auto"/>
              </w:rPr>
            </w:pPr>
          </w:p>
        </w:tc>
        <w:tc>
          <w:tcPr>
            <w:tcW w:w="1020" w:type="dxa"/>
            <w:vAlign w:val="bottom"/>
            <w:gridSpan w:val="2"/>
            <w:shd w:val="clear" w:color="auto" w:fill="444444"/>
          </w:tcPr>
          <w:p>
            <w:pPr>
              <w:jc w:val="right"/>
              <w:ind w:right="112"/>
              <w:spacing w:after="0" w:line="148" w:lineRule="exact"/>
              <w:rPr>
                <w:sz w:val="20"/>
                <w:szCs w:val="20"/>
                <w:color w:val="auto"/>
              </w:rPr>
            </w:pPr>
            <w:r>
              <w:rPr>
                <w:rFonts w:ascii="Arial" w:cs="Arial" w:eastAsia="Arial" w:hAnsi="Arial"/>
                <w:sz w:val="13"/>
                <w:szCs w:val="13"/>
                <w:b w:val="1"/>
                <w:bCs w:val="1"/>
                <w:color w:val="FFFFFF"/>
              </w:rPr>
              <w:t>Vested</w:t>
            </w:r>
          </w:p>
        </w:tc>
        <w:tc>
          <w:tcPr>
            <w:tcW w:w="840" w:type="dxa"/>
            <w:vAlign w:val="bottom"/>
            <w:shd w:val="clear" w:color="auto" w:fill="444444"/>
          </w:tcPr>
          <w:p>
            <w:pPr>
              <w:jc w:val="right"/>
              <w:spacing w:after="0" w:line="148" w:lineRule="exact"/>
              <w:rPr>
                <w:sz w:val="20"/>
                <w:szCs w:val="20"/>
                <w:color w:val="auto"/>
              </w:rPr>
            </w:pPr>
            <w:r>
              <w:rPr>
                <w:rFonts w:ascii="Arial" w:cs="Arial" w:eastAsia="Arial" w:hAnsi="Arial"/>
                <w:sz w:val="13"/>
                <w:szCs w:val="13"/>
                <w:b w:val="1"/>
                <w:bCs w:val="1"/>
                <w:color w:val="FFFFFF"/>
              </w:rPr>
              <w:t>Vested</w:t>
            </w:r>
          </w:p>
        </w:tc>
        <w:tc>
          <w:tcPr>
            <w:tcW w:w="1240" w:type="dxa"/>
            <w:vAlign w:val="bottom"/>
            <w:gridSpan w:val="2"/>
            <w:shd w:val="clear" w:color="auto" w:fill="444444"/>
          </w:tcPr>
          <w:p>
            <w:pPr>
              <w:jc w:val="right"/>
              <w:ind w:right="158"/>
              <w:spacing w:after="0" w:line="148" w:lineRule="exact"/>
              <w:rPr>
                <w:sz w:val="20"/>
                <w:szCs w:val="20"/>
                <w:color w:val="auto"/>
              </w:rPr>
            </w:pPr>
            <w:r>
              <w:rPr>
                <w:rFonts w:ascii="Arial" w:cs="Arial" w:eastAsia="Arial" w:hAnsi="Arial"/>
                <w:sz w:val="13"/>
                <w:szCs w:val="13"/>
                <w:b w:val="1"/>
                <w:bCs w:val="1"/>
                <w:color w:val="FFFFFF"/>
              </w:rPr>
              <w:t>That Have Not</w:t>
            </w:r>
          </w:p>
        </w:tc>
        <w:tc>
          <w:tcPr>
            <w:tcW w:w="1380" w:type="dxa"/>
            <w:vAlign w:val="bottom"/>
            <w:shd w:val="clear" w:color="auto" w:fill="444444"/>
          </w:tcPr>
          <w:p>
            <w:pPr>
              <w:jc w:val="right"/>
              <w:ind w:right="93"/>
              <w:spacing w:after="0" w:line="148" w:lineRule="exact"/>
              <w:rPr>
                <w:sz w:val="20"/>
                <w:szCs w:val="20"/>
                <w:color w:val="auto"/>
              </w:rPr>
            </w:pPr>
            <w:r>
              <w:rPr>
                <w:rFonts w:ascii="Arial" w:cs="Arial" w:eastAsia="Arial" w:hAnsi="Arial"/>
                <w:sz w:val="13"/>
                <w:szCs w:val="13"/>
                <w:b w:val="1"/>
                <w:bCs w:val="1"/>
                <w:color w:val="FFFFFF"/>
              </w:rPr>
              <w:t>Have Not Vested</w:t>
            </w:r>
          </w:p>
        </w:tc>
        <w:tc>
          <w:tcPr>
            <w:tcW w:w="0" w:type="dxa"/>
            <w:vAlign w:val="bottom"/>
          </w:tcPr>
          <w:p>
            <w:pPr>
              <w:spacing w:after="0"/>
              <w:rPr>
                <w:sz w:val="1"/>
                <w:szCs w:val="1"/>
                <w:color w:val="auto"/>
              </w:rPr>
            </w:pPr>
          </w:p>
        </w:tc>
      </w:tr>
      <w:tr>
        <w:trPr>
          <w:trHeight w:val="180"/>
        </w:trPr>
        <w:tc>
          <w:tcPr>
            <w:tcW w:w="2100" w:type="dxa"/>
            <w:vAlign w:val="bottom"/>
            <w:tcBorders>
              <w:bottom w:val="single" w:sz="8" w:color="732282"/>
            </w:tcBorders>
            <w:shd w:val="clear" w:color="auto" w:fill="444444"/>
          </w:tcPr>
          <w:p>
            <w:pPr>
              <w:ind w:left="80"/>
              <w:spacing w:after="0"/>
              <w:rPr>
                <w:sz w:val="20"/>
                <w:szCs w:val="20"/>
                <w:color w:val="auto"/>
              </w:rPr>
            </w:pPr>
            <w:r>
              <w:rPr>
                <w:rFonts w:ascii="Arial" w:cs="Arial" w:eastAsia="Arial" w:hAnsi="Arial"/>
                <w:sz w:val="13"/>
                <w:szCs w:val="13"/>
                <w:b w:val="1"/>
                <w:bCs w:val="1"/>
                <w:color w:val="FFFFFF"/>
              </w:rPr>
              <w:t>N</w:t>
            </w:r>
            <w:r>
              <w:rPr>
                <w:rFonts w:ascii="Arial" w:cs="Arial" w:eastAsia="Arial" w:hAnsi="Arial"/>
                <w:sz w:val="11"/>
                <w:szCs w:val="11"/>
                <w:b w:val="1"/>
                <w:bCs w:val="1"/>
                <w:color w:val="FFFFFF"/>
              </w:rPr>
              <w:t>AME</w:t>
            </w:r>
          </w:p>
        </w:tc>
        <w:tc>
          <w:tcPr>
            <w:tcW w:w="1000" w:type="dxa"/>
            <w:vAlign w:val="bottom"/>
            <w:tcBorders>
              <w:bottom w:val="single" w:sz="8" w:color="732282"/>
            </w:tcBorders>
            <w:shd w:val="clear" w:color="auto" w:fill="444444"/>
          </w:tcPr>
          <w:p>
            <w:pPr>
              <w:jc w:val="right"/>
              <w:spacing w:after="0"/>
              <w:rPr>
                <w:sz w:val="20"/>
                <w:szCs w:val="20"/>
                <w:color w:val="auto"/>
              </w:rPr>
            </w:pPr>
            <w:r>
              <w:rPr>
                <w:rFonts w:ascii="Arial" w:cs="Arial" w:eastAsia="Arial" w:hAnsi="Arial"/>
                <w:sz w:val="13"/>
                <w:szCs w:val="13"/>
                <w:b w:val="1"/>
                <w:bCs w:val="1"/>
                <w:color w:val="FFFFFF"/>
              </w:rPr>
              <w:t>Exercisable</w:t>
            </w:r>
          </w:p>
        </w:tc>
        <w:tc>
          <w:tcPr>
            <w:tcW w:w="1220" w:type="dxa"/>
            <w:vAlign w:val="bottom"/>
            <w:tcBorders>
              <w:bottom w:val="single" w:sz="8" w:color="732282"/>
            </w:tcBorders>
            <w:shd w:val="clear" w:color="auto" w:fill="444444"/>
          </w:tcPr>
          <w:p>
            <w:pPr>
              <w:jc w:val="right"/>
              <w:spacing w:after="0" w:line="180" w:lineRule="exact"/>
              <w:rPr>
                <w:sz w:val="20"/>
                <w:szCs w:val="20"/>
                <w:color w:val="auto"/>
              </w:rPr>
            </w:pPr>
            <w:r>
              <w:rPr>
                <w:rFonts w:ascii="Arial" w:cs="Arial" w:eastAsia="Arial" w:hAnsi="Arial"/>
                <w:sz w:val="13"/>
                <w:szCs w:val="13"/>
                <w:b w:val="1"/>
                <w:bCs w:val="1"/>
                <w:color w:val="FFFFFF"/>
              </w:rPr>
              <w:t>Unexercisable</w:t>
            </w:r>
            <w:r>
              <w:rPr>
                <w:rFonts w:ascii="Arial" w:cs="Arial" w:eastAsia="Arial" w:hAnsi="Arial"/>
                <w:sz w:val="19"/>
                <w:szCs w:val="19"/>
                <w:b w:val="1"/>
                <w:bCs w:val="1"/>
                <w:color w:val="FFFFFF"/>
                <w:vertAlign w:val="superscript"/>
              </w:rPr>
              <w:t>(1)</w:t>
            </w:r>
          </w:p>
        </w:tc>
        <w:tc>
          <w:tcPr>
            <w:tcW w:w="760" w:type="dxa"/>
            <w:vAlign w:val="bottom"/>
            <w:tcBorders>
              <w:bottom w:val="single" w:sz="8" w:color="732282"/>
            </w:tcBorders>
            <w:shd w:val="clear" w:color="auto" w:fill="444444"/>
          </w:tcPr>
          <w:p>
            <w:pPr>
              <w:jc w:val="right"/>
              <w:spacing w:after="0"/>
              <w:rPr>
                <w:sz w:val="20"/>
                <w:szCs w:val="20"/>
                <w:color w:val="auto"/>
              </w:rPr>
            </w:pPr>
            <w:r>
              <w:rPr>
                <w:rFonts w:ascii="Arial" w:cs="Arial" w:eastAsia="Arial" w:hAnsi="Arial"/>
                <w:sz w:val="13"/>
                <w:szCs w:val="13"/>
                <w:b w:val="1"/>
                <w:bCs w:val="1"/>
                <w:color w:val="FFFFFF"/>
              </w:rPr>
              <w:t>($)</w:t>
            </w:r>
          </w:p>
        </w:tc>
        <w:tc>
          <w:tcPr>
            <w:tcW w:w="920" w:type="dxa"/>
            <w:vAlign w:val="bottom"/>
            <w:tcBorders>
              <w:bottom w:val="single" w:sz="8" w:color="732282"/>
            </w:tcBorders>
            <w:shd w:val="clear" w:color="auto" w:fill="444444"/>
          </w:tcPr>
          <w:p>
            <w:pPr>
              <w:jc w:val="right"/>
              <w:spacing w:after="0"/>
              <w:rPr>
                <w:sz w:val="20"/>
                <w:szCs w:val="20"/>
                <w:color w:val="auto"/>
              </w:rPr>
            </w:pPr>
            <w:r>
              <w:rPr>
                <w:rFonts w:ascii="Arial" w:cs="Arial" w:eastAsia="Arial" w:hAnsi="Arial"/>
                <w:sz w:val="13"/>
                <w:szCs w:val="13"/>
                <w:b w:val="1"/>
                <w:bCs w:val="1"/>
                <w:color w:val="FFFFFF"/>
              </w:rPr>
              <w:t>Date</w:t>
            </w:r>
          </w:p>
        </w:tc>
        <w:tc>
          <w:tcPr>
            <w:tcW w:w="540" w:type="dxa"/>
            <w:vAlign w:val="bottom"/>
            <w:tcBorders>
              <w:bottom w:val="single" w:sz="8" w:color="732282"/>
            </w:tcBorders>
          </w:tcPr>
          <w:p>
            <w:pPr>
              <w:spacing w:after="0"/>
              <w:rPr>
                <w:sz w:val="15"/>
                <w:szCs w:val="15"/>
                <w:color w:val="auto"/>
              </w:rPr>
            </w:pPr>
          </w:p>
        </w:tc>
        <w:tc>
          <w:tcPr>
            <w:tcW w:w="1020" w:type="dxa"/>
            <w:vAlign w:val="bottom"/>
            <w:tcBorders>
              <w:bottom w:val="single" w:sz="8" w:color="732282"/>
            </w:tcBorders>
            <w:gridSpan w:val="2"/>
            <w:shd w:val="clear" w:color="auto" w:fill="444444"/>
          </w:tcPr>
          <w:p>
            <w:pPr>
              <w:jc w:val="right"/>
              <w:ind w:right="112"/>
              <w:spacing w:after="0"/>
              <w:rPr>
                <w:sz w:val="20"/>
                <w:szCs w:val="20"/>
                <w:color w:val="auto"/>
              </w:rPr>
            </w:pPr>
            <w:r>
              <w:rPr>
                <w:rFonts w:ascii="Arial" w:cs="Arial" w:eastAsia="Arial" w:hAnsi="Arial"/>
                <w:sz w:val="13"/>
                <w:szCs w:val="13"/>
                <w:b w:val="1"/>
                <w:bCs w:val="1"/>
                <w:color w:val="FFFFFF"/>
              </w:rPr>
              <w:t>(#)</w:t>
            </w:r>
          </w:p>
        </w:tc>
        <w:tc>
          <w:tcPr>
            <w:tcW w:w="840" w:type="dxa"/>
            <w:vAlign w:val="bottom"/>
            <w:tcBorders>
              <w:bottom w:val="single" w:sz="8" w:color="732282"/>
            </w:tcBorders>
            <w:shd w:val="clear" w:color="auto" w:fill="444444"/>
          </w:tcPr>
          <w:p>
            <w:pPr>
              <w:jc w:val="right"/>
              <w:spacing w:after="0" w:line="180"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9"/>
                <w:szCs w:val="19"/>
                <w:b w:val="1"/>
                <w:bCs w:val="1"/>
                <w:color w:val="FFFFFF"/>
                <w:vertAlign w:val="superscript"/>
              </w:rPr>
              <w:t>(2)</w:t>
            </w:r>
          </w:p>
        </w:tc>
        <w:tc>
          <w:tcPr>
            <w:tcW w:w="1240" w:type="dxa"/>
            <w:vAlign w:val="bottom"/>
            <w:tcBorders>
              <w:bottom w:val="single" w:sz="8" w:color="732282"/>
            </w:tcBorders>
            <w:gridSpan w:val="2"/>
            <w:shd w:val="clear" w:color="auto" w:fill="444444"/>
          </w:tcPr>
          <w:p>
            <w:pPr>
              <w:jc w:val="right"/>
              <w:ind w:right="158"/>
              <w:spacing w:after="0"/>
              <w:rPr>
                <w:sz w:val="20"/>
                <w:szCs w:val="20"/>
                <w:color w:val="auto"/>
              </w:rPr>
            </w:pPr>
            <w:r>
              <w:rPr>
                <w:rFonts w:ascii="Arial" w:cs="Arial" w:eastAsia="Arial" w:hAnsi="Arial"/>
                <w:sz w:val="13"/>
                <w:szCs w:val="13"/>
                <w:b w:val="1"/>
                <w:bCs w:val="1"/>
                <w:color w:val="FFFFFF"/>
              </w:rPr>
              <w:t>Vested (#)</w:t>
            </w:r>
          </w:p>
        </w:tc>
        <w:tc>
          <w:tcPr>
            <w:tcW w:w="1380" w:type="dxa"/>
            <w:vAlign w:val="bottom"/>
            <w:tcBorders>
              <w:bottom w:val="single" w:sz="8" w:color="732282"/>
            </w:tcBorders>
            <w:shd w:val="clear" w:color="auto" w:fill="444444"/>
          </w:tcPr>
          <w:p>
            <w:pPr>
              <w:jc w:val="right"/>
              <w:ind w:right="93"/>
              <w:spacing w:after="0" w:line="180"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9"/>
                <w:szCs w:val="19"/>
                <w:b w:val="1"/>
                <w:bCs w:val="1"/>
                <w:color w:val="FFFFFF"/>
                <w:vertAlign w:val="superscript"/>
              </w:rPr>
              <w:t>(2)</w:t>
            </w:r>
          </w:p>
        </w:tc>
        <w:tc>
          <w:tcPr>
            <w:tcW w:w="0" w:type="dxa"/>
            <w:vAlign w:val="bottom"/>
          </w:tcPr>
          <w:p>
            <w:pPr>
              <w:spacing w:after="0"/>
              <w:rPr>
                <w:sz w:val="1"/>
                <w:szCs w:val="1"/>
                <w:color w:val="auto"/>
              </w:rPr>
            </w:pPr>
          </w:p>
        </w:tc>
      </w:tr>
      <w:tr>
        <w:trPr>
          <w:trHeight w:val="136"/>
        </w:trPr>
        <w:tc>
          <w:tcPr>
            <w:tcW w:w="2100" w:type="dxa"/>
            <w:vAlign w:val="bottom"/>
          </w:tcPr>
          <w:p>
            <w:pPr>
              <w:ind w:left="60"/>
              <w:spacing w:after="0" w:line="136" w:lineRule="exact"/>
              <w:rPr>
                <w:sz w:val="20"/>
                <w:szCs w:val="20"/>
                <w:color w:val="auto"/>
              </w:rPr>
            </w:pPr>
            <w:r>
              <w:rPr>
                <w:rFonts w:ascii="Arial" w:cs="Arial" w:eastAsia="Arial" w:hAnsi="Arial"/>
                <w:sz w:val="13"/>
                <w:szCs w:val="13"/>
                <w:color w:val="auto"/>
              </w:rPr>
              <w:t>Michael Goettler</w:t>
            </w:r>
          </w:p>
        </w:tc>
        <w:tc>
          <w:tcPr>
            <w:tcW w:w="100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1220" w:type="dxa"/>
            <w:vAlign w:val="bottom"/>
          </w:tcPr>
          <w:p>
            <w:pPr>
              <w:ind w:left="1060"/>
              <w:spacing w:after="0" w:line="136"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1560" w:type="dxa"/>
            <w:vAlign w:val="bottom"/>
            <w:gridSpan w:val="3"/>
          </w:tcPr>
          <w:p>
            <w:pPr>
              <w:jc w:val="right"/>
              <w:spacing w:after="0" w:line="136" w:lineRule="exact"/>
              <w:rPr>
                <w:sz w:val="20"/>
                <w:szCs w:val="20"/>
                <w:color w:val="auto"/>
              </w:rPr>
            </w:pPr>
            <w:r>
              <w:rPr>
                <w:rFonts w:ascii="Arial" w:cs="Arial" w:eastAsia="Arial" w:hAnsi="Arial"/>
                <w:sz w:val="11"/>
                <w:szCs w:val="11"/>
                <w:color w:val="auto"/>
              </w:rPr>
              <w:t>55,248</w:t>
            </w:r>
            <w:r>
              <w:rPr>
                <w:rFonts w:ascii="Arial" w:cs="Arial" w:eastAsia="Arial" w:hAnsi="Arial"/>
                <w:sz w:val="15"/>
                <w:szCs w:val="15"/>
                <w:color w:val="auto"/>
                <w:vertAlign w:val="superscript"/>
              </w:rPr>
              <w:t>(3)</w:t>
            </w:r>
          </w:p>
        </w:tc>
        <w:tc>
          <w:tcPr>
            <w:tcW w:w="840" w:type="dxa"/>
            <w:vAlign w:val="bottom"/>
          </w:tcPr>
          <w:p>
            <w:pPr>
              <w:jc w:val="right"/>
              <w:spacing w:after="0" w:line="136" w:lineRule="exact"/>
              <w:rPr>
                <w:sz w:val="20"/>
                <w:szCs w:val="20"/>
                <w:color w:val="auto"/>
              </w:rPr>
            </w:pPr>
            <w:r>
              <w:rPr>
                <w:rFonts w:ascii="Arial" w:cs="Arial" w:eastAsia="Arial" w:hAnsi="Arial"/>
                <w:sz w:val="13"/>
                <w:szCs w:val="13"/>
                <w:color w:val="auto"/>
              </w:rPr>
              <w:t>747,499</w:t>
            </w:r>
          </w:p>
        </w:tc>
        <w:tc>
          <w:tcPr>
            <w:tcW w:w="1240" w:type="dxa"/>
            <w:vAlign w:val="bottom"/>
            <w:gridSpan w:val="2"/>
          </w:tcPr>
          <w:p>
            <w:pPr>
              <w:jc w:val="right"/>
              <w:ind w:right="158"/>
              <w:spacing w:after="0" w:line="136" w:lineRule="exact"/>
              <w:rPr>
                <w:sz w:val="20"/>
                <w:szCs w:val="20"/>
                <w:color w:val="auto"/>
              </w:rPr>
            </w:pPr>
            <w:r>
              <w:rPr>
                <w:rFonts w:ascii="Arial" w:cs="Arial" w:eastAsia="Arial" w:hAnsi="Arial"/>
                <w:sz w:val="13"/>
                <w:szCs w:val="13"/>
                <w:color w:val="auto"/>
              </w:rPr>
              <w:t>—</w:t>
            </w:r>
          </w:p>
        </w:tc>
        <w:tc>
          <w:tcPr>
            <w:tcW w:w="1380" w:type="dxa"/>
            <w:vAlign w:val="bottom"/>
          </w:tcPr>
          <w:p>
            <w:pPr>
              <w:jc w:val="right"/>
              <w:ind w:right="93"/>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ind w:left="106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560" w:type="dxa"/>
            <w:vAlign w:val="bottom"/>
            <w:gridSpan w:val="3"/>
          </w:tcPr>
          <w:p>
            <w:pPr>
              <w:jc w:val="right"/>
              <w:spacing w:after="0" w:line="149" w:lineRule="exact"/>
              <w:rPr>
                <w:sz w:val="20"/>
                <w:szCs w:val="20"/>
                <w:color w:val="auto"/>
              </w:rPr>
            </w:pPr>
            <w:r>
              <w:rPr>
                <w:rFonts w:ascii="Arial" w:cs="Arial" w:eastAsia="Arial" w:hAnsi="Arial"/>
                <w:sz w:val="12"/>
                <w:szCs w:val="12"/>
                <w:color w:val="auto"/>
              </w:rPr>
              <w:t>122,842</w:t>
            </w:r>
            <w:r>
              <w:rPr>
                <w:rFonts w:ascii="Arial" w:cs="Arial" w:eastAsia="Arial" w:hAnsi="Arial"/>
                <w:sz w:val="17"/>
                <w:szCs w:val="17"/>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3"/>
                <w:szCs w:val="13"/>
                <w:color w:val="auto"/>
              </w:rPr>
              <w:t>1,662,055</w:t>
            </w:r>
          </w:p>
        </w:tc>
        <w:tc>
          <w:tcPr>
            <w:tcW w:w="124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2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ind w:left="106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560" w:type="dxa"/>
            <w:vAlign w:val="bottom"/>
            <w:gridSpan w:val="3"/>
          </w:tcPr>
          <w:p>
            <w:pPr>
              <w:jc w:val="right"/>
              <w:spacing w:after="0" w:line="154" w:lineRule="exact"/>
              <w:rPr>
                <w:sz w:val="20"/>
                <w:szCs w:val="20"/>
                <w:color w:val="auto"/>
              </w:rPr>
            </w:pPr>
            <w:r>
              <w:rPr>
                <w:rFonts w:ascii="Arial" w:cs="Arial" w:eastAsia="Arial" w:hAnsi="Arial"/>
                <w:sz w:val="12"/>
                <w:szCs w:val="12"/>
                <w:color w:val="auto"/>
              </w:rPr>
              <w:t>260,812</w:t>
            </w:r>
            <w:r>
              <w:rPr>
                <w:rFonts w:ascii="Arial" w:cs="Arial" w:eastAsia="Arial" w:hAnsi="Arial"/>
                <w:sz w:val="17"/>
                <w:szCs w:val="17"/>
                <w:color w:val="auto"/>
                <w:vertAlign w:val="superscript"/>
              </w:rPr>
              <w:t>(4)</w:t>
            </w:r>
          </w:p>
        </w:tc>
        <w:tc>
          <w:tcPr>
            <w:tcW w:w="840" w:type="dxa"/>
            <w:vAlign w:val="bottom"/>
          </w:tcPr>
          <w:p>
            <w:pPr>
              <w:jc w:val="right"/>
              <w:spacing w:after="0"/>
              <w:rPr>
                <w:sz w:val="20"/>
                <w:szCs w:val="20"/>
                <w:color w:val="auto"/>
              </w:rPr>
            </w:pPr>
            <w:r>
              <w:rPr>
                <w:rFonts w:ascii="Arial" w:cs="Arial" w:eastAsia="Arial" w:hAnsi="Arial"/>
                <w:sz w:val="13"/>
                <w:szCs w:val="13"/>
                <w:color w:val="auto"/>
              </w:rPr>
              <w:t>3,528,780</w:t>
            </w:r>
          </w:p>
        </w:tc>
        <w:tc>
          <w:tcPr>
            <w:tcW w:w="1240" w:type="dxa"/>
            <w:vAlign w:val="bottom"/>
            <w:gridSpan w:val="2"/>
          </w:tcPr>
          <w:p>
            <w:pPr>
              <w:jc w:val="right"/>
              <w:ind w:right="58"/>
              <w:spacing w:after="0" w:line="154" w:lineRule="exact"/>
              <w:rPr>
                <w:sz w:val="20"/>
                <w:szCs w:val="20"/>
                <w:color w:val="auto"/>
              </w:rPr>
            </w:pPr>
            <w:r>
              <w:rPr>
                <w:rFonts w:ascii="Arial" w:cs="Arial" w:eastAsia="Arial" w:hAnsi="Arial"/>
                <w:sz w:val="12"/>
                <w:szCs w:val="12"/>
                <w:color w:val="auto"/>
              </w:rPr>
              <w:t>391,217</w:t>
            </w:r>
            <w:r>
              <w:rPr>
                <w:rFonts w:ascii="Arial" w:cs="Arial" w:eastAsia="Arial" w:hAnsi="Arial"/>
                <w:sz w:val="17"/>
                <w:szCs w:val="17"/>
                <w:color w:val="auto"/>
                <w:vertAlign w:val="superscript"/>
              </w:rPr>
              <w:t>(5)</w:t>
            </w:r>
          </w:p>
        </w:tc>
        <w:tc>
          <w:tcPr>
            <w:tcW w:w="1380" w:type="dxa"/>
            <w:vAlign w:val="bottom"/>
          </w:tcPr>
          <w:p>
            <w:pPr>
              <w:jc w:val="right"/>
              <w:ind w:right="93"/>
              <w:spacing w:after="0"/>
              <w:rPr>
                <w:sz w:val="20"/>
                <w:szCs w:val="20"/>
                <w:color w:val="auto"/>
              </w:rPr>
            </w:pPr>
            <w:r>
              <w:rPr>
                <w:rFonts w:ascii="Arial" w:cs="Arial" w:eastAsia="Arial" w:hAnsi="Arial"/>
                <w:sz w:val="13"/>
                <w:szCs w:val="13"/>
                <w:color w:val="auto"/>
              </w:rPr>
              <w:t>5,293,170</w:t>
            </w:r>
          </w:p>
        </w:tc>
        <w:tc>
          <w:tcPr>
            <w:tcW w:w="0" w:type="dxa"/>
            <w:vAlign w:val="bottom"/>
          </w:tcPr>
          <w:p>
            <w:pPr>
              <w:spacing w:after="0"/>
              <w:rPr>
                <w:sz w:val="1"/>
                <w:szCs w:val="1"/>
                <w:color w:val="auto"/>
              </w:rPr>
            </w:pPr>
          </w:p>
        </w:tc>
      </w:tr>
      <w:tr>
        <w:trPr>
          <w:trHeight w:val="143"/>
        </w:trPr>
        <w:tc>
          <w:tcPr>
            <w:tcW w:w="2100" w:type="dxa"/>
            <w:vAlign w:val="bottom"/>
            <w:shd w:val="clear" w:color="auto" w:fill="EAEAEA"/>
          </w:tcPr>
          <w:p>
            <w:pPr>
              <w:ind w:left="60"/>
              <w:spacing w:after="0" w:line="143" w:lineRule="exact"/>
              <w:rPr>
                <w:sz w:val="20"/>
                <w:szCs w:val="20"/>
                <w:color w:val="auto"/>
              </w:rPr>
            </w:pPr>
            <w:r>
              <w:rPr>
                <w:rFonts w:ascii="Arial" w:cs="Arial" w:eastAsia="Arial" w:hAnsi="Arial"/>
                <w:sz w:val="13"/>
                <w:szCs w:val="13"/>
                <w:color w:val="auto"/>
              </w:rPr>
              <w:t>Sanjeev Narula</w:t>
            </w:r>
          </w:p>
        </w:tc>
        <w:tc>
          <w:tcPr>
            <w:tcW w:w="1000" w:type="dxa"/>
            <w:vAlign w:val="bottom"/>
            <w:shd w:val="clear" w:color="auto" w:fill="EAEAEA"/>
          </w:tcPr>
          <w:p>
            <w:pPr>
              <w:jc w:val="right"/>
              <w:spacing w:after="0" w:line="143" w:lineRule="exact"/>
              <w:rPr>
                <w:sz w:val="20"/>
                <w:szCs w:val="20"/>
                <w:color w:val="auto"/>
              </w:rPr>
            </w:pPr>
            <w:r>
              <w:rPr>
                <w:rFonts w:ascii="Arial" w:cs="Arial" w:eastAsia="Arial" w:hAnsi="Arial"/>
                <w:sz w:val="13"/>
                <w:szCs w:val="13"/>
                <w:color w:val="auto"/>
              </w:rPr>
              <w:t>—</w:t>
            </w:r>
          </w:p>
        </w:tc>
        <w:tc>
          <w:tcPr>
            <w:tcW w:w="1220" w:type="dxa"/>
            <w:vAlign w:val="bottom"/>
            <w:shd w:val="clear" w:color="auto" w:fill="EAEAEA"/>
          </w:tcPr>
          <w:p>
            <w:pPr>
              <w:ind w:left="1060"/>
              <w:spacing w:after="0" w:line="143" w:lineRule="exact"/>
              <w:rPr>
                <w:sz w:val="20"/>
                <w:szCs w:val="20"/>
                <w:color w:val="auto"/>
              </w:rPr>
            </w:pPr>
            <w:r>
              <w:rPr>
                <w:rFonts w:ascii="Arial" w:cs="Arial" w:eastAsia="Arial" w:hAnsi="Arial"/>
                <w:sz w:val="13"/>
                <w:szCs w:val="13"/>
                <w:color w:val="auto"/>
              </w:rPr>
              <w:t>—</w:t>
            </w:r>
          </w:p>
        </w:tc>
        <w:tc>
          <w:tcPr>
            <w:tcW w:w="760" w:type="dxa"/>
            <w:vAlign w:val="bottom"/>
            <w:shd w:val="clear" w:color="auto" w:fill="EAEAEA"/>
          </w:tcPr>
          <w:p>
            <w:pPr>
              <w:jc w:val="right"/>
              <w:spacing w:after="0" w:line="143" w:lineRule="exact"/>
              <w:rPr>
                <w:sz w:val="20"/>
                <w:szCs w:val="20"/>
                <w:color w:val="auto"/>
              </w:rPr>
            </w:pPr>
            <w:r>
              <w:rPr>
                <w:rFonts w:ascii="Arial" w:cs="Arial" w:eastAsia="Arial" w:hAnsi="Arial"/>
                <w:sz w:val="13"/>
                <w:szCs w:val="13"/>
                <w:color w:val="auto"/>
              </w:rPr>
              <w:t>—</w:t>
            </w:r>
          </w:p>
        </w:tc>
        <w:tc>
          <w:tcPr>
            <w:tcW w:w="920" w:type="dxa"/>
            <w:vAlign w:val="bottom"/>
            <w:shd w:val="clear" w:color="auto" w:fill="EAEAEA"/>
          </w:tcPr>
          <w:p>
            <w:pPr>
              <w:jc w:val="right"/>
              <w:spacing w:after="0" w:line="143" w:lineRule="exact"/>
              <w:rPr>
                <w:sz w:val="20"/>
                <w:szCs w:val="20"/>
                <w:color w:val="auto"/>
              </w:rPr>
            </w:pPr>
            <w:r>
              <w:rPr>
                <w:rFonts w:ascii="Arial" w:cs="Arial" w:eastAsia="Arial" w:hAnsi="Arial"/>
                <w:sz w:val="13"/>
                <w:szCs w:val="13"/>
                <w:color w:val="auto"/>
              </w:rPr>
              <w:t>—</w:t>
            </w:r>
          </w:p>
        </w:tc>
        <w:tc>
          <w:tcPr>
            <w:tcW w:w="540" w:type="dxa"/>
            <w:vAlign w:val="bottom"/>
          </w:tcPr>
          <w:p>
            <w:pPr>
              <w:spacing w:after="0"/>
              <w:rPr>
                <w:sz w:val="12"/>
                <w:szCs w:val="12"/>
                <w:color w:val="auto"/>
              </w:rPr>
            </w:pPr>
          </w:p>
        </w:tc>
        <w:tc>
          <w:tcPr>
            <w:tcW w:w="1020" w:type="dxa"/>
            <w:vAlign w:val="bottom"/>
            <w:gridSpan w:val="2"/>
            <w:shd w:val="clear" w:color="auto" w:fill="EAEAEA"/>
          </w:tcPr>
          <w:p>
            <w:pPr>
              <w:jc w:val="right"/>
              <w:spacing w:after="0" w:line="143" w:lineRule="exact"/>
              <w:rPr>
                <w:sz w:val="20"/>
                <w:szCs w:val="20"/>
                <w:color w:val="auto"/>
              </w:rPr>
            </w:pPr>
            <w:r>
              <w:rPr>
                <w:rFonts w:ascii="Arial" w:cs="Arial" w:eastAsia="Arial" w:hAnsi="Arial"/>
                <w:sz w:val="12"/>
                <w:szCs w:val="12"/>
                <w:color w:val="auto"/>
              </w:rPr>
              <w:t>21,754</w:t>
            </w:r>
            <w:r>
              <w:rPr>
                <w:rFonts w:ascii="Arial" w:cs="Arial" w:eastAsia="Arial" w:hAnsi="Arial"/>
                <w:sz w:val="16"/>
                <w:szCs w:val="16"/>
                <w:color w:val="auto"/>
                <w:vertAlign w:val="superscript"/>
              </w:rPr>
              <w:t>(3)</w:t>
            </w:r>
          </w:p>
        </w:tc>
        <w:tc>
          <w:tcPr>
            <w:tcW w:w="840" w:type="dxa"/>
            <w:vAlign w:val="bottom"/>
            <w:shd w:val="clear" w:color="auto" w:fill="EAEAEA"/>
          </w:tcPr>
          <w:p>
            <w:pPr>
              <w:jc w:val="right"/>
              <w:spacing w:after="0" w:line="143" w:lineRule="exact"/>
              <w:rPr>
                <w:sz w:val="20"/>
                <w:szCs w:val="20"/>
                <w:color w:val="auto"/>
              </w:rPr>
            </w:pPr>
            <w:r>
              <w:rPr>
                <w:rFonts w:ascii="Arial" w:cs="Arial" w:eastAsia="Arial" w:hAnsi="Arial"/>
                <w:sz w:val="13"/>
                <w:szCs w:val="13"/>
                <w:color w:val="auto"/>
              </w:rPr>
              <w:t>294,328</w:t>
            </w:r>
          </w:p>
        </w:tc>
        <w:tc>
          <w:tcPr>
            <w:tcW w:w="1240" w:type="dxa"/>
            <w:vAlign w:val="bottom"/>
            <w:gridSpan w:val="2"/>
            <w:shd w:val="clear" w:color="auto" w:fill="EAEAEA"/>
          </w:tcPr>
          <w:p>
            <w:pPr>
              <w:jc w:val="right"/>
              <w:ind w:right="158"/>
              <w:spacing w:after="0" w:line="143" w:lineRule="exact"/>
              <w:rPr>
                <w:sz w:val="20"/>
                <w:szCs w:val="20"/>
                <w:color w:val="auto"/>
              </w:rPr>
            </w:pPr>
            <w:r>
              <w:rPr>
                <w:rFonts w:ascii="Arial" w:cs="Arial" w:eastAsia="Arial" w:hAnsi="Arial"/>
                <w:sz w:val="13"/>
                <w:szCs w:val="13"/>
                <w:color w:val="auto"/>
              </w:rPr>
              <w:t>—</w:t>
            </w:r>
          </w:p>
        </w:tc>
        <w:tc>
          <w:tcPr>
            <w:tcW w:w="1380" w:type="dxa"/>
            <w:vAlign w:val="bottom"/>
            <w:shd w:val="clear" w:color="auto" w:fill="EAEAEA"/>
          </w:tcPr>
          <w:p>
            <w:pPr>
              <w:jc w:val="right"/>
              <w:ind w:right="93"/>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2100" w:type="dxa"/>
            <w:vAlign w:val="bottom"/>
            <w:shd w:val="clear" w:color="auto" w:fill="EAEAEA"/>
          </w:tcPr>
          <w:p>
            <w:pPr>
              <w:spacing w:after="0"/>
              <w:rPr>
                <w:sz w:val="13"/>
                <w:szCs w:val="13"/>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220" w:type="dxa"/>
            <w:vAlign w:val="bottom"/>
            <w:shd w:val="clear" w:color="auto" w:fill="EAEAEA"/>
          </w:tcPr>
          <w:p>
            <w:pPr>
              <w:ind w:left="1060"/>
              <w:spacing w:after="0"/>
              <w:rPr>
                <w:sz w:val="20"/>
                <w:szCs w:val="20"/>
                <w:color w:val="auto"/>
              </w:rPr>
            </w:pPr>
            <w:r>
              <w:rPr>
                <w:rFonts w:ascii="Arial" w:cs="Arial" w:eastAsia="Arial" w:hAnsi="Arial"/>
                <w:sz w:val="13"/>
                <w:szCs w:val="13"/>
                <w:color w:val="auto"/>
              </w:rPr>
              <w:t>—</w:t>
            </w:r>
          </w:p>
        </w:tc>
        <w:tc>
          <w:tcPr>
            <w:tcW w:w="7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3"/>
                <w:szCs w:val="13"/>
                <w:color w:val="auto"/>
              </w:rPr>
            </w:pPr>
          </w:p>
        </w:tc>
        <w:tc>
          <w:tcPr>
            <w:tcW w:w="1020" w:type="dxa"/>
            <w:vAlign w:val="bottom"/>
            <w:gridSpan w:val="2"/>
            <w:shd w:val="clear" w:color="auto" w:fill="EAEAEA"/>
          </w:tcPr>
          <w:p>
            <w:pPr>
              <w:jc w:val="right"/>
              <w:spacing w:after="0" w:line="154" w:lineRule="exact"/>
              <w:rPr>
                <w:sz w:val="20"/>
                <w:szCs w:val="20"/>
                <w:color w:val="auto"/>
              </w:rPr>
            </w:pPr>
            <w:r>
              <w:rPr>
                <w:rFonts w:ascii="Arial" w:cs="Arial" w:eastAsia="Arial" w:hAnsi="Arial"/>
                <w:sz w:val="12"/>
                <w:szCs w:val="12"/>
                <w:color w:val="auto"/>
              </w:rPr>
              <w:t>80,250</w:t>
            </w:r>
            <w:r>
              <w:rPr>
                <w:rFonts w:ascii="Arial" w:cs="Arial" w:eastAsia="Arial" w:hAnsi="Arial"/>
                <w:sz w:val="17"/>
                <w:szCs w:val="17"/>
                <w:color w:val="auto"/>
                <w:vertAlign w:val="superscript"/>
              </w:rPr>
              <w:t>(4)</w:t>
            </w: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1,085,784</w:t>
            </w:r>
          </w:p>
        </w:tc>
        <w:tc>
          <w:tcPr>
            <w:tcW w:w="1240" w:type="dxa"/>
            <w:vAlign w:val="bottom"/>
            <w:gridSpan w:val="2"/>
            <w:shd w:val="clear" w:color="auto" w:fill="EAEAEA"/>
          </w:tcPr>
          <w:p>
            <w:pPr>
              <w:jc w:val="right"/>
              <w:ind w:right="58"/>
              <w:spacing w:after="0" w:line="154" w:lineRule="exact"/>
              <w:rPr>
                <w:sz w:val="20"/>
                <w:szCs w:val="20"/>
                <w:color w:val="auto"/>
              </w:rPr>
            </w:pPr>
            <w:r>
              <w:rPr>
                <w:rFonts w:ascii="Arial" w:cs="Arial" w:eastAsia="Arial" w:hAnsi="Arial"/>
                <w:sz w:val="12"/>
                <w:szCs w:val="12"/>
                <w:color w:val="auto"/>
              </w:rPr>
              <w:t>120,375</w:t>
            </w:r>
            <w:r>
              <w:rPr>
                <w:rFonts w:ascii="Arial" w:cs="Arial" w:eastAsia="Arial" w:hAnsi="Arial"/>
                <w:sz w:val="17"/>
                <w:szCs w:val="17"/>
                <w:color w:val="auto"/>
                <w:vertAlign w:val="superscript"/>
              </w:rPr>
              <w:t>(5)</w:t>
            </w:r>
          </w:p>
        </w:tc>
        <w:tc>
          <w:tcPr>
            <w:tcW w:w="1380" w:type="dxa"/>
            <w:vAlign w:val="bottom"/>
            <w:shd w:val="clear" w:color="auto" w:fill="EAEAEA"/>
          </w:tcPr>
          <w:p>
            <w:pPr>
              <w:jc w:val="right"/>
              <w:ind w:right="93"/>
              <w:spacing w:after="0"/>
              <w:rPr>
                <w:sz w:val="20"/>
                <w:szCs w:val="20"/>
                <w:color w:val="auto"/>
              </w:rPr>
            </w:pPr>
            <w:r>
              <w:rPr>
                <w:rFonts w:ascii="Arial" w:cs="Arial" w:eastAsia="Arial" w:hAnsi="Arial"/>
                <w:sz w:val="13"/>
                <w:szCs w:val="13"/>
                <w:color w:val="auto"/>
              </w:rPr>
              <w:t>1,628,669</w:t>
            </w:r>
          </w:p>
        </w:tc>
        <w:tc>
          <w:tcPr>
            <w:tcW w:w="0" w:type="dxa"/>
            <w:vAlign w:val="bottom"/>
          </w:tcPr>
          <w:p>
            <w:pPr>
              <w:spacing w:after="0"/>
              <w:rPr>
                <w:sz w:val="1"/>
                <w:szCs w:val="1"/>
                <w:color w:val="auto"/>
              </w:rPr>
            </w:pPr>
          </w:p>
        </w:tc>
      </w:tr>
      <w:tr>
        <w:trPr>
          <w:trHeight w:val="148"/>
        </w:trPr>
        <w:tc>
          <w:tcPr>
            <w:tcW w:w="2100" w:type="dxa"/>
            <w:vAlign w:val="bottom"/>
          </w:tcPr>
          <w:p>
            <w:pPr>
              <w:ind w:left="60"/>
              <w:spacing w:after="0" w:line="148" w:lineRule="exact"/>
              <w:rPr>
                <w:sz w:val="20"/>
                <w:szCs w:val="20"/>
                <w:color w:val="auto"/>
              </w:rPr>
            </w:pPr>
            <w:r>
              <w:rPr>
                <w:rFonts w:ascii="Arial" w:cs="Arial" w:eastAsia="Arial" w:hAnsi="Arial"/>
                <w:sz w:val="13"/>
                <w:szCs w:val="13"/>
                <w:color w:val="auto"/>
              </w:rPr>
              <w:t>Rajiv</w:t>
            </w:r>
          </w:p>
        </w:tc>
        <w:tc>
          <w:tcPr>
            <w:tcW w:w="1000" w:type="dxa"/>
            <w:vAlign w:val="bottom"/>
          </w:tcPr>
          <w:p>
            <w:pPr>
              <w:jc w:val="right"/>
              <w:spacing w:after="0" w:line="148" w:lineRule="exact"/>
              <w:rPr>
                <w:sz w:val="20"/>
                <w:szCs w:val="20"/>
                <w:color w:val="auto"/>
              </w:rPr>
            </w:pPr>
            <w:r>
              <w:rPr>
                <w:rFonts w:ascii="Arial" w:cs="Arial" w:eastAsia="Arial" w:hAnsi="Arial"/>
                <w:sz w:val="13"/>
                <w:szCs w:val="13"/>
                <w:color w:val="auto"/>
              </w:rPr>
              <w:t>34,389</w:t>
            </w:r>
          </w:p>
        </w:tc>
        <w:tc>
          <w:tcPr>
            <w:tcW w:w="1220" w:type="dxa"/>
            <w:vAlign w:val="bottom"/>
          </w:tcPr>
          <w:p>
            <w:pPr>
              <w:ind w:left="1060"/>
              <w:spacing w:after="0" w:line="148"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55.84</w:t>
            </w: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3/5/2024</w:t>
            </w:r>
          </w:p>
        </w:tc>
        <w:tc>
          <w:tcPr>
            <w:tcW w:w="540" w:type="dxa"/>
            <w:vAlign w:val="bottom"/>
          </w:tcPr>
          <w:p>
            <w:pPr>
              <w:spacing w:after="0"/>
              <w:rPr>
                <w:sz w:val="12"/>
                <w:szCs w:val="12"/>
                <w:color w:val="auto"/>
              </w:rPr>
            </w:pPr>
          </w:p>
        </w:tc>
        <w:tc>
          <w:tcPr>
            <w:tcW w:w="1020" w:type="dxa"/>
            <w:vAlign w:val="bottom"/>
            <w:gridSpan w:val="2"/>
          </w:tcPr>
          <w:p>
            <w:pPr>
              <w:jc w:val="right"/>
              <w:ind w:right="112"/>
              <w:spacing w:after="0" w:line="148"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58"/>
              <w:spacing w:after="0" w:line="148" w:lineRule="exact"/>
              <w:rPr>
                <w:sz w:val="20"/>
                <w:szCs w:val="20"/>
                <w:color w:val="auto"/>
              </w:rPr>
            </w:pPr>
            <w:r>
              <w:rPr>
                <w:rFonts w:ascii="Arial" w:cs="Arial" w:eastAsia="Arial" w:hAnsi="Arial"/>
                <w:sz w:val="13"/>
                <w:szCs w:val="13"/>
                <w:color w:val="auto"/>
              </w:rPr>
              <w:t>—</w:t>
            </w:r>
          </w:p>
        </w:tc>
        <w:tc>
          <w:tcPr>
            <w:tcW w:w="1380" w:type="dxa"/>
            <w:vAlign w:val="bottom"/>
          </w:tcPr>
          <w:p>
            <w:pPr>
              <w:jc w:val="right"/>
              <w:ind w:right="93"/>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tcPr>
          <w:p>
            <w:pPr>
              <w:ind w:left="60"/>
              <w:spacing w:after="0"/>
              <w:rPr>
                <w:sz w:val="20"/>
                <w:szCs w:val="20"/>
                <w:color w:val="auto"/>
              </w:rPr>
            </w:pPr>
            <w:r>
              <w:rPr>
                <w:rFonts w:ascii="Arial" w:cs="Arial" w:eastAsia="Arial" w:hAnsi="Arial"/>
                <w:sz w:val="13"/>
                <w:szCs w:val="13"/>
                <w:color w:val="auto"/>
              </w:rPr>
              <w:t>Malik</w:t>
            </w:r>
          </w:p>
        </w:tc>
        <w:tc>
          <w:tcPr>
            <w:tcW w:w="1000" w:type="dxa"/>
            <w:vAlign w:val="bottom"/>
          </w:tcPr>
          <w:p>
            <w:pPr>
              <w:jc w:val="right"/>
              <w:spacing w:after="0"/>
              <w:rPr>
                <w:sz w:val="20"/>
                <w:szCs w:val="20"/>
                <w:color w:val="auto"/>
              </w:rPr>
            </w:pPr>
            <w:r>
              <w:rPr>
                <w:rFonts w:ascii="Arial" w:cs="Arial" w:eastAsia="Arial" w:hAnsi="Arial"/>
                <w:sz w:val="13"/>
                <w:szCs w:val="13"/>
                <w:color w:val="auto"/>
              </w:rPr>
              <w:t>41,637</w:t>
            </w:r>
          </w:p>
        </w:tc>
        <w:tc>
          <w:tcPr>
            <w:tcW w:w="1220" w:type="dxa"/>
            <w:vAlign w:val="bottom"/>
          </w:tcPr>
          <w:p>
            <w:pPr>
              <w:ind w:left="106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50.66</w:t>
            </w:r>
          </w:p>
        </w:tc>
        <w:tc>
          <w:tcPr>
            <w:tcW w:w="920" w:type="dxa"/>
            <w:vAlign w:val="bottom"/>
          </w:tcPr>
          <w:p>
            <w:pPr>
              <w:jc w:val="right"/>
              <w:spacing w:after="0"/>
              <w:rPr>
                <w:sz w:val="20"/>
                <w:szCs w:val="20"/>
                <w:color w:val="auto"/>
              </w:rPr>
            </w:pPr>
            <w:r>
              <w:rPr>
                <w:rFonts w:ascii="Arial" w:cs="Arial" w:eastAsia="Arial" w:hAnsi="Arial"/>
                <w:sz w:val="13"/>
                <w:szCs w:val="13"/>
                <w:color w:val="auto"/>
              </w:rPr>
              <w:t>11/17/2025</w:t>
            </w:r>
          </w:p>
        </w:tc>
        <w:tc>
          <w:tcPr>
            <w:tcW w:w="540" w:type="dxa"/>
            <w:vAlign w:val="bottom"/>
          </w:tcPr>
          <w:p>
            <w:pPr>
              <w:spacing w:after="0"/>
              <w:rPr>
                <w:sz w:val="12"/>
                <w:szCs w:val="12"/>
                <w:color w:val="auto"/>
              </w:rPr>
            </w:pPr>
          </w:p>
        </w:tc>
        <w:tc>
          <w:tcPr>
            <w:tcW w:w="1020" w:type="dxa"/>
            <w:vAlign w:val="bottom"/>
            <w:gridSpan w:val="2"/>
          </w:tcPr>
          <w:p>
            <w:pPr>
              <w:jc w:val="right"/>
              <w:ind w:right="112"/>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50,168</w:t>
            </w:r>
          </w:p>
        </w:tc>
        <w:tc>
          <w:tcPr>
            <w:tcW w:w="1220" w:type="dxa"/>
            <w:vAlign w:val="bottom"/>
          </w:tcPr>
          <w:p>
            <w:pPr>
              <w:ind w:left="106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46.27</w:t>
            </w:r>
          </w:p>
        </w:tc>
        <w:tc>
          <w:tcPr>
            <w:tcW w:w="920" w:type="dxa"/>
            <w:vAlign w:val="bottom"/>
          </w:tcPr>
          <w:p>
            <w:pPr>
              <w:jc w:val="right"/>
              <w:spacing w:after="0"/>
              <w:rPr>
                <w:sz w:val="20"/>
                <w:szCs w:val="20"/>
                <w:color w:val="auto"/>
              </w:rPr>
            </w:pPr>
            <w:r>
              <w:rPr>
                <w:rFonts w:ascii="Arial" w:cs="Arial" w:eastAsia="Arial" w:hAnsi="Arial"/>
                <w:sz w:val="13"/>
                <w:szCs w:val="13"/>
                <w:color w:val="auto"/>
              </w:rPr>
              <w:t>2/17/2026</w:t>
            </w:r>
          </w:p>
        </w:tc>
        <w:tc>
          <w:tcPr>
            <w:tcW w:w="540" w:type="dxa"/>
            <w:vAlign w:val="bottom"/>
          </w:tcPr>
          <w:p>
            <w:pPr>
              <w:spacing w:after="0"/>
              <w:rPr>
                <w:sz w:val="12"/>
                <w:szCs w:val="12"/>
                <w:color w:val="auto"/>
              </w:rPr>
            </w:pPr>
          </w:p>
        </w:tc>
        <w:tc>
          <w:tcPr>
            <w:tcW w:w="1020" w:type="dxa"/>
            <w:vAlign w:val="bottom"/>
            <w:gridSpan w:val="2"/>
          </w:tcPr>
          <w:p>
            <w:pPr>
              <w:jc w:val="right"/>
              <w:ind w:right="112"/>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65,574</w:t>
            </w:r>
          </w:p>
        </w:tc>
        <w:tc>
          <w:tcPr>
            <w:tcW w:w="1220" w:type="dxa"/>
            <w:vAlign w:val="bottom"/>
          </w:tcPr>
          <w:p>
            <w:pPr>
              <w:ind w:left="106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45.18</w:t>
            </w:r>
          </w:p>
        </w:tc>
        <w:tc>
          <w:tcPr>
            <w:tcW w:w="920" w:type="dxa"/>
            <w:vAlign w:val="bottom"/>
          </w:tcPr>
          <w:p>
            <w:pPr>
              <w:jc w:val="right"/>
              <w:spacing w:after="0"/>
              <w:rPr>
                <w:sz w:val="20"/>
                <w:szCs w:val="20"/>
                <w:color w:val="auto"/>
              </w:rPr>
            </w:pPr>
            <w:r>
              <w:rPr>
                <w:rFonts w:ascii="Arial" w:cs="Arial" w:eastAsia="Arial" w:hAnsi="Arial"/>
                <w:sz w:val="13"/>
                <w:szCs w:val="13"/>
                <w:color w:val="auto"/>
              </w:rPr>
              <w:t>3/3/2027</w:t>
            </w:r>
          </w:p>
        </w:tc>
        <w:tc>
          <w:tcPr>
            <w:tcW w:w="540" w:type="dxa"/>
            <w:vAlign w:val="bottom"/>
          </w:tcPr>
          <w:p>
            <w:pPr>
              <w:spacing w:after="0"/>
              <w:rPr>
                <w:sz w:val="12"/>
                <w:szCs w:val="12"/>
                <w:color w:val="auto"/>
              </w:rPr>
            </w:pPr>
          </w:p>
        </w:tc>
        <w:tc>
          <w:tcPr>
            <w:tcW w:w="1020" w:type="dxa"/>
            <w:vAlign w:val="bottom"/>
            <w:gridSpan w:val="2"/>
          </w:tcPr>
          <w:p>
            <w:pPr>
              <w:jc w:val="right"/>
              <w:ind w:right="112"/>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71,600</w:t>
            </w:r>
          </w:p>
        </w:tc>
        <w:tc>
          <w:tcPr>
            <w:tcW w:w="1220" w:type="dxa"/>
            <w:vAlign w:val="bottom"/>
          </w:tcPr>
          <w:p>
            <w:pPr>
              <w:ind w:left="106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40.97</w:t>
            </w:r>
          </w:p>
        </w:tc>
        <w:tc>
          <w:tcPr>
            <w:tcW w:w="920" w:type="dxa"/>
            <w:vAlign w:val="bottom"/>
          </w:tcPr>
          <w:p>
            <w:pPr>
              <w:jc w:val="right"/>
              <w:spacing w:after="0"/>
              <w:rPr>
                <w:sz w:val="20"/>
                <w:szCs w:val="20"/>
                <w:color w:val="auto"/>
              </w:rPr>
            </w:pPr>
            <w:r>
              <w:rPr>
                <w:rFonts w:ascii="Arial" w:cs="Arial" w:eastAsia="Arial" w:hAnsi="Arial"/>
                <w:sz w:val="13"/>
                <w:szCs w:val="13"/>
                <w:color w:val="auto"/>
              </w:rPr>
              <w:t>3/2/2028</w:t>
            </w:r>
          </w:p>
        </w:tc>
        <w:tc>
          <w:tcPr>
            <w:tcW w:w="540" w:type="dxa"/>
            <w:vAlign w:val="bottom"/>
          </w:tcPr>
          <w:p>
            <w:pPr>
              <w:spacing w:after="0"/>
              <w:rPr>
                <w:sz w:val="12"/>
                <w:szCs w:val="12"/>
                <w:color w:val="auto"/>
              </w:rPr>
            </w:pPr>
          </w:p>
        </w:tc>
        <w:tc>
          <w:tcPr>
            <w:tcW w:w="1020" w:type="dxa"/>
            <w:vAlign w:val="bottom"/>
            <w:gridSpan w:val="2"/>
          </w:tcPr>
          <w:p>
            <w:pPr>
              <w:jc w:val="right"/>
              <w:ind w:right="112"/>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40,035</w:t>
            </w:r>
          </w:p>
        </w:tc>
        <w:tc>
          <w:tcPr>
            <w:tcW w:w="1220" w:type="dxa"/>
            <w:vAlign w:val="bottom"/>
          </w:tcPr>
          <w:p>
            <w:pPr>
              <w:ind w:left="780"/>
              <w:spacing w:after="0"/>
              <w:rPr>
                <w:sz w:val="20"/>
                <w:szCs w:val="20"/>
                <w:color w:val="auto"/>
              </w:rPr>
            </w:pPr>
            <w:r>
              <w:rPr>
                <w:rFonts w:ascii="Arial" w:cs="Arial" w:eastAsia="Arial" w:hAnsi="Arial"/>
                <w:sz w:val="13"/>
                <w:szCs w:val="13"/>
                <w:color w:val="auto"/>
              </w:rPr>
              <w:t>20,018</w:t>
            </w:r>
          </w:p>
        </w:tc>
        <w:tc>
          <w:tcPr>
            <w:tcW w:w="760" w:type="dxa"/>
            <w:vAlign w:val="bottom"/>
          </w:tcPr>
          <w:p>
            <w:pPr>
              <w:jc w:val="right"/>
              <w:spacing w:after="0"/>
              <w:rPr>
                <w:sz w:val="20"/>
                <w:szCs w:val="20"/>
                <w:color w:val="auto"/>
              </w:rPr>
            </w:pPr>
            <w:r>
              <w:rPr>
                <w:rFonts w:ascii="Arial" w:cs="Arial" w:eastAsia="Arial" w:hAnsi="Arial"/>
                <w:sz w:val="13"/>
                <w:szCs w:val="13"/>
                <w:color w:val="auto"/>
              </w:rPr>
              <w:t>27.45</w:t>
            </w:r>
          </w:p>
        </w:tc>
        <w:tc>
          <w:tcPr>
            <w:tcW w:w="920" w:type="dxa"/>
            <w:vAlign w:val="bottom"/>
          </w:tcPr>
          <w:p>
            <w:pPr>
              <w:jc w:val="right"/>
              <w:spacing w:after="0"/>
              <w:rPr>
                <w:sz w:val="20"/>
                <w:szCs w:val="20"/>
                <w:color w:val="auto"/>
              </w:rPr>
            </w:pPr>
            <w:r>
              <w:rPr>
                <w:rFonts w:ascii="Arial" w:cs="Arial" w:eastAsia="Arial" w:hAnsi="Arial"/>
                <w:sz w:val="13"/>
                <w:szCs w:val="13"/>
                <w:color w:val="auto"/>
              </w:rPr>
              <w:t>3/1/2029</w:t>
            </w:r>
          </w:p>
        </w:tc>
        <w:tc>
          <w:tcPr>
            <w:tcW w:w="540" w:type="dxa"/>
            <w:vAlign w:val="bottom"/>
          </w:tcPr>
          <w:p>
            <w:pPr>
              <w:spacing w:after="0"/>
              <w:rPr>
                <w:sz w:val="12"/>
                <w:szCs w:val="12"/>
                <w:color w:val="auto"/>
              </w:rPr>
            </w:pPr>
          </w:p>
        </w:tc>
        <w:tc>
          <w:tcPr>
            <w:tcW w:w="1020" w:type="dxa"/>
            <w:vAlign w:val="bottom"/>
            <w:gridSpan w:val="2"/>
          </w:tcPr>
          <w:p>
            <w:pPr>
              <w:jc w:val="right"/>
              <w:ind w:right="112"/>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2100" w:type="dxa"/>
            <w:vAlign w:val="bottom"/>
          </w:tcPr>
          <w:p>
            <w:pPr>
              <w:spacing w:after="0"/>
              <w:rPr>
                <w:sz w:val="12"/>
                <w:szCs w:val="12"/>
                <w:color w:val="auto"/>
              </w:rPr>
            </w:pPr>
          </w:p>
        </w:tc>
        <w:tc>
          <w:tcPr>
            <w:tcW w:w="1000" w:type="dxa"/>
            <w:vAlign w:val="bottom"/>
          </w:tcPr>
          <w:p>
            <w:pPr>
              <w:jc w:val="right"/>
              <w:spacing w:after="0" w:line="144" w:lineRule="exact"/>
              <w:rPr>
                <w:sz w:val="20"/>
                <w:szCs w:val="20"/>
                <w:color w:val="auto"/>
              </w:rPr>
            </w:pPr>
            <w:r>
              <w:rPr>
                <w:rFonts w:ascii="Arial" w:cs="Arial" w:eastAsia="Arial" w:hAnsi="Arial"/>
                <w:sz w:val="13"/>
                <w:szCs w:val="13"/>
                <w:color w:val="auto"/>
              </w:rPr>
              <w:t>28,291</w:t>
            </w:r>
          </w:p>
        </w:tc>
        <w:tc>
          <w:tcPr>
            <w:tcW w:w="1220" w:type="dxa"/>
            <w:vAlign w:val="bottom"/>
          </w:tcPr>
          <w:p>
            <w:pPr>
              <w:ind w:left="780"/>
              <w:spacing w:after="0" w:line="144" w:lineRule="exact"/>
              <w:rPr>
                <w:sz w:val="20"/>
                <w:szCs w:val="20"/>
                <w:color w:val="auto"/>
              </w:rPr>
            </w:pPr>
            <w:r>
              <w:rPr>
                <w:rFonts w:ascii="Arial" w:cs="Arial" w:eastAsia="Arial" w:hAnsi="Arial"/>
                <w:sz w:val="13"/>
                <w:szCs w:val="13"/>
                <w:color w:val="auto"/>
              </w:rPr>
              <w:t>56,580</w:t>
            </w:r>
          </w:p>
        </w:tc>
        <w:tc>
          <w:tcPr>
            <w:tcW w:w="760" w:type="dxa"/>
            <w:vAlign w:val="bottom"/>
          </w:tcPr>
          <w:p>
            <w:pPr>
              <w:jc w:val="right"/>
              <w:spacing w:after="0" w:line="144" w:lineRule="exact"/>
              <w:rPr>
                <w:sz w:val="20"/>
                <w:szCs w:val="20"/>
                <w:color w:val="auto"/>
              </w:rPr>
            </w:pPr>
            <w:r>
              <w:rPr>
                <w:rFonts w:ascii="Arial" w:cs="Arial" w:eastAsia="Arial" w:hAnsi="Arial"/>
                <w:sz w:val="13"/>
                <w:szCs w:val="13"/>
                <w:color w:val="auto"/>
              </w:rPr>
              <w:t>17.48</w:t>
            </w:r>
          </w:p>
        </w:tc>
        <w:tc>
          <w:tcPr>
            <w:tcW w:w="920" w:type="dxa"/>
            <w:vAlign w:val="bottom"/>
          </w:tcPr>
          <w:p>
            <w:pPr>
              <w:jc w:val="right"/>
              <w:spacing w:after="0" w:line="144" w:lineRule="exact"/>
              <w:rPr>
                <w:sz w:val="20"/>
                <w:szCs w:val="20"/>
                <w:color w:val="auto"/>
              </w:rPr>
            </w:pPr>
            <w:r>
              <w:rPr>
                <w:rFonts w:ascii="Arial" w:cs="Arial" w:eastAsia="Arial" w:hAnsi="Arial"/>
                <w:sz w:val="13"/>
                <w:szCs w:val="13"/>
                <w:color w:val="auto"/>
              </w:rPr>
              <w:t>3/2/2030</w:t>
            </w:r>
          </w:p>
        </w:tc>
        <w:tc>
          <w:tcPr>
            <w:tcW w:w="540" w:type="dxa"/>
            <w:vAlign w:val="bottom"/>
          </w:tcPr>
          <w:p>
            <w:pPr>
              <w:spacing w:after="0"/>
              <w:rPr>
                <w:sz w:val="12"/>
                <w:szCs w:val="12"/>
                <w:color w:val="auto"/>
              </w:rPr>
            </w:pPr>
          </w:p>
        </w:tc>
        <w:tc>
          <w:tcPr>
            <w:tcW w:w="1020" w:type="dxa"/>
            <w:vAlign w:val="bottom"/>
            <w:gridSpan w:val="2"/>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58"/>
              <w:spacing w:after="0" w:line="144" w:lineRule="exact"/>
              <w:rPr>
                <w:sz w:val="20"/>
                <w:szCs w:val="20"/>
                <w:color w:val="auto"/>
              </w:rPr>
            </w:pPr>
            <w:r>
              <w:rPr>
                <w:rFonts w:ascii="Arial" w:cs="Arial" w:eastAsia="Arial" w:hAnsi="Arial"/>
                <w:sz w:val="13"/>
                <w:szCs w:val="13"/>
                <w:color w:val="auto"/>
              </w:rPr>
              <w:t>—</w:t>
            </w:r>
          </w:p>
        </w:tc>
        <w:tc>
          <w:tcPr>
            <w:tcW w:w="1380" w:type="dxa"/>
            <w:vAlign w:val="bottom"/>
          </w:tcPr>
          <w:p>
            <w:pPr>
              <w:jc w:val="right"/>
              <w:ind w:right="93"/>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ind w:left="106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560" w:type="dxa"/>
            <w:vAlign w:val="bottom"/>
            <w:gridSpan w:val="3"/>
          </w:tcPr>
          <w:p>
            <w:pPr>
              <w:jc w:val="right"/>
              <w:spacing w:after="0" w:line="149" w:lineRule="exact"/>
              <w:rPr>
                <w:sz w:val="20"/>
                <w:szCs w:val="20"/>
                <w:color w:val="auto"/>
              </w:rPr>
            </w:pPr>
            <w:r>
              <w:rPr>
                <w:rFonts w:ascii="Arial" w:cs="Arial" w:eastAsia="Arial" w:hAnsi="Arial"/>
                <w:sz w:val="12"/>
                <w:szCs w:val="12"/>
                <w:color w:val="auto"/>
              </w:rPr>
              <w:t>33,516</w:t>
            </w:r>
            <w:r>
              <w:rPr>
                <w:rFonts w:ascii="Arial" w:cs="Arial" w:eastAsia="Arial" w:hAnsi="Arial"/>
                <w:sz w:val="17"/>
                <w:szCs w:val="17"/>
                <w:color w:val="auto"/>
                <w:vertAlign w:val="superscript"/>
              </w:rPr>
              <w:t>(6)</w:t>
            </w:r>
          </w:p>
        </w:tc>
        <w:tc>
          <w:tcPr>
            <w:tcW w:w="840" w:type="dxa"/>
            <w:vAlign w:val="bottom"/>
          </w:tcPr>
          <w:p>
            <w:pPr>
              <w:jc w:val="right"/>
              <w:spacing w:after="0"/>
              <w:rPr>
                <w:sz w:val="20"/>
                <w:szCs w:val="20"/>
                <w:color w:val="auto"/>
              </w:rPr>
            </w:pPr>
            <w:r>
              <w:rPr>
                <w:rFonts w:ascii="Arial" w:cs="Arial" w:eastAsia="Arial" w:hAnsi="Arial"/>
                <w:sz w:val="13"/>
                <w:szCs w:val="13"/>
                <w:color w:val="auto"/>
              </w:rPr>
              <w:t>453,471</w:t>
            </w:r>
          </w:p>
        </w:tc>
        <w:tc>
          <w:tcPr>
            <w:tcW w:w="124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ind w:left="106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560" w:type="dxa"/>
            <w:vAlign w:val="bottom"/>
            <w:gridSpan w:val="3"/>
          </w:tcPr>
          <w:p>
            <w:pPr>
              <w:jc w:val="right"/>
              <w:spacing w:after="0" w:line="149" w:lineRule="exact"/>
              <w:rPr>
                <w:sz w:val="20"/>
                <w:szCs w:val="20"/>
                <w:color w:val="auto"/>
              </w:rPr>
            </w:pPr>
            <w:r>
              <w:rPr>
                <w:rFonts w:ascii="Arial" w:cs="Arial" w:eastAsia="Arial" w:hAnsi="Arial"/>
                <w:sz w:val="12"/>
                <w:szCs w:val="12"/>
                <w:color w:val="auto"/>
              </w:rPr>
              <w:t>125,684</w:t>
            </w:r>
            <w:r>
              <w:rPr>
                <w:rFonts w:ascii="Arial" w:cs="Arial" w:eastAsia="Arial" w:hAnsi="Arial"/>
                <w:sz w:val="17"/>
                <w:szCs w:val="17"/>
                <w:color w:val="auto"/>
                <w:vertAlign w:val="superscript"/>
              </w:rPr>
              <w:t>(7)</w:t>
            </w:r>
          </w:p>
        </w:tc>
        <w:tc>
          <w:tcPr>
            <w:tcW w:w="840" w:type="dxa"/>
            <w:vAlign w:val="bottom"/>
          </w:tcPr>
          <w:p>
            <w:pPr>
              <w:jc w:val="right"/>
              <w:spacing w:after="0"/>
              <w:rPr>
                <w:sz w:val="20"/>
                <w:szCs w:val="20"/>
                <w:color w:val="auto"/>
              </w:rPr>
            </w:pPr>
            <w:r>
              <w:rPr>
                <w:rFonts w:ascii="Arial" w:cs="Arial" w:eastAsia="Arial" w:hAnsi="Arial"/>
                <w:sz w:val="13"/>
                <w:szCs w:val="13"/>
                <w:color w:val="auto"/>
              </w:rPr>
              <w:t>1,700,505</w:t>
            </w:r>
          </w:p>
        </w:tc>
        <w:tc>
          <w:tcPr>
            <w:tcW w:w="124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ind w:left="106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560" w:type="dxa"/>
            <w:vAlign w:val="bottom"/>
            <w:gridSpan w:val="3"/>
          </w:tcPr>
          <w:p>
            <w:pPr>
              <w:jc w:val="right"/>
              <w:spacing w:after="0" w:line="149" w:lineRule="exact"/>
              <w:rPr>
                <w:sz w:val="20"/>
                <w:szCs w:val="20"/>
                <w:color w:val="auto"/>
              </w:rPr>
            </w:pPr>
            <w:r>
              <w:rPr>
                <w:rFonts w:ascii="Arial" w:cs="Arial" w:eastAsia="Arial" w:hAnsi="Arial"/>
                <w:sz w:val="12"/>
                <w:szCs w:val="12"/>
                <w:color w:val="auto"/>
              </w:rPr>
              <w:t>105,263</w:t>
            </w:r>
            <w:r>
              <w:rPr>
                <w:rFonts w:ascii="Arial" w:cs="Arial" w:eastAsia="Arial" w:hAnsi="Arial"/>
                <w:sz w:val="17"/>
                <w:szCs w:val="17"/>
                <w:color w:val="auto"/>
                <w:vertAlign w:val="superscript"/>
              </w:rPr>
              <w:t>(6)</w:t>
            </w:r>
          </w:p>
        </w:tc>
        <w:tc>
          <w:tcPr>
            <w:tcW w:w="840" w:type="dxa"/>
            <w:vAlign w:val="bottom"/>
          </w:tcPr>
          <w:p>
            <w:pPr>
              <w:jc w:val="right"/>
              <w:spacing w:after="0"/>
              <w:rPr>
                <w:sz w:val="20"/>
                <w:szCs w:val="20"/>
                <w:color w:val="auto"/>
              </w:rPr>
            </w:pPr>
            <w:r>
              <w:rPr>
                <w:rFonts w:ascii="Arial" w:cs="Arial" w:eastAsia="Arial" w:hAnsi="Arial"/>
                <w:sz w:val="13"/>
                <w:szCs w:val="13"/>
                <w:color w:val="auto"/>
              </w:rPr>
              <w:t>1,424,208</w:t>
            </w:r>
          </w:p>
        </w:tc>
        <w:tc>
          <w:tcPr>
            <w:tcW w:w="124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ind w:left="106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560" w:type="dxa"/>
            <w:vAlign w:val="bottom"/>
            <w:gridSpan w:val="3"/>
          </w:tcPr>
          <w:p>
            <w:pPr>
              <w:jc w:val="right"/>
              <w:spacing w:after="0" w:line="149" w:lineRule="exact"/>
              <w:rPr>
                <w:sz w:val="20"/>
                <w:szCs w:val="20"/>
                <w:color w:val="auto"/>
              </w:rPr>
            </w:pPr>
            <w:r>
              <w:rPr>
                <w:rFonts w:ascii="Arial" w:cs="Arial" w:eastAsia="Arial" w:hAnsi="Arial"/>
                <w:sz w:val="12"/>
                <w:szCs w:val="12"/>
                <w:color w:val="auto"/>
              </w:rPr>
              <w:t>197,369</w:t>
            </w:r>
            <w:r>
              <w:rPr>
                <w:rFonts w:ascii="Arial" w:cs="Arial" w:eastAsia="Arial" w:hAnsi="Arial"/>
                <w:sz w:val="17"/>
                <w:szCs w:val="17"/>
                <w:color w:val="auto"/>
                <w:vertAlign w:val="superscript"/>
              </w:rPr>
              <w:t>(7)</w:t>
            </w:r>
          </w:p>
        </w:tc>
        <w:tc>
          <w:tcPr>
            <w:tcW w:w="840" w:type="dxa"/>
            <w:vAlign w:val="bottom"/>
          </w:tcPr>
          <w:p>
            <w:pPr>
              <w:jc w:val="right"/>
              <w:spacing w:after="0"/>
              <w:rPr>
                <w:sz w:val="20"/>
                <w:szCs w:val="20"/>
                <w:color w:val="auto"/>
              </w:rPr>
            </w:pPr>
            <w:r>
              <w:rPr>
                <w:rFonts w:ascii="Arial" w:cs="Arial" w:eastAsia="Arial" w:hAnsi="Arial"/>
                <w:sz w:val="13"/>
                <w:szCs w:val="13"/>
                <w:color w:val="auto"/>
              </w:rPr>
              <w:t>2,670,403</w:t>
            </w:r>
          </w:p>
        </w:tc>
        <w:tc>
          <w:tcPr>
            <w:tcW w:w="124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2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ind w:left="106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560" w:type="dxa"/>
            <w:vAlign w:val="bottom"/>
            <w:gridSpan w:val="3"/>
          </w:tcPr>
          <w:p>
            <w:pPr>
              <w:jc w:val="right"/>
              <w:spacing w:after="0" w:line="154" w:lineRule="exact"/>
              <w:rPr>
                <w:sz w:val="20"/>
                <w:szCs w:val="20"/>
                <w:color w:val="auto"/>
              </w:rPr>
            </w:pPr>
            <w:r>
              <w:rPr>
                <w:rFonts w:ascii="Arial" w:cs="Arial" w:eastAsia="Arial" w:hAnsi="Arial"/>
                <w:sz w:val="12"/>
                <w:szCs w:val="12"/>
                <w:color w:val="auto"/>
              </w:rPr>
              <w:t>206,356</w:t>
            </w:r>
            <w:r>
              <w:rPr>
                <w:rFonts w:ascii="Arial" w:cs="Arial" w:eastAsia="Arial" w:hAnsi="Arial"/>
                <w:sz w:val="17"/>
                <w:szCs w:val="17"/>
                <w:color w:val="auto"/>
                <w:vertAlign w:val="superscript"/>
              </w:rPr>
              <w:t>(4)</w:t>
            </w:r>
          </w:p>
        </w:tc>
        <w:tc>
          <w:tcPr>
            <w:tcW w:w="840" w:type="dxa"/>
            <w:vAlign w:val="bottom"/>
          </w:tcPr>
          <w:p>
            <w:pPr>
              <w:jc w:val="right"/>
              <w:spacing w:after="0"/>
              <w:rPr>
                <w:sz w:val="20"/>
                <w:szCs w:val="20"/>
                <w:color w:val="auto"/>
              </w:rPr>
            </w:pPr>
            <w:r>
              <w:rPr>
                <w:rFonts w:ascii="Arial" w:cs="Arial" w:eastAsia="Arial" w:hAnsi="Arial"/>
                <w:sz w:val="13"/>
                <w:szCs w:val="13"/>
                <w:color w:val="auto"/>
              </w:rPr>
              <w:t>2,792,003</w:t>
            </w:r>
          </w:p>
        </w:tc>
        <w:tc>
          <w:tcPr>
            <w:tcW w:w="1240" w:type="dxa"/>
            <w:vAlign w:val="bottom"/>
            <w:gridSpan w:val="2"/>
          </w:tcPr>
          <w:p>
            <w:pPr>
              <w:jc w:val="right"/>
              <w:ind w:right="58"/>
              <w:spacing w:after="0" w:line="154" w:lineRule="exact"/>
              <w:rPr>
                <w:sz w:val="20"/>
                <w:szCs w:val="20"/>
                <w:color w:val="auto"/>
              </w:rPr>
            </w:pPr>
            <w:r>
              <w:rPr>
                <w:rFonts w:ascii="Arial" w:cs="Arial" w:eastAsia="Arial" w:hAnsi="Arial"/>
                <w:sz w:val="12"/>
                <w:szCs w:val="12"/>
                <w:color w:val="auto"/>
              </w:rPr>
              <w:t>309,535</w:t>
            </w:r>
            <w:r>
              <w:rPr>
                <w:rFonts w:ascii="Arial" w:cs="Arial" w:eastAsia="Arial" w:hAnsi="Arial"/>
                <w:sz w:val="17"/>
                <w:szCs w:val="17"/>
                <w:color w:val="auto"/>
                <w:vertAlign w:val="superscript"/>
              </w:rPr>
              <w:t>(5)</w:t>
            </w:r>
          </w:p>
        </w:tc>
        <w:tc>
          <w:tcPr>
            <w:tcW w:w="1380" w:type="dxa"/>
            <w:vAlign w:val="bottom"/>
          </w:tcPr>
          <w:p>
            <w:pPr>
              <w:jc w:val="right"/>
              <w:ind w:right="93"/>
              <w:spacing w:after="0"/>
              <w:rPr>
                <w:sz w:val="20"/>
                <w:szCs w:val="20"/>
                <w:color w:val="auto"/>
              </w:rPr>
            </w:pPr>
            <w:r>
              <w:rPr>
                <w:rFonts w:ascii="Arial" w:cs="Arial" w:eastAsia="Arial" w:hAnsi="Arial"/>
                <w:sz w:val="13"/>
                <w:szCs w:val="13"/>
                <w:color w:val="auto"/>
              </w:rPr>
              <w:t>4,188,005</w:t>
            </w:r>
          </w:p>
        </w:tc>
        <w:tc>
          <w:tcPr>
            <w:tcW w:w="0" w:type="dxa"/>
            <w:vAlign w:val="bottom"/>
          </w:tcPr>
          <w:p>
            <w:pPr>
              <w:spacing w:after="0"/>
              <w:rPr>
                <w:sz w:val="1"/>
                <w:szCs w:val="1"/>
                <w:color w:val="auto"/>
              </w:rPr>
            </w:pPr>
          </w:p>
        </w:tc>
      </w:tr>
      <w:tr>
        <w:trPr>
          <w:trHeight w:val="148"/>
        </w:trPr>
        <w:tc>
          <w:tcPr>
            <w:tcW w:w="2100" w:type="dxa"/>
            <w:vAlign w:val="bottom"/>
            <w:shd w:val="clear" w:color="auto" w:fill="EAEAEA"/>
          </w:tcPr>
          <w:p>
            <w:pPr>
              <w:ind w:left="60"/>
              <w:spacing w:after="0" w:line="148" w:lineRule="exact"/>
              <w:rPr>
                <w:sz w:val="20"/>
                <w:szCs w:val="20"/>
                <w:color w:val="auto"/>
              </w:rPr>
            </w:pPr>
            <w:r>
              <w:rPr>
                <w:rFonts w:ascii="Arial" w:cs="Arial" w:eastAsia="Arial" w:hAnsi="Arial"/>
                <w:sz w:val="13"/>
                <w:szCs w:val="13"/>
                <w:color w:val="auto"/>
              </w:rPr>
              <w:t>Anthony Mauro</w:t>
            </w:r>
          </w:p>
        </w:tc>
        <w:tc>
          <w:tcPr>
            <w:tcW w:w="1000" w:type="dxa"/>
            <w:vAlign w:val="bottom"/>
            <w:shd w:val="clear" w:color="auto" w:fill="EAEAEA"/>
          </w:tcPr>
          <w:p>
            <w:pPr>
              <w:jc w:val="right"/>
              <w:spacing w:after="0" w:line="148" w:lineRule="exact"/>
              <w:rPr>
                <w:sz w:val="20"/>
                <w:szCs w:val="20"/>
                <w:color w:val="auto"/>
              </w:rPr>
            </w:pPr>
            <w:r>
              <w:rPr>
                <w:rFonts w:ascii="Arial" w:cs="Arial" w:eastAsia="Arial" w:hAnsi="Arial"/>
                <w:sz w:val="13"/>
                <w:szCs w:val="13"/>
                <w:color w:val="auto"/>
              </w:rPr>
              <w:t>4,266</w:t>
            </w:r>
          </w:p>
        </w:tc>
        <w:tc>
          <w:tcPr>
            <w:tcW w:w="1220" w:type="dxa"/>
            <w:vAlign w:val="bottom"/>
            <w:shd w:val="clear" w:color="auto" w:fill="EAEAEA"/>
          </w:tcPr>
          <w:p>
            <w:pPr>
              <w:ind w:left="1060"/>
              <w:spacing w:after="0" w:line="148" w:lineRule="exact"/>
              <w:rPr>
                <w:sz w:val="20"/>
                <w:szCs w:val="20"/>
                <w:color w:val="auto"/>
              </w:rPr>
            </w:pPr>
            <w:r>
              <w:rPr>
                <w:rFonts w:ascii="Arial" w:cs="Arial" w:eastAsia="Arial" w:hAnsi="Arial"/>
                <w:sz w:val="13"/>
                <w:szCs w:val="13"/>
                <w:color w:val="auto"/>
              </w:rPr>
              <w:t>—</w:t>
            </w:r>
          </w:p>
        </w:tc>
        <w:tc>
          <w:tcPr>
            <w:tcW w:w="760" w:type="dxa"/>
            <w:vAlign w:val="bottom"/>
            <w:shd w:val="clear" w:color="auto" w:fill="EAEAEA"/>
          </w:tcPr>
          <w:p>
            <w:pPr>
              <w:jc w:val="right"/>
              <w:spacing w:after="0" w:line="148" w:lineRule="exact"/>
              <w:rPr>
                <w:sz w:val="20"/>
                <w:szCs w:val="20"/>
                <w:color w:val="auto"/>
              </w:rPr>
            </w:pPr>
            <w:r>
              <w:rPr>
                <w:rFonts w:ascii="Arial" w:cs="Arial" w:eastAsia="Arial" w:hAnsi="Arial"/>
                <w:sz w:val="13"/>
                <w:szCs w:val="13"/>
                <w:color w:val="auto"/>
              </w:rPr>
              <w:t>23.44</w:t>
            </w:r>
          </w:p>
        </w:tc>
        <w:tc>
          <w:tcPr>
            <w:tcW w:w="920" w:type="dxa"/>
            <w:vAlign w:val="bottom"/>
            <w:shd w:val="clear" w:color="auto" w:fill="EAEAEA"/>
          </w:tcPr>
          <w:p>
            <w:pPr>
              <w:jc w:val="right"/>
              <w:spacing w:after="0" w:line="148" w:lineRule="exact"/>
              <w:rPr>
                <w:sz w:val="20"/>
                <w:szCs w:val="20"/>
                <w:color w:val="auto"/>
              </w:rPr>
            </w:pPr>
            <w:r>
              <w:rPr>
                <w:rFonts w:ascii="Arial" w:cs="Arial" w:eastAsia="Arial" w:hAnsi="Arial"/>
                <w:sz w:val="13"/>
                <w:szCs w:val="13"/>
                <w:color w:val="auto"/>
              </w:rPr>
              <w:t>2/22/2022</w:t>
            </w:r>
          </w:p>
        </w:tc>
        <w:tc>
          <w:tcPr>
            <w:tcW w:w="540" w:type="dxa"/>
            <w:vAlign w:val="bottom"/>
          </w:tcPr>
          <w:p>
            <w:pPr>
              <w:spacing w:after="0"/>
              <w:rPr>
                <w:sz w:val="12"/>
                <w:szCs w:val="12"/>
                <w:color w:val="auto"/>
              </w:rPr>
            </w:pPr>
          </w:p>
        </w:tc>
        <w:tc>
          <w:tcPr>
            <w:tcW w:w="1020" w:type="dxa"/>
            <w:vAlign w:val="bottom"/>
            <w:gridSpan w:val="2"/>
            <w:shd w:val="clear" w:color="auto" w:fill="EAEAEA"/>
          </w:tcPr>
          <w:p>
            <w:pPr>
              <w:jc w:val="right"/>
              <w:ind w:right="112"/>
              <w:spacing w:after="0" w:line="148" w:lineRule="exact"/>
              <w:rPr>
                <w:sz w:val="20"/>
                <w:szCs w:val="20"/>
                <w:color w:val="auto"/>
              </w:rPr>
            </w:pPr>
            <w:r>
              <w:rPr>
                <w:rFonts w:ascii="Arial" w:cs="Arial" w:eastAsia="Arial" w:hAnsi="Arial"/>
                <w:sz w:val="13"/>
                <w:szCs w:val="13"/>
                <w:color w:val="auto"/>
              </w:rPr>
              <w:t>—</w:t>
            </w:r>
          </w:p>
        </w:tc>
        <w:tc>
          <w:tcPr>
            <w:tcW w:w="840" w:type="dxa"/>
            <w:vAlign w:val="bottom"/>
            <w:shd w:val="clear" w:color="auto" w:fill="EAEAEA"/>
          </w:tcPr>
          <w:p>
            <w:pPr>
              <w:jc w:val="right"/>
              <w:spacing w:after="0" w:line="148"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EAEAEA"/>
          </w:tcPr>
          <w:p>
            <w:pPr>
              <w:jc w:val="right"/>
              <w:ind w:right="158"/>
              <w:spacing w:after="0" w:line="148" w:lineRule="exact"/>
              <w:rPr>
                <w:sz w:val="20"/>
                <w:szCs w:val="20"/>
                <w:color w:val="auto"/>
              </w:rPr>
            </w:pPr>
            <w:r>
              <w:rPr>
                <w:rFonts w:ascii="Arial" w:cs="Arial" w:eastAsia="Arial" w:hAnsi="Arial"/>
                <w:sz w:val="13"/>
                <w:szCs w:val="13"/>
                <w:color w:val="auto"/>
              </w:rPr>
              <w:t>—</w:t>
            </w:r>
          </w:p>
        </w:tc>
        <w:tc>
          <w:tcPr>
            <w:tcW w:w="1380" w:type="dxa"/>
            <w:vAlign w:val="bottom"/>
            <w:shd w:val="clear" w:color="auto" w:fill="EAEAEA"/>
          </w:tcPr>
          <w:p>
            <w:pPr>
              <w:jc w:val="right"/>
              <w:ind w:right="93"/>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shd w:val="clear" w:color="auto" w:fill="EAEAEA"/>
          </w:tcPr>
          <w:p>
            <w:pPr>
              <w:spacing w:after="0"/>
              <w:rPr>
                <w:sz w:val="12"/>
                <w:szCs w:val="12"/>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3,236</w:t>
            </w:r>
          </w:p>
        </w:tc>
        <w:tc>
          <w:tcPr>
            <w:tcW w:w="1220" w:type="dxa"/>
            <w:vAlign w:val="bottom"/>
            <w:shd w:val="clear" w:color="auto" w:fill="EAEAEA"/>
          </w:tcPr>
          <w:p>
            <w:pPr>
              <w:ind w:left="1060"/>
              <w:spacing w:after="0"/>
              <w:rPr>
                <w:sz w:val="20"/>
                <w:szCs w:val="20"/>
                <w:color w:val="auto"/>
              </w:rPr>
            </w:pPr>
            <w:r>
              <w:rPr>
                <w:rFonts w:ascii="Arial" w:cs="Arial" w:eastAsia="Arial" w:hAnsi="Arial"/>
                <w:sz w:val="13"/>
                <w:szCs w:val="13"/>
                <w:color w:val="auto"/>
              </w:rPr>
              <w:t>—</w:t>
            </w:r>
          </w:p>
        </w:tc>
        <w:tc>
          <w:tcPr>
            <w:tcW w:w="7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30.90</w:t>
            </w:r>
          </w:p>
        </w:tc>
        <w:tc>
          <w:tcPr>
            <w:tcW w:w="9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3/6/2023</w:t>
            </w:r>
          </w:p>
        </w:tc>
        <w:tc>
          <w:tcPr>
            <w:tcW w:w="540" w:type="dxa"/>
            <w:vAlign w:val="bottom"/>
          </w:tcPr>
          <w:p>
            <w:pPr>
              <w:spacing w:after="0"/>
              <w:rPr>
                <w:sz w:val="12"/>
                <w:szCs w:val="12"/>
                <w:color w:val="auto"/>
              </w:rPr>
            </w:pPr>
          </w:p>
        </w:tc>
        <w:tc>
          <w:tcPr>
            <w:tcW w:w="1020" w:type="dxa"/>
            <w:vAlign w:val="bottom"/>
            <w:gridSpan w:val="2"/>
            <w:shd w:val="clear" w:color="auto" w:fill="EAEAEA"/>
          </w:tcPr>
          <w:p>
            <w:pPr>
              <w:jc w:val="right"/>
              <w:ind w:right="112"/>
              <w:spacing w:after="0"/>
              <w:rPr>
                <w:sz w:val="20"/>
                <w:szCs w:val="20"/>
                <w:color w:val="auto"/>
              </w:rPr>
            </w:pPr>
            <w:r>
              <w:rPr>
                <w:rFonts w:ascii="Arial" w:cs="Arial" w:eastAsia="Arial" w:hAnsi="Arial"/>
                <w:sz w:val="13"/>
                <w:szCs w:val="13"/>
                <w:color w:val="auto"/>
              </w:rPr>
              <w:t>—</w:t>
            </w: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EAEAEA"/>
          </w:tcPr>
          <w:p>
            <w:pPr>
              <w:jc w:val="right"/>
              <w:ind w:right="158"/>
              <w:spacing w:after="0"/>
              <w:rPr>
                <w:sz w:val="20"/>
                <w:szCs w:val="20"/>
                <w:color w:val="auto"/>
              </w:rPr>
            </w:pPr>
            <w:r>
              <w:rPr>
                <w:rFonts w:ascii="Arial" w:cs="Arial" w:eastAsia="Arial" w:hAnsi="Arial"/>
                <w:sz w:val="13"/>
                <w:szCs w:val="13"/>
                <w:color w:val="auto"/>
              </w:rPr>
              <w:t>—</w:t>
            </w:r>
          </w:p>
        </w:tc>
        <w:tc>
          <w:tcPr>
            <w:tcW w:w="1380" w:type="dxa"/>
            <w:vAlign w:val="bottom"/>
            <w:shd w:val="clear" w:color="auto" w:fill="EAEAEA"/>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100" w:type="dxa"/>
            <w:vAlign w:val="bottom"/>
            <w:shd w:val="clear" w:color="auto" w:fill="EAEAEA"/>
          </w:tcPr>
          <w:p>
            <w:pPr>
              <w:spacing w:after="0"/>
              <w:rPr>
                <w:sz w:val="12"/>
                <w:szCs w:val="12"/>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12,009</w:t>
            </w:r>
          </w:p>
        </w:tc>
        <w:tc>
          <w:tcPr>
            <w:tcW w:w="1220" w:type="dxa"/>
            <w:vAlign w:val="bottom"/>
            <w:shd w:val="clear" w:color="auto" w:fill="EAEAEA"/>
          </w:tcPr>
          <w:p>
            <w:pPr>
              <w:ind w:left="1060"/>
              <w:spacing w:after="0"/>
              <w:rPr>
                <w:sz w:val="20"/>
                <w:szCs w:val="20"/>
                <w:color w:val="auto"/>
              </w:rPr>
            </w:pPr>
            <w:r>
              <w:rPr>
                <w:rFonts w:ascii="Arial" w:cs="Arial" w:eastAsia="Arial" w:hAnsi="Arial"/>
                <w:sz w:val="13"/>
                <w:szCs w:val="13"/>
                <w:color w:val="auto"/>
              </w:rPr>
              <w:t>—</w:t>
            </w:r>
          </w:p>
        </w:tc>
        <w:tc>
          <w:tcPr>
            <w:tcW w:w="7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55.84</w:t>
            </w:r>
          </w:p>
        </w:tc>
        <w:tc>
          <w:tcPr>
            <w:tcW w:w="9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3/5/2024</w:t>
            </w:r>
          </w:p>
        </w:tc>
        <w:tc>
          <w:tcPr>
            <w:tcW w:w="540" w:type="dxa"/>
            <w:vAlign w:val="bottom"/>
          </w:tcPr>
          <w:p>
            <w:pPr>
              <w:spacing w:after="0"/>
              <w:rPr>
                <w:sz w:val="12"/>
                <w:szCs w:val="12"/>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EAEAEA"/>
          </w:tcPr>
          <w:p>
            <w:pPr>
              <w:spacing w:after="0"/>
              <w:rPr>
                <w:sz w:val="12"/>
                <w:szCs w:val="12"/>
                <w:color w:val="auto"/>
              </w:rPr>
            </w:pP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EAEAEA"/>
          </w:tcPr>
          <w:p>
            <w:pPr>
              <w:jc w:val="right"/>
              <w:ind w:right="158"/>
              <w:spacing w:after="0"/>
              <w:rPr>
                <w:sz w:val="20"/>
                <w:szCs w:val="20"/>
                <w:color w:val="auto"/>
              </w:rPr>
            </w:pPr>
            <w:r>
              <w:rPr>
                <w:rFonts w:ascii="Arial" w:cs="Arial" w:eastAsia="Arial" w:hAnsi="Arial"/>
                <w:sz w:val="13"/>
                <w:szCs w:val="13"/>
                <w:color w:val="auto"/>
              </w:rPr>
              <w:t>—</w:t>
            </w:r>
          </w:p>
        </w:tc>
        <w:tc>
          <w:tcPr>
            <w:tcW w:w="1380" w:type="dxa"/>
            <w:vAlign w:val="bottom"/>
            <w:shd w:val="clear" w:color="auto" w:fill="EAEAEA"/>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shd w:val="clear" w:color="auto" w:fill="EAEAEA"/>
          </w:tcPr>
          <w:p>
            <w:pPr>
              <w:spacing w:after="0"/>
              <w:rPr>
                <w:sz w:val="12"/>
                <w:szCs w:val="12"/>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16,265</w:t>
            </w:r>
          </w:p>
        </w:tc>
        <w:tc>
          <w:tcPr>
            <w:tcW w:w="1220" w:type="dxa"/>
            <w:vAlign w:val="bottom"/>
            <w:shd w:val="clear" w:color="auto" w:fill="EAEAEA"/>
          </w:tcPr>
          <w:p>
            <w:pPr>
              <w:ind w:left="1060"/>
              <w:spacing w:after="0"/>
              <w:rPr>
                <w:sz w:val="20"/>
                <w:szCs w:val="20"/>
                <w:color w:val="auto"/>
              </w:rPr>
            </w:pPr>
            <w:r>
              <w:rPr>
                <w:rFonts w:ascii="Arial" w:cs="Arial" w:eastAsia="Arial" w:hAnsi="Arial"/>
                <w:sz w:val="13"/>
                <w:szCs w:val="13"/>
                <w:color w:val="auto"/>
              </w:rPr>
              <w:t>—</w:t>
            </w:r>
          </w:p>
        </w:tc>
        <w:tc>
          <w:tcPr>
            <w:tcW w:w="7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50.66</w:t>
            </w:r>
          </w:p>
        </w:tc>
        <w:tc>
          <w:tcPr>
            <w:tcW w:w="9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11/17/2025</w:t>
            </w:r>
          </w:p>
        </w:tc>
        <w:tc>
          <w:tcPr>
            <w:tcW w:w="540" w:type="dxa"/>
            <w:vAlign w:val="bottom"/>
          </w:tcPr>
          <w:p>
            <w:pPr>
              <w:spacing w:after="0"/>
              <w:rPr>
                <w:sz w:val="12"/>
                <w:szCs w:val="12"/>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EAEAEA"/>
          </w:tcPr>
          <w:p>
            <w:pPr>
              <w:spacing w:after="0"/>
              <w:rPr>
                <w:sz w:val="12"/>
                <w:szCs w:val="12"/>
                <w:color w:val="auto"/>
              </w:rPr>
            </w:pP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EAEAEA"/>
          </w:tcPr>
          <w:p>
            <w:pPr>
              <w:jc w:val="right"/>
              <w:ind w:right="158"/>
              <w:spacing w:after="0"/>
              <w:rPr>
                <w:sz w:val="20"/>
                <w:szCs w:val="20"/>
                <w:color w:val="auto"/>
              </w:rPr>
            </w:pPr>
            <w:r>
              <w:rPr>
                <w:rFonts w:ascii="Arial" w:cs="Arial" w:eastAsia="Arial" w:hAnsi="Arial"/>
                <w:sz w:val="13"/>
                <w:szCs w:val="13"/>
                <w:color w:val="auto"/>
              </w:rPr>
              <w:t>—</w:t>
            </w:r>
          </w:p>
        </w:tc>
        <w:tc>
          <w:tcPr>
            <w:tcW w:w="1380" w:type="dxa"/>
            <w:vAlign w:val="bottom"/>
            <w:shd w:val="clear" w:color="auto" w:fill="EAEAEA"/>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shd w:val="clear" w:color="auto" w:fill="EAEAEA"/>
          </w:tcPr>
          <w:p>
            <w:pPr>
              <w:spacing w:after="0"/>
              <w:rPr>
                <w:sz w:val="12"/>
                <w:szCs w:val="12"/>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27,314</w:t>
            </w:r>
          </w:p>
        </w:tc>
        <w:tc>
          <w:tcPr>
            <w:tcW w:w="1220" w:type="dxa"/>
            <w:vAlign w:val="bottom"/>
            <w:shd w:val="clear" w:color="auto" w:fill="EAEAEA"/>
          </w:tcPr>
          <w:p>
            <w:pPr>
              <w:ind w:left="1060"/>
              <w:spacing w:after="0"/>
              <w:rPr>
                <w:sz w:val="20"/>
                <w:szCs w:val="20"/>
                <w:color w:val="auto"/>
              </w:rPr>
            </w:pPr>
            <w:r>
              <w:rPr>
                <w:rFonts w:ascii="Arial" w:cs="Arial" w:eastAsia="Arial" w:hAnsi="Arial"/>
                <w:sz w:val="13"/>
                <w:szCs w:val="13"/>
                <w:color w:val="auto"/>
              </w:rPr>
              <w:t>—</w:t>
            </w:r>
          </w:p>
        </w:tc>
        <w:tc>
          <w:tcPr>
            <w:tcW w:w="7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46.27</w:t>
            </w:r>
          </w:p>
        </w:tc>
        <w:tc>
          <w:tcPr>
            <w:tcW w:w="9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2/17/2026</w:t>
            </w:r>
          </w:p>
        </w:tc>
        <w:tc>
          <w:tcPr>
            <w:tcW w:w="540" w:type="dxa"/>
            <w:vAlign w:val="bottom"/>
          </w:tcPr>
          <w:p>
            <w:pPr>
              <w:spacing w:after="0"/>
              <w:rPr>
                <w:sz w:val="12"/>
                <w:szCs w:val="12"/>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EAEAEA"/>
          </w:tcPr>
          <w:p>
            <w:pPr>
              <w:spacing w:after="0"/>
              <w:rPr>
                <w:sz w:val="12"/>
                <w:szCs w:val="12"/>
                <w:color w:val="auto"/>
              </w:rPr>
            </w:pP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EAEAEA"/>
          </w:tcPr>
          <w:p>
            <w:pPr>
              <w:jc w:val="right"/>
              <w:ind w:right="158"/>
              <w:spacing w:after="0"/>
              <w:rPr>
                <w:sz w:val="20"/>
                <w:szCs w:val="20"/>
                <w:color w:val="auto"/>
              </w:rPr>
            </w:pPr>
            <w:r>
              <w:rPr>
                <w:rFonts w:ascii="Arial" w:cs="Arial" w:eastAsia="Arial" w:hAnsi="Arial"/>
                <w:sz w:val="13"/>
                <w:szCs w:val="13"/>
                <w:color w:val="auto"/>
              </w:rPr>
              <w:t>—</w:t>
            </w:r>
          </w:p>
        </w:tc>
        <w:tc>
          <w:tcPr>
            <w:tcW w:w="1380" w:type="dxa"/>
            <w:vAlign w:val="bottom"/>
            <w:shd w:val="clear" w:color="auto" w:fill="EAEAEA"/>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shd w:val="clear" w:color="auto" w:fill="EAEAEA"/>
          </w:tcPr>
          <w:p>
            <w:pPr>
              <w:spacing w:after="0"/>
              <w:rPr>
                <w:sz w:val="12"/>
                <w:szCs w:val="12"/>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29,275</w:t>
            </w:r>
          </w:p>
        </w:tc>
        <w:tc>
          <w:tcPr>
            <w:tcW w:w="1220" w:type="dxa"/>
            <w:vAlign w:val="bottom"/>
            <w:shd w:val="clear" w:color="auto" w:fill="EAEAEA"/>
          </w:tcPr>
          <w:p>
            <w:pPr>
              <w:ind w:left="1060"/>
              <w:spacing w:after="0"/>
              <w:rPr>
                <w:sz w:val="20"/>
                <w:szCs w:val="20"/>
                <w:color w:val="auto"/>
              </w:rPr>
            </w:pPr>
            <w:r>
              <w:rPr>
                <w:rFonts w:ascii="Arial" w:cs="Arial" w:eastAsia="Arial" w:hAnsi="Arial"/>
                <w:sz w:val="13"/>
                <w:szCs w:val="13"/>
                <w:color w:val="auto"/>
              </w:rPr>
              <w:t>—</w:t>
            </w:r>
          </w:p>
        </w:tc>
        <w:tc>
          <w:tcPr>
            <w:tcW w:w="7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45.18</w:t>
            </w:r>
          </w:p>
        </w:tc>
        <w:tc>
          <w:tcPr>
            <w:tcW w:w="9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3/3/2027</w:t>
            </w:r>
          </w:p>
        </w:tc>
        <w:tc>
          <w:tcPr>
            <w:tcW w:w="540" w:type="dxa"/>
            <w:vAlign w:val="bottom"/>
          </w:tcPr>
          <w:p>
            <w:pPr>
              <w:spacing w:after="0"/>
              <w:rPr>
                <w:sz w:val="12"/>
                <w:szCs w:val="12"/>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EAEAEA"/>
          </w:tcPr>
          <w:p>
            <w:pPr>
              <w:spacing w:after="0"/>
              <w:rPr>
                <w:sz w:val="12"/>
                <w:szCs w:val="12"/>
                <w:color w:val="auto"/>
              </w:rPr>
            </w:pP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EAEAEA"/>
          </w:tcPr>
          <w:p>
            <w:pPr>
              <w:jc w:val="right"/>
              <w:ind w:right="158"/>
              <w:spacing w:after="0"/>
              <w:rPr>
                <w:sz w:val="20"/>
                <w:szCs w:val="20"/>
                <w:color w:val="auto"/>
              </w:rPr>
            </w:pPr>
            <w:r>
              <w:rPr>
                <w:rFonts w:ascii="Arial" w:cs="Arial" w:eastAsia="Arial" w:hAnsi="Arial"/>
                <w:sz w:val="13"/>
                <w:szCs w:val="13"/>
                <w:color w:val="auto"/>
              </w:rPr>
              <w:t>—</w:t>
            </w:r>
          </w:p>
        </w:tc>
        <w:tc>
          <w:tcPr>
            <w:tcW w:w="1380" w:type="dxa"/>
            <w:vAlign w:val="bottom"/>
            <w:shd w:val="clear" w:color="auto" w:fill="EAEAEA"/>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100" w:type="dxa"/>
            <w:vAlign w:val="bottom"/>
            <w:shd w:val="clear" w:color="auto" w:fill="EAEAEA"/>
          </w:tcPr>
          <w:p>
            <w:pPr>
              <w:spacing w:after="0"/>
              <w:rPr>
                <w:sz w:val="12"/>
                <w:szCs w:val="12"/>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29,833</w:t>
            </w:r>
          </w:p>
        </w:tc>
        <w:tc>
          <w:tcPr>
            <w:tcW w:w="1220" w:type="dxa"/>
            <w:vAlign w:val="bottom"/>
            <w:shd w:val="clear" w:color="auto" w:fill="EAEAEA"/>
          </w:tcPr>
          <w:p>
            <w:pPr>
              <w:ind w:left="1060"/>
              <w:spacing w:after="0"/>
              <w:rPr>
                <w:sz w:val="20"/>
                <w:szCs w:val="20"/>
                <w:color w:val="auto"/>
              </w:rPr>
            </w:pPr>
            <w:r>
              <w:rPr>
                <w:rFonts w:ascii="Arial" w:cs="Arial" w:eastAsia="Arial" w:hAnsi="Arial"/>
                <w:sz w:val="13"/>
                <w:szCs w:val="13"/>
                <w:color w:val="auto"/>
              </w:rPr>
              <w:t>—</w:t>
            </w:r>
          </w:p>
        </w:tc>
        <w:tc>
          <w:tcPr>
            <w:tcW w:w="7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40.97</w:t>
            </w:r>
          </w:p>
        </w:tc>
        <w:tc>
          <w:tcPr>
            <w:tcW w:w="9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3/2/2028</w:t>
            </w:r>
          </w:p>
        </w:tc>
        <w:tc>
          <w:tcPr>
            <w:tcW w:w="540" w:type="dxa"/>
            <w:vAlign w:val="bottom"/>
          </w:tcPr>
          <w:p>
            <w:pPr>
              <w:spacing w:after="0"/>
              <w:rPr>
                <w:sz w:val="12"/>
                <w:szCs w:val="12"/>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EAEAEA"/>
          </w:tcPr>
          <w:p>
            <w:pPr>
              <w:spacing w:after="0"/>
              <w:rPr>
                <w:sz w:val="12"/>
                <w:szCs w:val="12"/>
                <w:color w:val="auto"/>
              </w:rPr>
            </w:pP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EAEAEA"/>
          </w:tcPr>
          <w:p>
            <w:pPr>
              <w:jc w:val="right"/>
              <w:ind w:right="158"/>
              <w:spacing w:after="0"/>
              <w:rPr>
                <w:sz w:val="20"/>
                <w:szCs w:val="20"/>
                <w:color w:val="auto"/>
              </w:rPr>
            </w:pPr>
            <w:r>
              <w:rPr>
                <w:rFonts w:ascii="Arial" w:cs="Arial" w:eastAsia="Arial" w:hAnsi="Arial"/>
                <w:sz w:val="13"/>
                <w:szCs w:val="13"/>
                <w:color w:val="auto"/>
              </w:rPr>
              <w:t>—</w:t>
            </w:r>
          </w:p>
        </w:tc>
        <w:tc>
          <w:tcPr>
            <w:tcW w:w="1380" w:type="dxa"/>
            <w:vAlign w:val="bottom"/>
            <w:shd w:val="clear" w:color="auto" w:fill="EAEAEA"/>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shd w:val="clear" w:color="auto" w:fill="EAEAEA"/>
          </w:tcPr>
          <w:p>
            <w:pPr>
              <w:spacing w:after="0"/>
              <w:rPr>
                <w:sz w:val="12"/>
                <w:szCs w:val="12"/>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18,567</w:t>
            </w:r>
          </w:p>
        </w:tc>
        <w:tc>
          <w:tcPr>
            <w:tcW w:w="12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9,284</w:t>
            </w:r>
          </w:p>
        </w:tc>
        <w:tc>
          <w:tcPr>
            <w:tcW w:w="7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27.45</w:t>
            </w:r>
          </w:p>
        </w:tc>
        <w:tc>
          <w:tcPr>
            <w:tcW w:w="9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3/1/2029</w:t>
            </w:r>
          </w:p>
        </w:tc>
        <w:tc>
          <w:tcPr>
            <w:tcW w:w="540" w:type="dxa"/>
            <w:vAlign w:val="bottom"/>
          </w:tcPr>
          <w:p>
            <w:pPr>
              <w:spacing w:after="0"/>
              <w:rPr>
                <w:sz w:val="12"/>
                <w:szCs w:val="12"/>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EAEAEA"/>
          </w:tcPr>
          <w:p>
            <w:pPr>
              <w:spacing w:after="0"/>
              <w:rPr>
                <w:sz w:val="12"/>
                <w:szCs w:val="12"/>
                <w:color w:val="auto"/>
              </w:rPr>
            </w:pP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EAEAEA"/>
          </w:tcPr>
          <w:p>
            <w:pPr>
              <w:jc w:val="right"/>
              <w:ind w:right="158"/>
              <w:spacing w:after="0"/>
              <w:rPr>
                <w:sz w:val="20"/>
                <w:szCs w:val="20"/>
                <w:color w:val="auto"/>
              </w:rPr>
            </w:pPr>
            <w:r>
              <w:rPr>
                <w:rFonts w:ascii="Arial" w:cs="Arial" w:eastAsia="Arial" w:hAnsi="Arial"/>
                <w:sz w:val="13"/>
                <w:szCs w:val="13"/>
                <w:color w:val="auto"/>
              </w:rPr>
              <w:t>—</w:t>
            </w:r>
          </w:p>
        </w:tc>
        <w:tc>
          <w:tcPr>
            <w:tcW w:w="1380" w:type="dxa"/>
            <w:vAlign w:val="bottom"/>
            <w:shd w:val="clear" w:color="auto" w:fill="EAEAEA"/>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shd w:val="clear" w:color="auto" w:fill="EAEAEA"/>
          </w:tcPr>
          <w:p>
            <w:pPr>
              <w:spacing w:after="0"/>
              <w:rPr>
                <w:sz w:val="12"/>
                <w:szCs w:val="12"/>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13,121</w:t>
            </w:r>
          </w:p>
        </w:tc>
        <w:tc>
          <w:tcPr>
            <w:tcW w:w="1220" w:type="dxa"/>
            <w:vAlign w:val="bottom"/>
            <w:shd w:val="clear" w:color="auto" w:fill="EAEAEA"/>
          </w:tcPr>
          <w:p>
            <w:pPr>
              <w:ind w:left="780"/>
              <w:spacing w:after="0"/>
              <w:rPr>
                <w:sz w:val="20"/>
                <w:szCs w:val="20"/>
                <w:color w:val="auto"/>
              </w:rPr>
            </w:pPr>
            <w:r>
              <w:rPr>
                <w:rFonts w:ascii="Arial" w:cs="Arial" w:eastAsia="Arial" w:hAnsi="Arial"/>
                <w:sz w:val="13"/>
                <w:szCs w:val="13"/>
                <w:color w:val="auto"/>
              </w:rPr>
              <w:t>26,240</w:t>
            </w:r>
          </w:p>
        </w:tc>
        <w:tc>
          <w:tcPr>
            <w:tcW w:w="7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17.48</w:t>
            </w:r>
          </w:p>
        </w:tc>
        <w:tc>
          <w:tcPr>
            <w:tcW w:w="9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3/2/2030</w:t>
            </w:r>
          </w:p>
        </w:tc>
        <w:tc>
          <w:tcPr>
            <w:tcW w:w="540" w:type="dxa"/>
            <w:vAlign w:val="bottom"/>
          </w:tcPr>
          <w:p>
            <w:pPr>
              <w:spacing w:after="0"/>
              <w:rPr>
                <w:sz w:val="12"/>
                <w:szCs w:val="12"/>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EAEAEA"/>
          </w:tcPr>
          <w:p>
            <w:pPr>
              <w:spacing w:after="0"/>
              <w:rPr>
                <w:sz w:val="12"/>
                <w:szCs w:val="12"/>
                <w:color w:val="auto"/>
              </w:rPr>
            </w:pP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EAEAEA"/>
          </w:tcPr>
          <w:p>
            <w:pPr>
              <w:jc w:val="right"/>
              <w:ind w:right="158"/>
              <w:spacing w:after="0"/>
              <w:rPr>
                <w:sz w:val="20"/>
                <w:szCs w:val="20"/>
                <w:color w:val="auto"/>
              </w:rPr>
            </w:pPr>
            <w:r>
              <w:rPr>
                <w:rFonts w:ascii="Arial" w:cs="Arial" w:eastAsia="Arial" w:hAnsi="Arial"/>
                <w:sz w:val="13"/>
                <w:szCs w:val="13"/>
                <w:color w:val="auto"/>
              </w:rPr>
              <w:t>—</w:t>
            </w:r>
          </w:p>
        </w:tc>
        <w:tc>
          <w:tcPr>
            <w:tcW w:w="1380" w:type="dxa"/>
            <w:vAlign w:val="bottom"/>
            <w:shd w:val="clear" w:color="auto" w:fill="EAEAEA"/>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100" w:type="dxa"/>
            <w:vAlign w:val="bottom"/>
            <w:shd w:val="clear" w:color="auto" w:fill="EAEAEA"/>
          </w:tcPr>
          <w:p>
            <w:pPr>
              <w:spacing w:after="0"/>
              <w:rPr>
                <w:sz w:val="12"/>
                <w:szCs w:val="12"/>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220" w:type="dxa"/>
            <w:vAlign w:val="bottom"/>
            <w:shd w:val="clear" w:color="auto" w:fill="EAEAEA"/>
          </w:tcPr>
          <w:p>
            <w:pPr>
              <w:ind w:left="1060"/>
              <w:spacing w:after="0"/>
              <w:rPr>
                <w:sz w:val="20"/>
                <w:szCs w:val="20"/>
                <w:color w:val="auto"/>
              </w:rPr>
            </w:pPr>
            <w:r>
              <w:rPr>
                <w:rFonts w:ascii="Arial" w:cs="Arial" w:eastAsia="Arial" w:hAnsi="Arial"/>
                <w:sz w:val="13"/>
                <w:szCs w:val="13"/>
                <w:color w:val="auto"/>
              </w:rPr>
              <w:t>—</w:t>
            </w:r>
          </w:p>
        </w:tc>
        <w:tc>
          <w:tcPr>
            <w:tcW w:w="7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2"/>
                <w:szCs w:val="12"/>
                <w:color w:val="auto"/>
              </w:rPr>
            </w:pPr>
          </w:p>
        </w:tc>
        <w:tc>
          <w:tcPr>
            <w:tcW w:w="860" w:type="dxa"/>
            <w:vAlign w:val="bottom"/>
            <w:shd w:val="clear" w:color="auto" w:fill="EAEAEA"/>
          </w:tcPr>
          <w:p>
            <w:pPr>
              <w:spacing w:after="0"/>
              <w:rPr>
                <w:sz w:val="12"/>
                <w:szCs w:val="12"/>
                <w:color w:val="auto"/>
              </w:rPr>
            </w:pPr>
          </w:p>
        </w:tc>
        <w:tc>
          <w:tcPr>
            <w:tcW w:w="160" w:type="dxa"/>
            <w:vAlign w:val="bottom"/>
            <w:vMerge w:val="restart"/>
            <w:shd w:val="clear" w:color="auto" w:fill="EAEAEA"/>
          </w:tcPr>
          <w:p>
            <w:pPr>
              <w:jc w:val="right"/>
              <w:spacing w:after="0"/>
              <w:rPr>
                <w:sz w:val="20"/>
                <w:szCs w:val="20"/>
                <w:color w:val="auto"/>
              </w:rPr>
            </w:pPr>
            <w:r>
              <w:rPr>
                <w:rFonts w:ascii="Arial" w:cs="Arial" w:eastAsia="Arial" w:hAnsi="Arial"/>
                <w:sz w:val="10"/>
                <w:szCs w:val="10"/>
                <w:color w:val="auto"/>
                <w:w w:val="81"/>
              </w:rPr>
              <w:t>(6)</w:t>
            </w:r>
          </w:p>
        </w:tc>
        <w:tc>
          <w:tcPr>
            <w:tcW w:w="840" w:type="dxa"/>
            <w:vAlign w:val="bottom"/>
            <w:shd w:val="clear" w:color="auto" w:fill="EAEAEA"/>
          </w:tcPr>
          <w:p>
            <w:pPr>
              <w:spacing w:after="0"/>
              <w:rPr>
                <w:sz w:val="12"/>
                <w:szCs w:val="12"/>
                <w:color w:val="auto"/>
              </w:rPr>
            </w:pPr>
          </w:p>
        </w:tc>
        <w:tc>
          <w:tcPr>
            <w:tcW w:w="1240" w:type="dxa"/>
            <w:vAlign w:val="bottom"/>
            <w:gridSpan w:val="2"/>
            <w:shd w:val="clear" w:color="auto" w:fill="EAEAEA"/>
          </w:tcPr>
          <w:p>
            <w:pPr>
              <w:jc w:val="right"/>
              <w:ind w:right="158"/>
              <w:spacing w:after="0"/>
              <w:rPr>
                <w:sz w:val="20"/>
                <w:szCs w:val="20"/>
                <w:color w:val="auto"/>
              </w:rPr>
            </w:pPr>
            <w:r>
              <w:rPr>
                <w:rFonts w:ascii="Arial" w:cs="Arial" w:eastAsia="Arial" w:hAnsi="Arial"/>
                <w:sz w:val="13"/>
                <w:szCs w:val="13"/>
                <w:color w:val="auto"/>
              </w:rPr>
              <w:t>—</w:t>
            </w:r>
          </w:p>
        </w:tc>
        <w:tc>
          <w:tcPr>
            <w:tcW w:w="1380" w:type="dxa"/>
            <w:vAlign w:val="bottom"/>
            <w:shd w:val="clear" w:color="auto" w:fill="EAEAEA"/>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2100" w:type="dxa"/>
            <w:vAlign w:val="bottom"/>
            <w:shd w:val="clear" w:color="auto" w:fill="EAEAEA"/>
          </w:tcPr>
          <w:p>
            <w:pPr>
              <w:spacing w:after="0"/>
              <w:rPr>
                <w:sz w:val="12"/>
                <w:szCs w:val="12"/>
                <w:color w:val="auto"/>
              </w:rPr>
            </w:pPr>
          </w:p>
        </w:tc>
        <w:tc>
          <w:tcPr>
            <w:tcW w:w="1000" w:type="dxa"/>
            <w:vAlign w:val="bottom"/>
            <w:shd w:val="clear" w:color="auto" w:fill="EAEAEA"/>
          </w:tcPr>
          <w:p>
            <w:pPr>
              <w:jc w:val="right"/>
              <w:spacing w:after="0" w:line="144" w:lineRule="exact"/>
              <w:rPr>
                <w:sz w:val="20"/>
                <w:szCs w:val="20"/>
                <w:color w:val="auto"/>
              </w:rPr>
            </w:pPr>
            <w:r>
              <w:rPr>
                <w:rFonts w:ascii="Arial" w:cs="Arial" w:eastAsia="Arial" w:hAnsi="Arial"/>
                <w:sz w:val="13"/>
                <w:szCs w:val="13"/>
                <w:color w:val="auto"/>
              </w:rPr>
              <w:t>—</w:t>
            </w:r>
          </w:p>
        </w:tc>
        <w:tc>
          <w:tcPr>
            <w:tcW w:w="1220" w:type="dxa"/>
            <w:vAlign w:val="bottom"/>
            <w:shd w:val="clear" w:color="auto" w:fill="EAEAEA"/>
          </w:tcPr>
          <w:p>
            <w:pPr>
              <w:ind w:left="1060"/>
              <w:spacing w:after="0" w:line="144" w:lineRule="exact"/>
              <w:rPr>
                <w:sz w:val="20"/>
                <w:szCs w:val="20"/>
                <w:color w:val="auto"/>
              </w:rPr>
            </w:pPr>
            <w:r>
              <w:rPr>
                <w:rFonts w:ascii="Arial" w:cs="Arial" w:eastAsia="Arial" w:hAnsi="Arial"/>
                <w:sz w:val="13"/>
                <w:szCs w:val="13"/>
                <w:color w:val="auto"/>
              </w:rPr>
              <w:t>—</w:t>
            </w:r>
          </w:p>
        </w:tc>
        <w:tc>
          <w:tcPr>
            <w:tcW w:w="760" w:type="dxa"/>
            <w:vAlign w:val="bottom"/>
            <w:shd w:val="clear" w:color="auto" w:fill="EAEAEA"/>
          </w:tcPr>
          <w:p>
            <w:pPr>
              <w:jc w:val="right"/>
              <w:spacing w:after="0" w:line="144" w:lineRule="exact"/>
              <w:rPr>
                <w:sz w:val="20"/>
                <w:szCs w:val="20"/>
                <w:color w:val="auto"/>
              </w:rPr>
            </w:pPr>
            <w:r>
              <w:rPr>
                <w:rFonts w:ascii="Arial" w:cs="Arial" w:eastAsia="Arial" w:hAnsi="Arial"/>
                <w:sz w:val="13"/>
                <w:szCs w:val="13"/>
                <w:color w:val="auto"/>
              </w:rPr>
              <w:t>—</w:t>
            </w:r>
          </w:p>
        </w:tc>
        <w:tc>
          <w:tcPr>
            <w:tcW w:w="920" w:type="dxa"/>
            <w:vAlign w:val="bottom"/>
            <w:shd w:val="clear" w:color="auto" w:fill="EAEAEA"/>
          </w:tcPr>
          <w:p>
            <w:pPr>
              <w:jc w:val="right"/>
              <w:spacing w:after="0" w:line="144" w:lineRule="exact"/>
              <w:rPr>
                <w:sz w:val="20"/>
                <w:szCs w:val="20"/>
                <w:color w:val="auto"/>
              </w:rPr>
            </w:pPr>
            <w:r>
              <w:rPr>
                <w:rFonts w:ascii="Arial" w:cs="Arial" w:eastAsia="Arial" w:hAnsi="Arial"/>
                <w:sz w:val="13"/>
                <w:szCs w:val="13"/>
                <w:color w:val="auto"/>
              </w:rPr>
              <w:t>—</w:t>
            </w:r>
          </w:p>
        </w:tc>
        <w:tc>
          <w:tcPr>
            <w:tcW w:w="540" w:type="dxa"/>
            <w:vAlign w:val="bottom"/>
          </w:tcPr>
          <w:p>
            <w:pPr>
              <w:spacing w:after="0"/>
              <w:rPr>
                <w:sz w:val="12"/>
                <w:szCs w:val="12"/>
                <w:color w:val="auto"/>
              </w:rPr>
            </w:pPr>
          </w:p>
        </w:tc>
        <w:tc>
          <w:tcPr>
            <w:tcW w:w="860" w:type="dxa"/>
            <w:vAlign w:val="bottom"/>
            <w:shd w:val="clear" w:color="auto" w:fill="EAEAEA"/>
          </w:tcPr>
          <w:p>
            <w:pPr>
              <w:jc w:val="right"/>
              <w:spacing w:after="0" w:line="144" w:lineRule="exact"/>
              <w:rPr>
                <w:sz w:val="20"/>
                <w:szCs w:val="20"/>
                <w:color w:val="auto"/>
              </w:rPr>
            </w:pPr>
            <w:r>
              <w:rPr>
                <w:rFonts w:ascii="Arial" w:cs="Arial" w:eastAsia="Arial" w:hAnsi="Arial"/>
                <w:sz w:val="13"/>
                <w:szCs w:val="13"/>
                <w:color w:val="auto"/>
              </w:rPr>
              <w:t>15,544</w:t>
            </w:r>
          </w:p>
        </w:tc>
        <w:tc>
          <w:tcPr>
            <w:tcW w:w="160" w:type="dxa"/>
            <w:vAlign w:val="bottom"/>
            <w:vMerge w:val="continue"/>
            <w:shd w:val="clear" w:color="auto" w:fill="EAEAEA"/>
          </w:tcPr>
          <w:p>
            <w:pPr>
              <w:spacing w:after="0"/>
              <w:rPr>
                <w:sz w:val="12"/>
                <w:szCs w:val="12"/>
                <w:color w:val="auto"/>
              </w:rPr>
            </w:pPr>
          </w:p>
        </w:tc>
        <w:tc>
          <w:tcPr>
            <w:tcW w:w="840" w:type="dxa"/>
            <w:vAlign w:val="bottom"/>
            <w:shd w:val="clear" w:color="auto" w:fill="EAEAEA"/>
          </w:tcPr>
          <w:p>
            <w:pPr>
              <w:jc w:val="right"/>
              <w:spacing w:after="0" w:line="144" w:lineRule="exact"/>
              <w:rPr>
                <w:sz w:val="20"/>
                <w:szCs w:val="20"/>
                <w:color w:val="auto"/>
              </w:rPr>
            </w:pPr>
            <w:r>
              <w:rPr>
                <w:rFonts w:ascii="Arial" w:cs="Arial" w:eastAsia="Arial" w:hAnsi="Arial"/>
                <w:sz w:val="13"/>
                <w:szCs w:val="13"/>
                <w:color w:val="auto"/>
              </w:rPr>
              <w:t>210,310</w:t>
            </w:r>
          </w:p>
        </w:tc>
        <w:tc>
          <w:tcPr>
            <w:tcW w:w="1040" w:type="dxa"/>
            <w:vAlign w:val="bottom"/>
            <w:shd w:val="clear" w:color="auto" w:fill="EAEAEA"/>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EAEAEA"/>
          </w:tcPr>
          <w:p>
            <w:pPr>
              <w:spacing w:after="0"/>
              <w:rPr>
                <w:sz w:val="12"/>
                <w:szCs w:val="12"/>
                <w:color w:val="auto"/>
              </w:rPr>
            </w:pPr>
          </w:p>
        </w:tc>
        <w:tc>
          <w:tcPr>
            <w:tcW w:w="1380" w:type="dxa"/>
            <w:vAlign w:val="bottom"/>
            <w:shd w:val="clear" w:color="auto" w:fill="EAEAEA"/>
          </w:tcPr>
          <w:p>
            <w:pPr>
              <w:jc w:val="right"/>
              <w:ind w:right="93"/>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shd w:val="clear" w:color="auto" w:fill="EAEAEA"/>
          </w:tcPr>
          <w:p>
            <w:pPr>
              <w:spacing w:after="0"/>
              <w:rPr>
                <w:sz w:val="12"/>
                <w:szCs w:val="12"/>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220" w:type="dxa"/>
            <w:vAlign w:val="bottom"/>
            <w:shd w:val="clear" w:color="auto" w:fill="EAEAEA"/>
          </w:tcPr>
          <w:p>
            <w:pPr>
              <w:ind w:left="1060"/>
              <w:spacing w:after="0"/>
              <w:rPr>
                <w:sz w:val="20"/>
                <w:szCs w:val="20"/>
                <w:color w:val="auto"/>
              </w:rPr>
            </w:pPr>
            <w:r>
              <w:rPr>
                <w:rFonts w:ascii="Arial" w:cs="Arial" w:eastAsia="Arial" w:hAnsi="Arial"/>
                <w:sz w:val="13"/>
                <w:szCs w:val="13"/>
                <w:color w:val="auto"/>
              </w:rPr>
              <w:t>—</w:t>
            </w:r>
          </w:p>
        </w:tc>
        <w:tc>
          <w:tcPr>
            <w:tcW w:w="7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2"/>
                <w:szCs w:val="12"/>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58,288</w:t>
            </w:r>
          </w:p>
        </w:tc>
        <w:tc>
          <w:tcPr>
            <w:tcW w:w="160" w:type="dxa"/>
            <w:vAlign w:val="bottom"/>
            <w:shd w:val="clear" w:color="auto" w:fill="EAEAEA"/>
          </w:tcPr>
          <w:p>
            <w:pPr>
              <w:jc w:val="right"/>
              <w:spacing w:after="0"/>
              <w:rPr>
                <w:sz w:val="20"/>
                <w:szCs w:val="20"/>
                <w:color w:val="auto"/>
              </w:rPr>
            </w:pPr>
            <w:r>
              <w:rPr>
                <w:rFonts w:ascii="Arial" w:cs="Arial" w:eastAsia="Arial" w:hAnsi="Arial"/>
                <w:sz w:val="10"/>
                <w:szCs w:val="10"/>
                <w:color w:val="auto"/>
                <w:w w:val="81"/>
              </w:rPr>
              <w:t>(7)</w:t>
            </w: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788,637</w:t>
            </w:r>
          </w:p>
        </w:tc>
        <w:tc>
          <w:tcPr>
            <w:tcW w:w="10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EAEAEA"/>
          </w:tcPr>
          <w:p>
            <w:pPr>
              <w:spacing w:after="0"/>
              <w:rPr>
                <w:sz w:val="12"/>
                <w:szCs w:val="12"/>
                <w:color w:val="auto"/>
              </w:rPr>
            </w:pPr>
          </w:p>
        </w:tc>
        <w:tc>
          <w:tcPr>
            <w:tcW w:w="1380" w:type="dxa"/>
            <w:vAlign w:val="bottom"/>
            <w:shd w:val="clear" w:color="auto" w:fill="EAEAEA"/>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shd w:val="clear" w:color="auto" w:fill="EAEAEA"/>
          </w:tcPr>
          <w:p>
            <w:pPr>
              <w:spacing w:after="0"/>
              <w:rPr>
                <w:sz w:val="12"/>
                <w:szCs w:val="12"/>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220" w:type="dxa"/>
            <w:vAlign w:val="bottom"/>
            <w:shd w:val="clear" w:color="auto" w:fill="EAEAEA"/>
          </w:tcPr>
          <w:p>
            <w:pPr>
              <w:ind w:left="1060"/>
              <w:spacing w:after="0"/>
              <w:rPr>
                <w:sz w:val="20"/>
                <w:szCs w:val="20"/>
                <w:color w:val="auto"/>
              </w:rPr>
            </w:pPr>
            <w:r>
              <w:rPr>
                <w:rFonts w:ascii="Arial" w:cs="Arial" w:eastAsia="Arial" w:hAnsi="Arial"/>
                <w:sz w:val="13"/>
                <w:szCs w:val="13"/>
                <w:color w:val="auto"/>
              </w:rPr>
              <w:t>—</w:t>
            </w:r>
          </w:p>
        </w:tc>
        <w:tc>
          <w:tcPr>
            <w:tcW w:w="7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2"/>
                <w:szCs w:val="12"/>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48,818</w:t>
            </w:r>
          </w:p>
        </w:tc>
        <w:tc>
          <w:tcPr>
            <w:tcW w:w="160" w:type="dxa"/>
            <w:vAlign w:val="bottom"/>
            <w:shd w:val="clear" w:color="auto" w:fill="EAEAEA"/>
          </w:tcPr>
          <w:p>
            <w:pPr>
              <w:jc w:val="right"/>
              <w:spacing w:after="0"/>
              <w:rPr>
                <w:sz w:val="20"/>
                <w:szCs w:val="20"/>
                <w:color w:val="auto"/>
              </w:rPr>
            </w:pPr>
            <w:r>
              <w:rPr>
                <w:rFonts w:ascii="Arial" w:cs="Arial" w:eastAsia="Arial" w:hAnsi="Arial"/>
                <w:sz w:val="10"/>
                <w:szCs w:val="10"/>
                <w:color w:val="auto"/>
                <w:w w:val="81"/>
              </w:rPr>
              <w:t>(6)</w:t>
            </w: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660,508</w:t>
            </w:r>
          </w:p>
        </w:tc>
        <w:tc>
          <w:tcPr>
            <w:tcW w:w="10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EAEAEA"/>
          </w:tcPr>
          <w:p>
            <w:pPr>
              <w:spacing w:after="0"/>
              <w:rPr>
                <w:sz w:val="12"/>
                <w:szCs w:val="12"/>
                <w:color w:val="auto"/>
              </w:rPr>
            </w:pPr>
          </w:p>
        </w:tc>
        <w:tc>
          <w:tcPr>
            <w:tcW w:w="1380" w:type="dxa"/>
            <w:vAlign w:val="bottom"/>
            <w:shd w:val="clear" w:color="auto" w:fill="EAEAEA"/>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100" w:type="dxa"/>
            <w:vAlign w:val="bottom"/>
            <w:shd w:val="clear" w:color="auto" w:fill="EAEAEA"/>
          </w:tcPr>
          <w:p>
            <w:pPr>
              <w:spacing w:after="0"/>
              <w:rPr>
                <w:sz w:val="12"/>
                <w:szCs w:val="12"/>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220" w:type="dxa"/>
            <w:vAlign w:val="bottom"/>
            <w:shd w:val="clear" w:color="auto" w:fill="EAEAEA"/>
          </w:tcPr>
          <w:p>
            <w:pPr>
              <w:ind w:left="1060"/>
              <w:spacing w:after="0"/>
              <w:rPr>
                <w:sz w:val="20"/>
                <w:szCs w:val="20"/>
                <w:color w:val="auto"/>
              </w:rPr>
            </w:pPr>
            <w:r>
              <w:rPr>
                <w:rFonts w:ascii="Arial" w:cs="Arial" w:eastAsia="Arial" w:hAnsi="Arial"/>
                <w:sz w:val="13"/>
                <w:szCs w:val="13"/>
                <w:color w:val="auto"/>
              </w:rPr>
              <w:t>—</w:t>
            </w:r>
          </w:p>
        </w:tc>
        <w:tc>
          <w:tcPr>
            <w:tcW w:w="7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2"/>
                <w:szCs w:val="12"/>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91,534</w:t>
            </w:r>
          </w:p>
        </w:tc>
        <w:tc>
          <w:tcPr>
            <w:tcW w:w="160" w:type="dxa"/>
            <w:vAlign w:val="bottom"/>
            <w:shd w:val="clear" w:color="auto" w:fill="EAEAEA"/>
          </w:tcPr>
          <w:p>
            <w:pPr>
              <w:jc w:val="right"/>
              <w:spacing w:after="0"/>
              <w:rPr>
                <w:sz w:val="20"/>
                <w:szCs w:val="20"/>
                <w:color w:val="auto"/>
              </w:rPr>
            </w:pPr>
            <w:r>
              <w:rPr>
                <w:rFonts w:ascii="Arial" w:cs="Arial" w:eastAsia="Arial" w:hAnsi="Arial"/>
                <w:sz w:val="10"/>
                <w:szCs w:val="10"/>
                <w:color w:val="auto"/>
                <w:w w:val="81"/>
              </w:rPr>
              <w:t>(7)</w:t>
            </w: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1,238,455</w:t>
            </w:r>
          </w:p>
        </w:tc>
        <w:tc>
          <w:tcPr>
            <w:tcW w:w="10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EAEAEA"/>
          </w:tcPr>
          <w:p>
            <w:pPr>
              <w:spacing w:after="0"/>
              <w:rPr>
                <w:sz w:val="12"/>
                <w:szCs w:val="12"/>
                <w:color w:val="auto"/>
              </w:rPr>
            </w:pPr>
          </w:p>
        </w:tc>
        <w:tc>
          <w:tcPr>
            <w:tcW w:w="1380" w:type="dxa"/>
            <w:vAlign w:val="bottom"/>
            <w:shd w:val="clear" w:color="auto" w:fill="EAEAEA"/>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2100" w:type="dxa"/>
            <w:vAlign w:val="bottom"/>
            <w:shd w:val="clear" w:color="auto" w:fill="EAEAEA"/>
          </w:tcPr>
          <w:p>
            <w:pPr>
              <w:spacing w:after="0"/>
              <w:rPr>
                <w:sz w:val="13"/>
                <w:szCs w:val="13"/>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1220" w:type="dxa"/>
            <w:vAlign w:val="bottom"/>
            <w:shd w:val="clear" w:color="auto" w:fill="EAEAEA"/>
          </w:tcPr>
          <w:p>
            <w:pPr>
              <w:ind w:left="1060"/>
              <w:spacing w:after="0"/>
              <w:rPr>
                <w:sz w:val="20"/>
                <w:szCs w:val="20"/>
                <w:color w:val="auto"/>
              </w:rPr>
            </w:pPr>
            <w:r>
              <w:rPr>
                <w:rFonts w:ascii="Arial" w:cs="Arial" w:eastAsia="Arial" w:hAnsi="Arial"/>
                <w:sz w:val="13"/>
                <w:szCs w:val="13"/>
                <w:color w:val="auto"/>
              </w:rPr>
              <w:t>—</w:t>
            </w:r>
          </w:p>
        </w:tc>
        <w:tc>
          <w:tcPr>
            <w:tcW w:w="7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AEAEA"/>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3"/>
                <w:szCs w:val="13"/>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3"/>
                <w:szCs w:val="13"/>
                <w:color w:val="auto"/>
              </w:rPr>
              <w:t>91,715</w:t>
            </w:r>
          </w:p>
        </w:tc>
        <w:tc>
          <w:tcPr>
            <w:tcW w:w="160" w:type="dxa"/>
            <w:vAlign w:val="bottom"/>
            <w:shd w:val="clear" w:color="auto" w:fill="EAEAEA"/>
          </w:tcPr>
          <w:p>
            <w:pPr>
              <w:jc w:val="right"/>
              <w:spacing w:after="0"/>
              <w:rPr>
                <w:sz w:val="20"/>
                <w:szCs w:val="20"/>
                <w:color w:val="auto"/>
              </w:rPr>
            </w:pPr>
            <w:r>
              <w:rPr>
                <w:rFonts w:ascii="Arial" w:cs="Arial" w:eastAsia="Arial" w:hAnsi="Arial"/>
                <w:sz w:val="10"/>
                <w:szCs w:val="10"/>
                <w:color w:val="auto"/>
                <w:w w:val="81"/>
              </w:rPr>
              <w:t>(4)</w:t>
            </w:r>
          </w:p>
        </w:tc>
        <w:tc>
          <w:tcPr>
            <w:tcW w:w="8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1,240,900</w:t>
            </w:r>
          </w:p>
        </w:tc>
        <w:tc>
          <w:tcPr>
            <w:tcW w:w="1040" w:type="dxa"/>
            <w:vAlign w:val="bottom"/>
            <w:shd w:val="clear" w:color="auto" w:fill="EAEAEA"/>
          </w:tcPr>
          <w:p>
            <w:pPr>
              <w:jc w:val="right"/>
              <w:spacing w:after="0"/>
              <w:rPr>
                <w:sz w:val="20"/>
                <w:szCs w:val="20"/>
                <w:color w:val="auto"/>
              </w:rPr>
            </w:pPr>
            <w:r>
              <w:rPr>
                <w:rFonts w:ascii="Arial" w:cs="Arial" w:eastAsia="Arial" w:hAnsi="Arial"/>
                <w:sz w:val="13"/>
                <w:szCs w:val="13"/>
                <w:color w:val="auto"/>
              </w:rPr>
              <w:t>137,571</w:t>
            </w:r>
          </w:p>
        </w:tc>
        <w:tc>
          <w:tcPr>
            <w:tcW w:w="200" w:type="dxa"/>
            <w:vAlign w:val="bottom"/>
            <w:shd w:val="clear" w:color="auto" w:fill="EAEAEA"/>
          </w:tcPr>
          <w:p>
            <w:pPr>
              <w:jc w:val="right"/>
              <w:ind w:right="58"/>
              <w:spacing w:after="0"/>
              <w:rPr>
                <w:sz w:val="20"/>
                <w:szCs w:val="20"/>
                <w:color w:val="auto"/>
              </w:rPr>
            </w:pPr>
            <w:r>
              <w:rPr>
                <w:rFonts w:ascii="Arial" w:cs="Arial" w:eastAsia="Arial" w:hAnsi="Arial"/>
                <w:sz w:val="8"/>
                <w:szCs w:val="8"/>
                <w:color w:val="auto"/>
                <w:w w:val="81"/>
              </w:rPr>
              <w:t>(5)</w:t>
            </w:r>
          </w:p>
        </w:tc>
        <w:tc>
          <w:tcPr>
            <w:tcW w:w="1380" w:type="dxa"/>
            <w:vAlign w:val="bottom"/>
            <w:shd w:val="clear" w:color="auto" w:fill="EAEAEA"/>
          </w:tcPr>
          <w:p>
            <w:pPr>
              <w:jc w:val="right"/>
              <w:ind w:right="93"/>
              <w:spacing w:after="0"/>
              <w:rPr>
                <w:sz w:val="20"/>
                <w:szCs w:val="20"/>
                <w:color w:val="auto"/>
              </w:rPr>
            </w:pPr>
            <w:r>
              <w:rPr>
                <w:rFonts w:ascii="Arial" w:cs="Arial" w:eastAsia="Arial" w:hAnsi="Arial"/>
                <w:sz w:val="13"/>
                <w:szCs w:val="13"/>
                <w:color w:val="auto"/>
              </w:rPr>
              <w:t>1,861,336</w:t>
            </w:r>
          </w:p>
        </w:tc>
        <w:tc>
          <w:tcPr>
            <w:tcW w:w="0" w:type="dxa"/>
            <w:vAlign w:val="bottom"/>
          </w:tcPr>
          <w:p>
            <w:pPr>
              <w:spacing w:after="0"/>
              <w:rPr>
                <w:sz w:val="1"/>
                <w:szCs w:val="1"/>
                <w:color w:val="auto"/>
              </w:rPr>
            </w:pPr>
          </w:p>
        </w:tc>
      </w:tr>
      <w:tr>
        <w:trPr>
          <w:trHeight w:val="148"/>
        </w:trPr>
        <w:tc>
          <w:tcPr>
            <w:tcW w:w="2100" w:type="dxa"/>
            <w:vAlign w:val="bottom"/>
          </w:tcPr>
          <w:p>
            <w:pPr>
              <w:ind w:left="60"/>
              <w:spacing w:after="0" w:line="148" w:lineRule="exact"/>
              <w:rPr>
                <w:sz w:val="20"/>
                <w:szCs w:val="20"/>
                <w:color w:val="auto"/>
              </w:rPr>
            </w:pPr>
            <w:r>
              <w:rPr>
                <w:rFonts w:ascii="Arial" w:cs="Arial" w:eastAsia="Arial" w:hAnsi="Arial"/>
                <w:sz w:val="13"/>
                <w:szCs w:val="13"/>
                <w:color w:val="auto"/>
              </w:rPr>
              <w:t>Robert J. Coury</w:t>
            </w:r>
          </w:p>
        </w:tc>
        <w:tc>
          <w:tcPr>
            <w:tcW w:w="1000" w:type="dxa"/>
            <w:vAlign w:val="bottom"/>
          </w:tcPr>
          <w:p>
            <w:pPr>
              <w:jc w:val="right"/>
              <w:spacing w:after="0" w:line="148" w:lineRule="exact"/>
              <w:rPr>
                <w:sz w:val="20"/>
                <w:szCs w:val="20"/>
                <w:color w:val="auto"/>
              </w:rPr>
            </w:pPr>
            <w:r>
              <w:rPr>
                <w:rFonts w:ascii="Arial" w:cs="Arial" w:eastAsia="Arial" w:hAnsi="Arial"/>
                <w:sz w:val="13"/>
                <w:szCs w:val="13"/>
                <w:color w:val="auto"/>
              </w:rPr>
              <w:t>4,266</w:t>
            </w:r>
          </w:p>
        </w:tc>
        <w:tc>
          <w:tcPr>
            <w:tcW w:w="1220" w:type="dxa"/>
            <w:vAlign w:val="bottom"/>
          </w:tcPr>
          <w:p>
            <w:pPr>
              <w:ind w:left="1060"/>
              <w:spacing w:after="0" w:line="148"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23.44</w:t>
            </w: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2/22/2022</w:t>
            </w:r>
          </w:p>
        </w:tc>
        <w:tc>
          <w:tcPr>
            <w:tcW w:w="540" w:type="dxa"/>
            <w:vAlign w:val="bottom"/>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380" w:type="dxa"/>
            <w:vAlign w:val="bottom"/>
          </w:tcPr>
          <w:p>
            <w:pPr>
              <w:jc w:val="right"/>
              <w:ind w:right="93"/>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3,236</w:t>
            </w:r>
          </w:p>
        </w:tc>
        <w:tc>
          <w:tcPr>
            <w:tcW w:w="1220" w:type="dxa"/>
            <w:vAlign w:val="bottom"/>
          </w:tcPr>
          <w:p>
            <w:pPr>
              <w:ind w:left="106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30.90</w:t>
            </w:r>
          </w:p>
        </w:tc>
        <w:tc>
          <w:tcPr>
            <w:tcW w:w="920" w:type="dxa"/>
            <w:vAlign w:val="bottom"/>
          </w:tcPr>
          <w:p>
            <w:pPr>
              <w:jc w:val="right"/>
              <w:spacing w:after="0"/>
              <w:rPr>
                <w:sz w:val="20"/>
                <w:szCs w:val="20"/>
                <w:color w:val="auto"/>
              </w:rPr>
            </w:pPr>
            <w:r>
              <w:rPr>
                <w:rFonts w:ascii="Arial" w:cs="Arial" w:eastAsia="Arial" w:hAnsi="Arial"/>
                <w:sz w:val="13"/>
                <w:szCs w:val="13"/>
                <w:color w:val="auto"/>
              </w:rPr>
              <w:t>3/6/2023</w:t>
            </w:r>
          </w:p>
        </w:tc>
        <w:tc>
          <w:tcPr>
            <w:tcW w:w="540" w:type="dxa"/>
            <w:vAlign w:val="bottom"/>
          </w:tcPr>
          <w:p>
            <w:pPr>
              <w:spacing w:after="0"/>
              <w:rPr>
                <w:sz w:val="12"/>
                <w:szCs w:val="12"/>
                <w:color w:val="auto"/>
              </w:rPr>
            </w:pPr>
          </w:p>
        </w:tc>
        <w:tc>
          <w:tcPr>
            <w:tcW w:w="1020" w:type="dxa"/>
            <w:vAlign w:val="bottom"/>
            <w:gridSpan w:val="2"/>
          </w:tcPr>
          <w:p>
            <w:pPr>
              <w:jc w:val="right"/>
              <w:ind w:right="112"/>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58,952</w:t>
            </w:r>
          </w:p>
        </w:tc>
        <w:tc>
          <w:tcPr>
            <w:tcW w:w="1220" w:type="dxa"/>
            <w:vAlign w:val="bottom"/>
          </w:tcPr>
          <w:p>
            <w:pPr>
              <w:ind w:left="106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55.84</w:t>
            </w:r>
          </w:p>
        </w:tc>
        <w:tc>
          <w:tcPr>
            <w:tcW w:w="920" w:type="dxa"/>
            <w:vAlign w:val="bottom"/>
          </w:tcPr>
          <w:p>
            <w:pPr>
              <w:jc w:val="right"/>
              <w:spacing w:after="0"/>
              <w:rPr>
                <w:sz w:val="20"/>
                <w:szCs w:val="20"/>
                <w:color w:val="auto"/>
              </w:rPr>
            </w:pPr>
            <w:r>
              <w:rPr>
                <w:rFonts w:ascii="Arial" w:cs="Arial" w:eastAsia="Arial" w:hAnsi="Arial"/>
                <w:sz w:val="13"/>
                <w:szCs w:val="13"/>
                <w:color w:val="auto"/>
              </w:rPr>
              <w:t>3/5/2024</w:t>
            </w:r>
          </w:p>
        </w:tc>
        <w:tc>
          <w:tcPr>
            <w:tcW w:w="540" w:type="dxa"/>
            <w:vAlign w:val="bottom"/>
          </w:tcPr>
          <w:p>
            <w:pPr>
              <w:spacing w:after="0"/>
              <w:rPr>
                <w:sz w:val="12"/>
                <w:szCs w:val="12"/>
                <w:color w:val="auto"/>
              </w:rPr>
            </w:pPr>
          </w:p>
        </w:tc>
        <w:tc>
          <w:tcPr>
            <w:tcW w:w="1020" w:type="dxa"/>
            <w:vAlign w:val="bottom"/>
            <w:gridSpan w:val="2"/>
          </w:tcPr>
          <w:p>
            <w:pPr>
              <w:jc w:val="right"/>
              <w:ind w:right="112"/>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63,235</w:t>
            </w:r>
          </w:p>
        </w:tc>
        <w:tc>
          <w:tcPr>
            <w:tcW w:w="1220" w:type="dxa"/>
            <w:vAlign w:val="bottom"/>
          </w:tcPr>
          <w:p>
            <w:pPr>
              <w:ind w:left="106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50.66</w:t>
            </w:r>
          </w:p>
        </w:tc>
        <w:tc>
          <w:tcPr>
            <w:tcW w:w="920" w:type="dxa"/>
            <w:vAlign w:val="bottom"/>
          </w:tcPr>
          <w:p>
            <w:pPr>
              <w:jc w:val="right"/>
              <w:spacing w:after="0"/>
              <w:rPr>
                <w:sz w:val="20"/>
                <w:szCs w:val="20"/>
                <w:color w:val="auto"/>
              </w:rPr>
            </w:pPr>
            <w:r>
              <w:rPr>
                <w:rFonts w:ascii="Arial" w:cs="Arial" w:eastAsia="Arial" w:hAnsi="Arial"/>
                <w:sz w:val="13"/>
                <w:szCs w:val="13"/>
                <w:color w:val="auto"/>
              </w:rPr>
              <w:t>11/17/2025</w:t>
            </w:r>
          </w:p>
        </w:tc>
        <w:tc>
          <w:tcPr>
            <w:tcW w:w="540" w:type="dxa"/>
            <w:vAlign w:val="bottom"/>
          </w:tcPr>
          <w:p>
            <w:pPr>
              <w:spacing w:after="0"/>
              <w:rPr>
                <w:sz w:val="12"/>
                <w:szCs w:val="12"/>
                <w:color w:val="auto"/>
              </w:rPr>
            </w:pPr>
          </w:p>
        </w:tc>
        <w:tc>
          <w:tcPr>
            <w:tcW w:w="1020" w:type="dxa"/>
            <w:vAlign w:val="bottom"/>
            <w:gridSpan w:val="2"/>
          </w:tcPr>
          <w:p>
            <w:pPr>
              <w:jc w:val="right"/>
              <w:ind w:right="112"/>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2100" w:type="dxa"/>
            <w:vAlign w:val="bottom"/>
          </w:tcPr>
          <w:p>
            <w:pPr>
              <w:spacing w:after="0"/>
              <w:rPr>
                <w:sz w:val="12"/>
                <w:szCs w:val="12"/>
                <w:color w:val="auto"/>
              </w:rPr>
            </w:pPr>
          </w:p>
        </w:tc>
        <w:tc>
          <w:tcPr>
            <w:tcW w:w="1000" w:type="dxa"/>
            <w:vAlign w:val="bottom"/>
          </w:tcPr>
          <w:p>
            <w:pPr>
              <w:jc w:val="right"/>
              <w:spacing w:after="0" w:line="144" w:lineRule="exact"/>
              <w:rPr>
                <w:sz w:val="20"/>
                <w:szCs w:val="20"/>
                <w:color w:val="auto"/>
              </w:rPr>
            </w:pPr>
            <w:r>
              <w:rPr>
                <w:rFonts w:ascii="Arial" w:cs="Arial" w:eastAsia="Arial" w:hAnsi="Arial"/>
                <w:sz w:val="13"/>
                <w:szCs w:val="13"/>
                <w:color w:val="auto"/>
              </w:rPr>
              <w:t>82,776</w:t>
            </w:r>
          </w:p>
        </w:tc>
        <w:tc>
          <w:tcPr>
            <w:tcW w:w="1220" w:type="dxa"/>
            <w:vAlign w:val="bottom"/>
          </w:tcPr>
          <w:p>
            <w:pPr>
              <w:ind w:left="1060"/>
              <w:spacing w:after="0" w:line="144"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4" w:lineRule="exact"/>
              <w:rPr>
                <w:sz w:val="20"/>
                <w:szCs w:val="20"/>
                <w:color w:val="auto"/>
              </w:rPr>
            </w:pPr>
            <w:r>
              <w:rPr>
                <w:rFonts w:ascii="Arial" w:cs="Arial" w:eastAsia="Arial" w:hAnsi="Arial"/>
                <w:sz w:val="13"/>
                <w:szCs w:val="13"/>
                <w:color w:val="auto"/>
              </w:rPr>
              <w:t>46.27</w:t>
            </w:r>
          </w:p>
        </w:tc>
        <w:tc>
          <w:tcPr>
            <w:tcW w:w="920" w:type="dxa"/>
            <w:vAlign w:val="bottom"/>
          </w:tcPr>
          <w:p>
            <w:pPr>
              <w:jc w:val="right"/>
              <w:spacing w:after="0" w:line="144" w:lineRule="exact"/>
              <w:rPr>
                <w:sz w:val="20"/>
                <w:szCs w:val="20"/>
                <w:color w:val="auto"/>
              </w:rPr>
            </w:pPr>
            <w:r>
              <w:rPr>
                <w:rFonts w:ascii="Arial" w:cs="Arial" w:eastAsia="Arial" w:hAnsi="Arial"/>
                <w:sz w:val="13"/>
                <w:szCs w:val="13"/>
                <w:color w:val="auto"/>
              </w:rPr>
              <w:t>2/17/2026</w:t>
            </w:r>
          </w:p>
        </w:tc>
        <w:tc>
          <w:tcPr>
            <w:tcW w:w="540" w:type="dxa"/>
            <w:vAlign w:val="bottom"/>
          </w:tcPr>
          <w:p>
            <w:pPr>
              <w:spacing w:after="0"/>
              <w:rPr>
                <w:sz w:val="12"/>
                <w:szCs w:val="12"/>
                <w:color w:val="auto"/>
              </w:rPr>
            </w:pPr>
          </w:p>
        </w:tc>
        <w:tc>
          <w:tcPr>
            <w:tcW w:w="1020" w:type="dxa"/>
            <w:vAlign w:val="bottom"/>
            <w:gridSpan w:val="2"/>
          </w:tcPr>
          <w:p>
            <w:pPr>
              <w:jc w:val="right"/>
              <w:ind w:right="112"/>
              <w:spacing w:after="0" w:line="144"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58"/>
              <w:spacing w:after="0" w:line="144" w:lineRule="exact"/>
              <w:rPr>
                <w:sz w:val="20"/>
                <w:szCs w:val="20"/>
                <w:color w:val="auto"/>
              </w:rPr>
            </w:pPr>
            <w:r>
              <w:rPr>
                <w:rFonts w:ascii="Arial" w:cs="Arial" w:eastAsia="Arial" w:hAnsi="Arial"/>
                <w:sz w:val="13"/>
                <w:szCs w:val="13"/>
                <w:color w:val="auto"/>
              </w:rPr>
              <w:t>—</w:t>
            </w:r>
          </w:p>
        </w:tc>
        <w:tc>
          <w:tcPr>
            <w:tcW w:w="1380" w:type="dxa"/>
            <w:vAlign w:val="bottom"/>
          </w:tcPr>
          <w:p>
            <w:pPr>
              <w:jc w:val="right"/>
              <w:ind w:right="93"/>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ind w:left="106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2"/>
                <w:szCs w:val="12"/>
                <w:color w:val="auto"/>
              </w:rPr>
            </w:pPr>
          </w:p>
        </w:tc>
        <w:tc>
          <w:tcPr>
            <w:tcW w:w="1020" w:type="dxa"/>
            <w:vAlign w:val="bottom"/>
            <w:gridSpan w:val="2"/>
          </w:tcPr>
          <w:p>
            <w:pPr>
              <w:jc w:val="right"/>
              <w:ind w:right="112"/>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58"/>
              <w:spacing w:after="0" w:line="149" w:lineRule="exact"/>
              <w:rPr>
                <w:sz w:val="20"/>
                <w:szCs w:val="20"/>
                <w:color w:val="auto"/>
              </w:rPr>
            </w:pPr>
            <w:r>
              <w:rPr>
                <w:rFonts w:ascii="Arial" w:cs="Arial" w:eastAsia="Arial" w:hAnsi="Arial"/>
                <w:sz w:val="12"/>
                <w:szCs w:val="12"/>
                <w:color w:val="auto"/>
              </w:rPr>
              <w:t>1,600,000</w:t>
            </w:r>
            <w:r>
              <w:rPr>
                <w:rFonts w:ascii="Arial" w:cs="Arial" w:eastAsia="Arial" w:hAnsi="Arial"/>
                <w:sz w:val="17"/>
                <w:szCs w:val="17"/>
                <w:color w:val="auto"/>
                <w:vertAlign w:val="superscript"/>
              </w:rPr>
              <w:t>(8)</w:t>
            </w:r>
          </w:p>
        </w:tc>
        <w:tc>
          <w:tcPr>
            <w:tcW w:w="1380" w:type="dxa"/>
            <w:vAlign w:val="bottom"/>
          </w:tcPr>
          <w:p>
            <w:pPr>
              <w:jc w:val="right"/>
              <w:ind w:right="93"/>
              <w:spacing w:after="0"/>
              <w:rPr>
                <w:sz w:val="20"/>
                <w:szCs w:val="20"/>
                <w:color w:val="auto"/>
              </w:rPr>
            </w:pPr>
            <w:r>
              <w:rPr>
                <w:rFonts w:ascii="Arial" w:cs="Arial" w:eastAsia="Arial" w:hAnsi="Arial"/>
                <w:sz w:val="13"/>
                <w:szCs w:val="13"/>
                <w:color w:val="auto"/>
              </w:rPr>
              <w:t>21,648,000</w:t>
            </w:r>
          </w:p>
        </w:tc>
        <w:tc>
          <w:tcPr>
            <w:tcW w:w="0" w:type="dxa"/>
            <w:vAlign w:val="bottom"/>
          </w:tcPr>
          <w:p>
            <w:pPr>
              <w:spacing w:after="0"/>
              <w:rPr>
                <w:sz w:val="1"/>
                <w:szCs w:val="1"/>
                <w:color w:val="auto"/>
              </w:rPr>
            </w:pPr>
          </w:p>
        </w:tc>
      </w:tr>
      <w:tr>
        <w:trPr>
          <w:trHeight w:val="154"/>
        </w:trPr>
        <w:tc>
          <w:tcPr>
            <w:tcW w:w="2100" w:type="dxa"/>
            <w:vAlign w:val="bottom"/>
            <w:tcBorders>
              <w:bottom w:val="single" w:sz="8" w:color="732282"/>
            </w:tcBorders>
          </w:tcPr>
          <w:p>
            <w:pPr>
              <w:spacing w:after="0"/>
              <w:rPr>
                <w:sz w:val="13"/>
                <w:szCs w:val="13"/>
                <w:color w:val="auto"/>
              </w:rPr>
            </w:pPr>
          </w:p>
        </w:tc>
        <w:tc>
          <w:tcPr>
            <w:tcW w:w="1000" w:type="dxa"/>
            <w:vAlign w:val="bottom"/>
            <w:tcBorders>
              <w:bottom w:val="single" w:sz="8" w:color="732282"/>
            </w:tcBorders>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732282"/>
            </w:tcBorders>
          </w:tcPr>
          <w:p>
            <w:pPr>
              <w:ind w:left="106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732282"/>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732282"/>
            </w:tcBorders>
          </w:tcPr>
          <w:p>
            <w:pPr>
              <w:jc w:val="right"/>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732282"/>
            </w:tcBorders>
            <w:gridSpan w:val="3"/>
          </w:tcPr>
          <w:p>
            <w:pPr>
              <w:jc w:val="right"/>
              <w:spacing w:after="0" w:line="154" w:lineRule="exact"/>
              <w:rPr>
                <w:sz w:val="20"/>
                <w:szCs w:val="20"/>
                <w:color w:val="auto"/>
              </w:rPr>
            </w:pPr>
            <w:r>
              <w:rPr>
                <w:rFonts w:ascii="Arial" w:cs="Arial" w:eastAsia="Arial" w:hAnsi="Arial"/>
                <w:sz w:val="12"/>
                <w:szCs w:val="12"/>
                <w:color w:val="auto"/>
              </w:rPr>
              <w:t>309,535</w:t>
            </w:r>
            <w:r>
              <w:rPr>
                <w:rFonts w:ascii="Arial" w:cs="Arial" w:eastAsia="Arial" w:hAnsi="Arial"/>
                <w:sz w:val="17"/>
                <w:szCs w:val="17"/>
                <w:color w:val="auto"/>
                <w:vertAlign w:val="superscript"/>
              </w:rPr>
              <w:t>(4)</w:t>
            </w:r>
          </w:p>
        </w:tc>
        <w:tc>
          <w:tcPr>
            <w:tcW w:w="840" w:type="dxa"/>
            <w:vAlign w:val="bottom"/>
            <w:tcBorders>
              <w:bottom w:val="single" w:sz="8" w:color="732282"/>
            </w:tcBorders>
          </w:tcPr>
          <w:p>
            <w:pPr>
              <w:jc w:val="right"/>
              <w:spacing w:after="0"/>
              <w:rPr>
                <w:sz w:val="20"/>
                <w:szCs w:val="20"/>
                <w:color w:val="auto"/>
              </w:rPr>
            </w:pPr>
            <w:r>
              <w:rPr>
                <w:rFonts w:ascii="Arial" w:cs="Arial" w:eastAsia="Arial" w:hAnsi="Arial"/>
                <w:sz w:val="13"/>
                <w:szCs w:val="13"/>
                <w:color w:val="auto"/>
              </w:rPr>
              <w:t>4,188,005</w:t>
            </w:r>
          </w:p>
        </w:tc>
        <w:tc>
          <w:tcPr>
            <w:tcW w:w="1240" w:type="dxa"/>
            <w:vAlign w:val="bottom"/>
            <w:tcBorders>
              <w:bottom w:val="single" w:sz="8" w:color="732282"/>
            </w:tcBorders>
            <w:gridSpan w:val="2"/>
          </w:tcPr>
          <w:p>
            <w:pPr>
              <w:jc w:val="right"/>
              <w:ind w:right="58"/>
              <w:spacing w:after="0" w:line="154" w:lineRule="exact"/>
              <w:rPr>
                <w:sz w:val="20"/>
                <w:szCs w:val="20"/>
                <w:color w:val="auto"/>
              </w:rPr>
            </w:pPr>
            <w:r>
              <w:rPr>
                <w:rFonts w:ascii="Arial" w:cs="Arial" w:eastAsia="Arial" w:hAnsi="Arial"/>
                <w:sz w:val="12"/>
                <w:szCs w:val="12"/>
                <w:color w:val="auto"/>
              </w:rPr>
              <w:t>464,301</w:t>
            </w:r>
            <w:r>
              <w:rPr>
                <w:rFonts w:ascii="Arial" w:cs="Arial" w:eastAsia="Arial" w:hAnsi="Arial"/>
                <w:sz w:val="17"/>
                <w:szCs w:val="17"/>
                <w:color w:val="auto"/>
                <w:vertAlign w:val="superscript"/>
              </w:rPr>
              <w:t>(5)</w:t>
            </w:r>
          </w:p>
        </w:tc>
        <w:tc>
          <w:tcPr>
            <w:tcW w:w="1380" w:type="dxa"/>
            <w:vAlign w:val="bottom"/>
            <w:tcBorders>
              <w:bottom w:val="single" w:sz="8" w:color="732282"/>
            </w:tcBorders>
          </w:tcPr>
          <w:p>
            <w:pPr>
              <w:jc w:val="right"/>
              <w:ind w:right="93"/>
              <w:spacing w:after="0"/>
              <w:rPr>
                <w:sz w:val="20"/>
                <w:szCs w:val="20"/>
                <w:color w:val="auto"/>
              </w:rPr>
            </w:pPr>
            <w:r>
              <w:rPr>
                <w:rFonts w:ascii="Arial" w:cs="Arial" w:eastAsia="Arial" w:hAnsi="Arial"/>
                <w:sz w:val="13"/>
                <w:szCs w:val="13"/>
                <w:color w:val="auto"/>
              </w:rPr>
              <w:t>6,281,994</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86"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540" w:right="20" w:hanging="424"/>
        <w:spacing w:after="0" w:line="248" w:lineRule="auto"/>
        <w:tabs>
          <w:tab w:leader="none" w:pos="54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Vesting dates applicable to unvested stock options are as follows, in each case, generally subject to continued employment with Viatris: on March 2, 2022, the unvested options at the $27.45 exercise price for Messrs. Malik and Mauro vested and one-half of the unvested stock options at the $17.48 exercise price for Messrs. Malik and Mauro vested. Subject to applicable employment agreement provisions, following termination of employment, vested stock options will generally remain exercisable for 30 days following termination, except that (i) in the case of termination because of disability, 100% of options become vested and vested options will remain exercisable for two years following termination; (ii) in the case of a termination due to a reduction in force, vested options will remain exercisable for one year following termination; (iii) in the case of death, including within two years following termination because of disability, or, in the case of options granted prior to January 1, 2017, retirement, 100% of options become vested and vested options will remain exercisable for the remainder of the original term; and (iv) in the case of an involuntary termination without cause or a voluntary resignation for good reason that occurs within two years following a change in control, 100% of options become vested (double-trigger awards) and remain exercisable for the remainder of the original term.</w:t>
      </w:r>
    </w:p>
    <w:p>
      <w:pPr>
        <w:spacing w:after="0" w:line="4" w:lineRule="exact"/>
        <w:rPr>
          <w:rFonts w:ascii="Arial" w:cs="Arial" w:eastAsia="Arial" w:hAnsi="Arial"/>
          <w:sz w:val="16"/>
          <w:szCs w:val="16"/>
          <w:i w:val="1"/>
          <w:iCs w:val="1"/>
          <w:color w:val="auto"/>
        </w:rPr>
      </w:pPr>
    </w:p>
    <w:p>
      <w:pPr>
        <w:ind w:left="540" w:hanging="424"/>
        <w:spacing w:after="0"/>
        <w:tabs>
          <w:tab w:leader="none" w:pos="54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The market value of RSUs and PRSUs was calculated using the closing price of the Company’s shares as of December 31, 2021, $13.53.</w:t>
      </w:r>
    </w:p>
    <w:p>
      <w:pPr>
        <w:spacing w:after="0" w:line="5" w:lineRule="exact"/>
        <w:rPr>
          <w:rFonts w:ascii="Arial" w:cs="Arial" w:eastAsia="Arial" w:hAnsi="Arial"/>
          <w:sz w:val="16"/>
          <w:szCs w:val="16"/>
          <w:i w:val="1"/>
          <w:iCs w:val="1"/>
          <w:color w:val="auto"/>
        </w:rPr>
      </w:pPr>
    </w:p>
    <w:p>
      <w:pPr>
        <w:jc w:val="both"/>
        <w:ind w:left="540" w:hanging="424"/>
        <w:spacing w:after="0" w:line="246" w:lineRule="auto"/>
        <w:tabs>
          <w:tab w:leader="none" w:pos="54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In connection with the Combination, Viatris granted Make-Whole RSU awards to Messrs. Goettler and Narula to replace the Pfizer equity awards forfeited by such NEOs. These Make-Whole RSU awards have the same vesting schedule as the original Pfizer awards and will cliff-vest on the third anniversary of the original grant date. On February 28, 2022, Mr. Goettler vested in 55,248 RSUs; Mr. Goettler is expected to vest in 122,842 RSUs and Mr. Narula is expected to vest in 21,754 RSUs on February 27, 2023. Amounts include all accrued and unvested whole share DEUs that vest only to the extent and at the same time the underlying award on which they are issued vest. In accordance with their terms, all of these awards would vest upon an involuntary termination without cause or a voluntary resignation for good reason that occurs within two years following a change in control (double-trigger awards) or upon the executive’s death or disability. For any other termination reason, these RSUs will be forfeited.</w:t>
      </w:r>
    </w:p>
    <w:p>
      <w:pPr>
        <w:spacing w:after="0" w:line="2" w:lineRule="exact"/>
        <w:rPr>
          <w:rFonts w:ascii="Arial" w:cs="Arial" w:eastAsia="Arial" w:hAnsi="Arial"/>
          <w:sz w:val="16"/>
          <w:szCs w:val="16"/>
          <w:i w:val="1"/>
          <w:iCs w:val="1"/>
          <w:color w:val="auto"/>
        </w:rPr>
      </w:pPr>
    </w:p>
    <w:p>
      <w:pPr>
        <w:jc w:val="both"/>
        <w:ind w:left="540" w:hanging="424"/>
        <w:spacing w:after="0" w:line="246" w:lineRule="auto"/>
        <w:tabs>
          <w:tab w:leader="none" w:pos="54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Of the 260,812 RSUs held by Mr. Goettler, 86,938 vested on March 2, 2022 and 86,937 will vest on March 2, 2023 and March 2, 2024; of the 80,250 RSUs held by Mr. Narula, 26,750 vested on March 2, 2022 and 26,749 will vest on March 2, 2023 and 26,751 will vest on March 2, 2024; of the 206,356 RSUs held by Mr. Malik, 68,785 vested on March 2, 2022 and 68,785 will vest on March 2, 2023 and 68,786 will vest on March 2, 2024; of the 91,715 RSUs held by Mr. Mauro, 30,572 vested on March 2, 2022 and 30,571 will vest on March 2, 2023 and 30,572 will vest on March 2, 2024; of the 309,535 RSUs held by Mr. Coury, 103,179 vested on March 2, 2022 and 103,178 will vest on March 2, 2023 and March 2, 2024. Amounts include all accrued and unvested whole share DEUs that vest only to the extent and at the same time the underlying award on which they are issued vest.</w:t>
      </w:r>
    </w:p>
    <w:p>
      <w:pPr>
        <w:spacing w:after="0" w:line="2" w:lineRule="exact"/>
        <w:rPr>
          <w:rFonts w:ascii="Arial" w:cs="Arial" w:eastAsia="Arial" w:hAnsi="Arial"/>
          <w:sz w:val="16"/>
          <w:szCs w:val="16"/>
          <w:i w:val="1"/>
          <w:iCs w:val="1"/>
          <w:color w:val="auto"/>
        </w:rPr>
      </w:pPr>
    </w:p>
    <w:p>
      <w:pPr>
        <w:ind w:left="540" w:right="20" w:hanging="424"/>
        <w:spacing w:after="0" w:line="246" w:lineRule="auto"/>
        <w:tabs>
          <w:tab w:leader="none" w:pos="54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The PRSUs will vest on March 2, 2024, subject to attainment of performance goals. Amounts include all accrued and unvested whole share DEUs that vest only to the extent and at the same time the underlying award on which they are issued vest.</w:t>
      </w:r>
    </w:p>
    <w:p>
      <w:pPr>
        <w:jc w:val="both"/>
        <w:ind w:left="540" w:hanging="424"/>
        <w:spacing w:after="0" w:line="246" w:lineRule="auto"/>
        <w:tabs>
          <w:tab w:leader="none" w:pos="54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The 33,516 RSUs held by Mr. Malik, and 15,554 RSUs held by Mr. Mauro vested on March 2, 2022; of the 105,263 RSUs held by Mr. Malik, 52,631 vested on March 2, 2022 and 52,632 will vest on March 2, 2023 and of the 48,818 RSUs held by Mr. Mauro, 24,409 RSUs vested on March 2, 2022 and 24,409 will vest on March 2, 2023. In accordance with their terms, all of these awards would vest upon an involuntary termination without cause or a voluntary resignation for good reason that occurs within two years following a change in control (double-trigger awards) or upon the executive’s death or disability.</w:t>
      </w:r>
    </w:p>
    <w:p>
      <w:pPr>
        <w:spacing w:after="0" w:line="2" w:lineRule="exact"/>
        <w:rPr>
          <w:rFonts w:ascii="Arial" w:cs="Arial" w:eastAsia="Arial" w:hAnsi="Arial"/>
          <w:sz w:val="16"/>
          <w:szCs w:val="16"/>
          <w:i w:val="1"/>
          <w:iCs w:val="1"/>
          <w:color w:val="auto"/>
        </w:rPr>
      </w:pPr>
    </w:p>
    <w:p>
      <w:pPr>
        <w:jc w:val="both"/>
        <w:ind w:left="540" w:right="20" w:hanging="424"/>
        <w:spacing w:after="0" w:line="253" w:lineRule="auto"/>
        <w:tabs>
          <w:tab w:leader="none" w:pos="54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Mr. Malik is expected to vest in 197,369 shares and Mr. Mauro is expected to vest in 91,534 shares which represents 100% of their original target PRSUs. In accordance with their terms, all of these awards would vest upon an involuntary termination without cause or a voluntary resignation for good reason that occurs within two years following a change in control (double-trigger awards) or upon the executive’s death or disability. The</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86"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 w:right="20"/>
        <w:spacing w:after="0" w:line="256" w:lineRule="auto"/>
        <w:rPr>
          <w:sz w:val="20"/>
          <w:szCs w:val="20"/>
          <w:color w:val="auto"/>
        </w:rPr>
      </w:pPr>
      <w:r>
        <w:rPr>
          <w:rFonts w:ascii="Arial" w:cs="Arial" w:eastAsia="Arial" w:hAnsi="Arial"/>
          <w:sz w:val="16"/>
          <w:szCs w:val="16"/>
          <w:i w:val="1"/>
          <w:iCs w:val="1"/>
          <w:color w:val="auto"/>
        </w:rPr>
        <w:t>remaining converted Viatris RSUs are expected to vest upon the earliest to occur of (i) March 2, 2023 (ii) an involuntary termination without cause or a voluntary resignation for good reason within two years following a change in control, and (iii) the executive’s death or disability.</w:t>
      </w:r>
    </w:p>
    <w:p>
      <w:pPr>
        <w:spacing w:after="0" w:line="1" w:lineRule="exact"/>
        <w:rPr>
          <w:sz w:val="20"/>
          <w:szCs w:val="20"/>
          <w:color w:val="auto"/>
        </w:rPr>
      </w:pPr>
    </w:p>
    <w:p>
      <w:pPr>
        <w:jc w:val="both"/>
        <w:ind w:left="540" w:right="20" w:hanging="424"/>
        <w:spacing w:after="0" w:line="250" w:lineRule="auto"/>
        <w:tabs>
          <w:tab w:leader="none" w:pos="540" w:val="left"/>
        </w:tabs>
        <w:numPr>
          <w:ilvl w:val="0"/>
          <w:numId w:val="52"/>
        </w:numPr>
        <w:rPr>
          <w:rFonts w:ascii="Arial" w:cs="Arial" w:eastAsia="Arial" w:hAnsi="Arial"/>
          <w:sz w:val="16"/>
          <w:szCs w:val="16"/>
          <w:i w:val="1"/>
          <w:iCs w:val="1"/>
          <w:color w:val="auto"/>
        </w:rPr>
      </w:pPr>
      <w:r>
        <w:rPr>
          <w:rFonts w:ascii="Arial" w:cs="Arial" w:eastAsia="Arial" w:hAnsi="Arial"/>
          <w:sz w:val="16"/>
          <w:szCs w:val="16"/>
          <w:i w:val="1"/>
          <w:iCs w:val="1"/>
          <w:color w:val="auto"/>
        </w:rPr>
        <w:t>The PRSUs were granted on November 23, 2020 and are divided into five separate vesting tranches requiring share price appreciation and shareholder returns (including dividends and other distributions) of 25%, 50%, 75%, 100% and 150% from the date of grant through December 30, 2025. In the case of the first three tranches, the PRSUs are subject to a retention requirement through the first anniversary of achieving the shareholder return goal, and in the case of the final two tranches, the PRSUs are subject to a retention requirement through the term of the award. The PRSUs would vest in full upon termination of employment without cause, resignation for good reason, disability, or death.</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732282"/>
        </w:rPr>
        <w:t>Option Exercises and Stock Vested for 2021</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option awards and stock awards reflected in the table below were exercised or became vested for the NEOs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156210</wp:posOffset>
            </wp:positionV>
            <wp:extent cx="360045" cy="12261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0045" cy="1226185"/>
                    </a:xfrm>
                    <a:prstGeom prst="rect">
                      <a:avLst/>
                    </a:prstGeom>
                    <a:noFill/>
                  </pic:spPr>
                </pic:pic>
              </a:graphicData>
            </a:graphic>
          </wp:anchor>
        </w:drawing>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2640" w:type="dxa"/>
            <w:vAlign w:val="bottom"/>
            <w:gridSpan w:val="2"/>
            <w:shd w:val="clear" w:color="auto" w:fill="231161"/>
          </w:tcPr>
          <w:p>
            <w:pPr>
              <w:jc w:val="right"/>
              <w:ind w:right="603"/>
              <w:spacing w:after="0"/>
              <w:rPr>
                <w:sz w:val="20"/>
                <w:szCs w:val="20"/>
                <w:color w:val="auto"/>
              </w:rPr>
            </w:pPr>
            <w:r>
              <w:rPr>
                <w:rFonts w:ascii="Arial" w:cs="Arial" w:eastAsia="Arial" w:hAnsi="Arial"/>
                <w:sz w:val="14"/>
                <w:szCs w:val="14"/>
                <w:b w:val="1"/>
                <w:bCs w:val="1"/>
                <w:color w:val="FFFFFF"/>
              </w:rPr>
              <w:t>Option Awards</w:t>
            </w:r>
          </w:p>
        </w:tc>
        <w:tc>
          <w:tcPr>
            <w:tcW w:w="700" w:type="dxa"/>
            <w:vAlign w:val="bottom"/>
          </w:tcPr>
          <w:p>
            <w:pPr>
              <w:spacing w:after="0"/>
              <w:rPr>
                <w:sz w:val="14"/>
                <w:szCs w:val="14"/>
                <w:color w:val="auto"/>
              </w:rPr>
            </w:pPr>
          </w:p>
        </w:tc>
        <w:tc>
          <w:tcPr>
            <w:tcW w:w="2540" w:type="dxa"/>
            <w:vAlign w:val="bottom"/>
            <w:gridSpan w:val="2"/>
            <w:shd w:val="clear" w:color="auto" w:fill="231161"/>
          </w:tcPr>
          <w:p>
            <w:pPr>
              <w:jc w:val="right"/>
              <w:ind w:right="584"/>
              <w:spacing w:after="0"/>
              <w:rPr>
                <w:sz w:val="20"/>
                <w:szCs w:val="20"/>
                <w:color w:val="auto"/>
              </w:rPr>
            </w:pPr>
            <w:r>
              <w:rPr>
                <w:rFonts w:ascii="Arial" w:cs="Arial" w:eastAsia="Arial" w:hAnsi="Arial"/>
                <w:sz w:val="14"/>
                <w:szCs w:val="14"/>
                <w:b w:val="1"/>
                <w:bCs w:val="1"/>
                <w:color w:val="FFFFFF"/>
              </w:rPr>
              <w:t>Stock Awards</w:t>
            </w:r>
          </w:p>
        </w:tc>
      </w:tr>
      <w:tr>
        <w:trPr>
          <w:trHeight w:val="149"/>
        </w:trPr>
        <w:tc>
          <w:tcPr>
            <w:tcW w:w="5140" w:type="dxa"/>
            <w:vAlign w:val="bottom"/>
            <w:shd w:val="clear" w:color="auto" w:fill="444444"/>
          </w:tcPr>
          <w:p>
            <w:pPr>
              <w:spacing w:after="0"/>
              <w:rPr>
                <w:sz w:val="12"/>
                <w:szCs w:val="12"/>
                <w:color w:val="auto"/>
              </w:rPr>
            </w:pPr>
          </w:p>
        </w:tc>
        <w:tc>
          <w:tcPr>
            <w:tcW w:w="1460" w:type="dxa"/>
            <w:vAlign w:val="bottom"/>
            <w:shd w:val="clear" w:color="auto" w:fill="444444"/>
          </w:tcPr>
          <w:p>
            <w:pPr>
              <w:jc w:val="right"/>
              <w:ind w:right="104"/>
              <w:spacing w:after="0" w:line="149" w:lineRule="exact"/>
              <w:rPr>
                <w:sz w:val="20"/>
                <w:szCs w:val="20"/>
                <w:color w:val="auto"/>
              </w:rPr>
            </w:pPr>
            <w:r>
              <w:rPr>
                <w:rFonts w:ascii="Arial" w:cs="Arial" w:eastAsia="Arial" w:hAnsi="Arial"/>
                <w:sz w:val="14"/>
                <w:szCs w:val="14"/>
                <w:b w:val="1"/>
                <w:bCs w:val="1"/>
                <w:color w:val="FFFFFF"/>
              </w:rPr>
              <w:t>Number of</w:t>
            </w:r>
          </w:p>
        </w:tc>
        <w:tc>
          <w:tcPr>
            <w:tcW w:w="1180" w:type="dxa"/>
            <w:vAlign w:val="bottom"/>
            <w:shd w:val="clear" w:color="auto" w:fill="444444"/>
          </w:tcPr>
          <w:p>
            <w:pPr>
              <w:spacing w:after="0"/>
              <w:rPr>
                <w:sz w:val="12"/>
                <w:szCs w:val="12"/>
                <w:color w:val="auto"/>
              </w:rPr>
            </w:pPr>
          </w:p>
        </w:tc>
        <w:tc>
          <w:tcPr>
            <w:tcW w:w="700" w:type="dxa"/>
            <w:vAlign w:val="bottom"/>
          </w:tcPr>
          <w:p>
            <w:pPr>
              <w:spacing w:after="0"/>
              <w:rPr>
                <w:sz w:val="12"/>
                <w:szCs w:val="12"/>
                <w:color w:val="auto"/>
              </w:rPr>
            </w:pPr>
          </w:p>
        </w:tc>
        <w:tc>
          <w:tcPr>
            <w:tcW w:w="1400" w:type="dxa"/>
            <w:vAlign w:val="bottom"/>
            <w:shd w:val="clear" w:color="auto" w:fill="444444"/>
          </w:tcPr>
          <w:p>
            <w:pPr>
              <w:jc w:val="right"/>
              <w:ind w:right="124"/>
              <w:spacing w:after="0" w:line="149" w:lineRule="exact"/>
              <w:rPr>
                <w:sz w:val="20"/>
                <w:szCs w:val="20"/>
                <w:color w:val="auto"/>
              </w:rPr>
            </w:pPr>
            <w:r>
              <w:rPr>
                <w:rFonts w:ascii="Arial" w:cs="Arial" w:eastAsia="Arial" w:hAnsi="Arial"/>
                <w:sz w:val="14"/>
                <w:szCs w:val="14"/>
                <w:b w:val="1"/>
                <w:bCs w:val="1"/>
                <w:color w:val="FFFFFF"/>
              </w:rPr>
              <w:t>Number of</w:t>
            </w:r>
          </w:p>
        </w:tc>
        <w:tc>
          <w:tcPr>
            <w:tcW w:w="1140" w:type="dxa"/>
            <w:vAlign w:val="bottom"/>
            <w:shd w:val="clear" w:color="auto" w:fill="444444"/>
          </w:tcPr>
          <w:p>
            <w:pPr>
              <w:jc w:val="right"/>
              <w:ind w:right="144"/>
              <w:spacing w:after="0" w:line="149" w:lineRule="exact"/>
              <w:rPr>
                <w:sz w:val="20"/>
                <w:szCs w:val="20"/>
                <w:color w:val="auto"/>
              </w:rPr>
            </w:pPr>
            <w:r>
              <w:rPr>
                <w:rFonts w:ascii="Arial" w:cs="Arial" w:eastAsia="Arial" w:hAnsi="Arial"/>
                <w:sz w:val="14"/>
                <w:szCs w:val="14"/>
                <w:b w:val="1"/>
                <w:bCs w:val="1"/>
                <w:color w:val="FFFFFF"/>
              </w:rPr>
              <w:t>Value</w:t>
            </w:r>
          </w:p>
        </w:tc>
      </w:tr>
      <w:tr>
        <w:trPr>
          <w:trHeight w:val="162"/>
        </w:trPr>
        <w:tc>
          <w:tcPr>
            <w:tcW w:w="5140" w:type="dxa"/>
            <w:vAlign w:val="bottom"/>
            <w:shd w:val="clear" w:color="auto" w:fill="444444"/>
          </w:tcPr>
          <w:p>
            <w:pPr>
              <w:spacing w:after="0"/>
              <w:rPr>
                <w:sz w:val="14"/>
                <w:szCs w:val="14"/>
                <w:color w:val="auto"/>
              </w:rPr>
            </w:pPr>
          </w:p>
        </w:tc>
        <w:tc>
          <w:tcPr>
            <w:tcW w:w="1460" w:type="dxa"/>
            <w:vAlign w:val="bottom"/>
            <w:shd w:val="clear" w:color="auto" w:fill="444444"/>
          </w:tcPr>
          <w:p>
            <w:pPr>
              <w:jc w:val="right"/>
              <w:ind w:right="104"/>
              <w:spacing w:after="0"/>
              <w:rPr>
                <w:sz w:val="20"/>
                <w:szCs w:val="20"/>
                <w:color w:val="auto"/>
              </w:rPr>
            </w:pPr>
            <w:r>
              <w:rPr>
                <w:rFonts w:ascii="Arial" w:cs="Arial" w:eastAsia="Arial" w:hAnsi="Arial"/>
                <w:sz w:val="14"/>
                <w:szCs w:val="14"/>
                <w:b w:val="1"/>
                <w:bCs w:val="1"/>
                <w:color w:val="FFFFFF"/>
              </w:rPr>
              <w:t>Shares</w:t>
            </w:r>
          </w:p>
        </w:tc>
        <w:tc>
          <w:tcPr>
            <w:tcW w:w="1180" w:type="dxa"/>
            <w:vAlign w:val="bottom"/>
            <w:shd w:val="clear" w:color="auto" w:fill="444444"/>
          </w:tcPr>
          <w:p>
            <w:pPr>
              <w:jc w:val="right"/>
              <w:ind w:right="123"/>
              <w:spacing w:after="0"/>
              <w:rPr>
                <w:sz w:val="20"/>
                <w:szCs w:val="20"/>
                <w:color w:val="auto"/>
              </w:rPr>
            </w:pPr>
            <w:r>
              <w:rPr>
                <w:rFonts w:ascii="Arial" w:cs="Arial" w:eastAsia="Arial" w:hAnsi="Arial"/>
                <w:sz w:val="14"/>
                <w:szCs w:val="14"/>
                <w:b w:val="1"/>
                <w:bCs w:val="1"/>
                <w:color w:val="FFFFFF"/>
              </w:rPr>
              <w:t>Value</w:t>
            </w:r>
          </w:p>
        </w:tc>
        <w:tc>
          <w:tcPr>
            <w:tcW w:w="700" w:type="dxa"/>
            <w:vAlign w:val="bottom"/>
          </w:tcPr>
          <w:p>
            <w:pPr>
              <w:spacing w:after="0"/>
              <w:rPr>
                <w:sz w:val="14"/>
                <w:szCs w:val="14"/>
                <w:color w:val="auto"/>
              </w:rPr>
            </w:pPr>
          </w:p>
        </w:tc>
        <w:tc>
          <w:tcPr>
            <w:tcW w:w="1400" w:type="dxa"/>
            <w:vAlign w:val="bottom"/>
            <w:shd w:val="clear" w:color="auto" w:fill="444444"/>
          </w:tcPr>
          <w:p>
            <w:pPr>
              <w:jc w:val="right"/>
              <w:ind w:right="124"/>
              <w:spacing w:after="0"/>
              <w:rPr>
                <w:sz w:val="20"/>
                <w:szCs w:val="20"/>
                <w:color w:val="auto"/>
              </w:rPr>
            </w:pPr>
            <w:r>
              <w:rPr>
                <w:rFonts w:ascii="Arial" w:cs="Arial" w:eastAsia="Arial" w:hAnsi="Arial"/>
                <w:sz w:val="14"/>
                <w:szCs w:val="14"/>
                <w:b w:val="1"/>
                <w:bCs w:val="1"/>
                <w:color w:val="FFFFFF"/>
              </w:rPr>
              <w:t>Shares</w:t>
            </w:r>
          </w:p>
        </w:tc>
        <w:tc>
          <w:tcPr>
            <w:tcW w:w="1140" w:type="dxa"/>
            <w:vAlign w:val="bottom"/>
            <w:shd w:val="clear" w:color="auto" w:fill="444444"/>
          </w:tcPr>
          <w:p>
            <w:pPr>
              <w:jc w:val="right"/>
              <w:ind w:right="144"/>
              <w:spacing w:after="0"/>
              <w:rPr>
                <w:sz w:val="20"/>
                <w:szCs w:val="20"/>
                <w:color w:val="auto"/>
              </w:rPr>
            </w:pPr>
            <w:r>
              <w:rPr>
                <w:rFonts w:ascii="Arial" w:cs="Arial" w:eastAsia="Arial" w:hAnsi="Arial"/>
                <w:sz w:val="14"/>
                <w:szCs w:val="14"/>
                <w:b w:val="1"/>
                <w:bCs w:val="1"/>
                <w:color w:val="FFFFFF"/>
              </w:rPr>
              <w:t>Realized</w:t>
            </w:r>
          </w:p>
        </w:tc>
      </w:tr>
      <w:tr>
        <w:trPr>
          <w:trHeight w:val="162"/>
        </w:trPr>
        <w:tc>
          <w:tcPr>
            <w:tcW w:w="5140" w:type="dxa"/>
            <w:vAlign w:val="bottom"/>
            <w:shd w:val="clear" w:color="auto" w:fill="444444"/>
          </w:tcPr>
          <w:p>
            <w:pPr>
              <w:spacing w:after="0"/>
              <w:rPr>
                <w:sz w:val="14"/>
                <w:szCs w:val="14"/>
                <w:color w:val="auto"/>
              </w:rPr>
            </w:pPr>
          </w:p>
        </w:tc>
        <w:tc>
          <w:tcPr>
            <w:tcW w:w="1460" w:type="dxa"/>
            <w:vAlign w:val="bottom"/>
            <w:shd w:val="clear" w:color="auto" w:fill="444444"/>
          </w:tcPr>
          <w:p>
            <w:pPr>
              <w:jc w:val="right"/>
              <w:ind w:right="104"/>
              <w:spacing w:after="0"/>
              <w:rPr>
                <w:sz w:val="20"/>
                <w:szCs w:val="20"/>
                <w:color w:val="auto"/>
              </w:rPr>
            </w:pPr>
            <w:r>
              <w:rPr>
                <w:rFonts w:ascii="Arial" w:cs="Arial" w:eastAsia="Arial" w:hAnsi="Arial"/>
                <w:sz w:val="14"/>
                <w:szCs w:val="14"/>
                <w:b w:val="1"/>
                <w:bCs w:val="1"/>
                <w:color w:val="FFFFFF"/>
              </w:rPr>
              <w:t>Acquired</w:t>
            </w:r>
          </w:p>
        </w:tc>
        <w:tc>
          <w:tcPr>
            <w:tcW w:w="1180" w:type="dxa"/>
            <w:vAlign w:val="bottom"/>
            <w:shd w:val="clear" w:color="auto" w:fill="444444"/>
          </w:tcPr>
          <w:p>
            <w:pPr>
              <w:jc w:val="right"/>
              <w:ind w:right="123"/>
              <w:spacing w:after="0"/>
              <w:rPr>
                <w:sz w:val="20"/>
                <w:szCs w:val="20"/>
                <w:color w:val="auto"/>
              </w:rPr>
            </w:pPr>
            <w:r>
              <w:rPr>
                <w:rFonts w:ascii="Arial" w:cs="Arial" w:eastAsia="Arial" w:hAnsi="Arial"/>
                <w:sz w:val="14"/>
                <w:szCs w:val="14"/>
                <w:b w:val="1"/>
                <w:bCs w:val="1"/>
                <w:color w:val="FFFFFF"/>
              </w:rPr>
              <w:t>Realized</w:t>
            </w:r>
          </w:p>
        </w:tc>
        <w:tc>
          <w:tcPr>
            <w:tcW w:w="700" w:type="dxa"/>
            <w:vAlign w:val="bottom"/>
          </w:tcPr>
          <w:p>
            <w:pPr>
              <w:spacing w:after="0"/>
              <w:rPr>
                <w:sz w:val="14"/>
                <w:szCs w:val="14"/>
                <w:color w:val="auto"/>
              </w:rPr>
            </w:pPr>
          </w:p>
        </w:tc>
        <w:tc>
          <w:tcPr>
            <w:tcW w:w="1400" w:type="dxa"/>
            <w:vAlign w:val="bottom"/>
            <w:shd w:val="clear" w:color="auto" w:fill="444444"/>
          </w:tcPr>
          <w:p>
            <w:pPr>
              <w:jc w:val="right"/>
              <w:ind w:right="124"/>
              <w:spacing w:after="0"/>
              <w:rPr>
                <w:sz w:val="20"/>
                <w:szCs w:val="20"/>
                <w:color w:val="auto"/>
              </w:rPr>
            </w:pPr>
            <w:r>
              <w:rPr>
                <w:rFonts w:ascii="Arial" w:cs="Arial" w:eastAsia="Arial" w:hAnsi="Arial"/>
                <w:sz w:val="14"/>
                <w:szCs w:val="14"/>
                <w:b w:val="1"/>
                <w:bCs w:val="1"/>
                <w:color w:val="FFFFFF"/>
              </w:rPr>
              <w:t>Acquired</w:t>
            </w:r>
          </w:p>
        </w:tc>
        <w:tc>
          <w:tcPr>
            <w:tcW w:w="1140" w:type="dxa"/>
            <w:vAlign w:val="bottom"/>
            <w:shd w:val="clear" w:color="auto" w:fill="444444"/>
          </w:tcPr>
          <w:p>
            <w:pPr>
              <w:jc w:val="right"/>
              <w:ind w:right="144"/>
              <w:spacing w:after="0"/>
              <w:rPr>
                <w:sz w:val="20"/>
                <w:szCs w:val="20"/>
                <w:color w:val="auto"/>
              </w:rPr>
            </w:pPr>
            <w:r>
              <w:rPr>
                <w:rFonts w:ascii="Arial" w:cs="Arial" w:eastAsia="Arial" w:hAnsi="Arial"/>
                <w:sz w:val="14"/>
                <w:szCs w:val="14"/>
                <w:b w:val="1"/>
                <w:bCs w:val="1"/>
                <w:color w:val="FFFFFF"/>
              </w:rPr>
              <w:t>on</w:t>
            </w:r>
          </w:p>
        </w:tc>
      </w:tr>
      <w:tr>
        <w:trPr>
          <w:trHeight w:val="162"/>
        </w:trPr>
        <w:tc>
          <w:tcPr>
            <w:tcW w:w="5140" w:type="dxa"/>
            <w:vAlign w:val="bottom"/>
            <w:shd w:val="clear" w:color="auto" w:fill="444444"/>
          </w:tcPr>
          <w:p>
            <w:pPr>
              <w:spacing w:after="0"/>
              <w:rPr>
                <w:sz w:val="14"/>
                <w:szCs w:val="14"/>
                <w:color w:val="auto"/>
              </w:rPr>
            </w:pPr>
          </w:p>
        </w:tc>
        <w:tc>
          <w:tcPr>
            <w:tcW w:w="1460" w:type="dxa"/>
            <w:vAlign w:val="bottom"/>
            <w:shd w:val="clear" w:color="auto" w:fill="444444"/>
          </w:tcPr>
          <w:p>
            <w:pPr>
              <w:jc w:val="right"/>
              <w:ind w:right="104"/>
              <w:spacing w:after="0"/>
              <w:rPr>
                <w:sz w:val="20"/>
                <w:szCs w:val="20"/>
                <w:color w:val="auto"/>
              </w:rPr>
            </w:pPr>
            <w:r>
              <w:rPr>
                <w:rFonts w:ascii="Arial" w:cs="Arial" w:eastAsia="Arial" w:hAnsi="Arial"/>
                <w:sz w:val="14"/>
                <w:szCs w:val="14"/>
                <w:b w:val="1"/>
                <w:bCs w:val="1"/>
                <w:color w:val="FFFFFF"/>
              </w:rPr>
              <w:t>on</w:t>
            </w:r>
          </w:p>
        </w:tc>
        <w:tc>
          <w:tcPr>
            <w:tcW w:w="1180" w:type="dxa"/>
            <w:vAlign w:val="bottom"/>
            <w:shd w:val="clear" w:color="auto" w:fill="444444"/>
          </w:tcPr>
          <w:p>
            <w:pPr>
              <w:jc w:val="right"/>
              <w:ind w:right="123"/>
              <w:spacing w:after="0"/>
              <w:rPr>
                <w:sz w:val="20"/>
                <w:szCs w:val="20"/>
                <w:color w:val="auto"/>
              </w:rPr>
            </w:pPr>
            <w:r>
              <w:rPr>
                <w:rFonts w:ascii="Arial" w:cs="Arial" w:eastAsia="Arial" w:hAnsi="Arial"/>
                <w:sz w:val="14"/>
                <w:szCs w:val="14"/>
                <w:b w:val="1"/>
                <w:bCs w:val="1"/>
                <w:color w:val="FFFFFF"/>
              </w:rPr>
              <w:t>on</w:t>
            </w:r>
          </w:p>
        </w:tc>
        <w:tc>
          <w:tcPr>
            <w:tcW w:w="700" w:type="dxa"/>
            <w:vAlign w:val="bottom"/>
          </w:tcPr>
          <w:p>
            <w:pPr>
              <w:spacing w:after="0"/>
              <w:rPr>
                <w:sz w:val="14"/>
                <w:szCs w:val="14"/>
                <w:color w:val="auto"/>
              </w:rPr>
            </w:pPr>
          </w:p>
        </w:tc>
        <w:tc>
          <w:tcPr>
            <w:tcW w:w="1400" w:type="dxa"/>
            <w:vAlign w:val="bottom"/>
            <w:shd w:val="clear" w:color="auto" w:fill="444444"/>
          </w:tcPr>
          <w:p>
            <w:pPr>
              <w:jc w:val="right"/>
              <w:ind w:right="124"/>
              <w:spacing w:after="0"/>
              <w:rPr>
                <w:sz w:val="20"/>
                <w:szCs w:val="20"/>
                <w:color w:val="auto"/>
              </w:rPr>
            </w:pPr>
            <w:r>
              <w:rPr>
                <w:rFonts w:ascii="Arial" w:cs="Arial" w:eastAsia="Arial" w:hAnsi="Arial"/>
                <w:sz w:val="14"/>
                <w:szCs w:val="14"/>
                <w:b w:val="1"/>
                <w:bCs w:val="1"/>
                <w:color w:val="FFFFFF"/>
              </w:rPr>
              <w:t>on</w:t>
            </w:r>
          </w:p>
        </w:tc>
        <w:tc>
          <w:tcPr>
            <w:tcW w:w="1140" w:type="dxa"/>
            <w:vAlign w:val="bottom"/>
            <w:shd w:val="clear" w:color="auto" w:fill="444444"/>
          </w:tcPr>
          <w:p>
            <w:pPr>
              <w:jc w:val="right"/>
              <w:ind w:right="144"/>
              <w:spacing w:after="0"/>
              <w:rPr>
                <w:sz w:val="20"/>
                <w:szCs w:val="20"/>
                <w:color w:val="auto"/>
              </w:rPr>
            </w:pPr>
            <w:r>
              <w:rPr>
                <w:rFonts w:ascii="Arial" w:cs="Arial" w:eastAsia="Arial" w:hAnsi="Arial"/>
                <w:sz w:val="14"/>
                <w:szCs w:val="14"/>
                <w:b w:val="1"/>
                <w:bCs w:val="1"/>
                <w:color w:val="FFFFFF"/>
              </w:rPr>
              <w:t>Vesting</w:t>
            </w:r>
          </w:p>
        </w:tc>
      </w:tr>
      <w:tr>
        <w:trPr>
          <w:trHeight w:val="189"/>
        </w:trPr>
        <w:tc>
          <w:tcPr>
            <w:tcW w:w="5140" w:type="dxa"/>
            <w:vAlign w:val="bottom"/>
            <w:shd w:val="clear" w:color="auto" w:fill="444444"/>
          </w:tcPr>
          <w:p>
            <w:pPr>
              <w:ind w:left="120"/>
              <w:spacing w:after="0"/>
              <w:rPr>
                <w:sz w:val="20"/>
                <w:szCs w:val="20"/>
                <w:color w:val="auto"/>
              </w:rPr>
            </w:pPr>
            <w:r>
              <w:rPr>
                <w:rFonts w:ascii="Arial" w:cs="Arial" w:eastAsia="Arial" w:hAnsi="Arial"/>
                <w:sz w:val="14"/>
                <w:szCs w:val="14"/>
                <w:b w:val="1"/>
                <w:bCs w:val="1"/>
                <w:color w:val="FFFFFF"/>
              </w:rPr>
              <w:t>N</w:t>
            </w:r>
            <w:r>
              <w:rPr>
                <w:rFonts w:ascii="Arial" w:cs="Arial" w:eastAsia="Arial" w:hAnsi="Arial"/>
                <w:sz w:val="11"/>
                <w:szCs w:val="11"/>
                <w:b w:val="1"/>
                <w:bCs w:val="1"/>
                <w:color w:val="FFFFFF"/>
              </w:rPr>
              <w:t>AME</w:t>
            </w:r>
          </w:p>
        </w:tc>
        <w:tc>
          <w:tcPr>
            <w:tcW w:w="1460" w:type="dxa"/>
            <w:vAlign w:val="bottom"/>
            <w:shd w:val="clear" w:color="auto" w:fill="444444"/>
          </w:tcPr>
          <w:p>
            <w:pPr>
              <w:jc w:val="right"/>
              <w:ind w:right="104"/>
              <w:spacing w:after="0"/>
              <w:rPr>
                <w:sz w:val="20"/>
                <w:szCs w:val="20"/>
                <w:color w:val="auto"/>
              </w:rPr>
            </w:pPr>
            <w:r>
              <w:rPr>
                <w:rFonts w:ascii="Arial" w:cs="Arial" w:eastAsia="Arial" w:hAnsi="Arial"/>
                <w:sz w:val="14"/>
                <w:szCs w:val="14"/>
                <w:b w:val="1"/>
                <w:bCs w:val="1"/>
                <w:color w:val="FFFFFF"/>
              </w:rPr>
              <w:t>Exercise (#)</w:t>
            </w:r>
          </w:p>
        </w:tc>
        <w:tc>
          <w:tcPr>
            <w:tcW w:w="1180" w:type="dxa"/>
            <w:vAlign w:val="bottom"/>
            <w:shd w:val="clear" w:color="auto" w:fill="444444"/>
          </w:tcPr>
          <w:p>
            <w:pPr>
              <w:jc w:val="right"/>
              <w:ind w:right="123"/>
              <w:spacing w:after="0"/>
              <w:rPr>
                <w:sz w:val="20"/>
                <w:szCs w:val="20"/>
                <w:color w:val="auto"/>
              </w:rPr>
            </w:pPr>
            <w:r>
              <w:rPr>
                <w:rFonts w:ascii="Arial" w:cs="Arial" w:eastAsia="Arial" w:hAnsi="Arial"/>
                <w:sz w:val="14"/>
                <w:szCs w:val="14"/>
                <w:b w:val="1"/>
                <w:bCs w:val="1"/>
                <w:color w:val="FFFFFF"/>
              </w:rPr>
              <w:t>Exercise ($)</w:t>
            </w:r>
          </w:p>
        </w:tc>
        <w:tc>
          <w:tcPr>
            <w:tcW w:w="700" w:type="dxa"/>
            <w:vAlign w:val="bottom"/>
          </w:tcPr>
          <w:p>
            <w:pPr>
              <w:spacing w:after="0"/>
              <w:rPr>
                <w:sz w:val="16"/>
                <w:szCs w:val="16"/>
                <w:color w:val="auto"/>
              </w:rPr>
            </w:pPr>
          </w:p>
        </w:tc>
        <w:tc>
          <w:tcPr>
            <w:tcW w:w="1400" w:type="dxa"/>
            <w:vAlign w:val="bottom"/>
            <w:shd w:val="clear" w:color="auto" w:fill="444444"/>
          </w:tcPr>
          <w:p>
            <w:pPr>
              <w:jc w:val="right"/>
              <w:ind w:right="124"/>
              <w:spacing w:after="0"/>
              <w:rPr>
                <w:sz w:val="20"/>
                <w:szCs w:val="20"/>
                <w:color w:val="auto"/>
              </w:rPr>
            </w:pPr>
            <w:r>
              <w:rPr>
                <w:rFonts w:ascii="Arial" w:cs="Arial" w:eastAsia="Arial" w:hAnsi="Arial"/>
                <w:sz w:val="14"/>
                <w:szCs w:val="14"/>
                <w:b w:val="1"/>
                <w:bCs w:val="1"/>
                <w:color w:val="FFFFFF"/>
              </w:rPr>
              <w:t>Vesting (#)</w:t>
            </w:r>
          </w:p>
        </w:tc>
        <w:tc>
          <w:tcPr>
            <w:tcW w:w="1140" w:type="dxa"/>
            <w:vAlign w:val="bottom"/>
            <w:shd w:val="clear" w:color="auto" w:fill="444444"/>
          </w:tcPr>
          <w:p>
            <w:pPr>
              <w:jc w:val="right"/>
              <w:ind w:right="144"/>
              <w:spacing w:after="0"/>
              <w:rPr>
                <w:sz w:val="20"/>
                <w:szCs w:val="20"/>
                <w:color w:val="auto"/>
              </w:rPr>
            </w:pPr>
            <w:r>
              <w:rPr>
                <w:rFonts w:ascii="Arial" w:cs="Arial" w:eastAsia="Arial" w:hAnsi="Arial"/>
                <w:sz w:val="14"/>
                <w:szCs w:val="14"/>
                <w:b w:val="1"/>
                <w:bCs w:val="1"/>
                <w:color w:val="FFFFFF"/>
              </w:rPr>
              <w:t>($)</w:t>
            </w:r>
          </w:p>
        </w:tc>
      </w:tr>
      <w:tr>
        <w:trPr>
          <w:trHeight w:val="189"/>
        </w:trPr>
        <w:tc>
          <w:tcPr>
            <w:tcW w:w="5140" w:type="dxa"/>
            <w:vAlign w:val="bottom"/>
            <w:shd w:val="clear" w:color="auto" w:fill="EAEAEA"/>
          </w:tcPr>
          <w:p>
            <w:pPr>
              <w:ind w:left="100"/>
              <w:spacing w:after="0"/>
              <w:rPr>
                <w:sz w:val="20"/>
                <w:szCs w:val="20"/>
                <w:color w:val="auto"/>
              </w:rPr>
            </w:pPr>
            <w:r>
              <w:rPr>
                <w:rFonts w:ascii="Arial" w:cs="Arial" w:eastAsia="Arial" w:hAnsi="Arial"/>
                <w:sz w:val="16"/>
                <w:szCs w:val="16"/>
                <w:color w:val="auto"/>
              </w:rPr>
              <w:t>Michael Goettler</w:t>
            </w:r>
          </w:p>
        </w:tc>
        <w:tc>
          <w:tcPr>
            <w:tcW w:w="1460" w:type="dxa"/>
            <w:vAlign w:val="bottom"/>
            <w:shd w:val="clear" w:color="auto" w:fill="EAEAEA"/>
          </w:tcPr>
          <w:p>
            <w:pPr>
              <w:jc w:val="right"/>
              <w:ind w:right="104"/>
              <w:spacing w:after="0"/>
              <w:rPr>
                <w:sz w:val="20"/>
                <w:szCs w:val="20"/>
                <w:color w:val="auto"/>
              </w:rPr>
            </w:pPr>
            <w:r>
              <w:rPr>
                <w:rFonts w:ascii="Arial" w:cs="Arial" w:eastAsia="Arial" w:hAnsi="Arial"/>
                <w:sz w:val="16"/>
                <w:szCs w:val="16"/>
                <w:color w:val="auto"/>
              </w:rPr>
              <w:t>—</w:t>
            </w:r>
          </w:p>
        </w:tc>
        <w:tc>
          <w:tcPr>
            <w:tcW w:w="1180" w:type="dxa"/>
            <w:vAlign w:val="bottom"/>
            <w:shd w:val="clear" w:color="auto" w:fill="EAEAEA"/>
          </w:tcPr>
          <w:p>
            <w:pPr>
              <w:jc w:val="right"/>
              <w:ind w:right="123"/>
              <w:spacing w:after="0"/>
              <w:rPr>
                <w:sz w:val="20"/>
                <w:szCs w:val="20"/>
                <w:color w:val="auto"/>
              </w:rPr>
            </w:pPr>
            <w:r>
              <w:rPr>
                <w:rFonts w:ascii="Arial" w:cs="Arial" w:eastAsia="Arial" w:hAnsi="Arial"/>
                <w:sz w:val="16"/>
                <w:szCs w:val="16"/>
                <w:color w:val="auto"/>
              </w:rPr>
              <w:t>—</w:t>
            </w:r>
          </w:p>
        </w:tc>
        <w:tc>
          <w:tcPr>
            <w:tcW w:w="700" w:type="dxa"/>
            <w:vAlign w:val="bottom"/>
            <w:shd w:val="clear" w:color="auto" w:fill="E5E5E5"/>
          </w:tcPr>
          <w:p>
            <w:pPr>
              <w:spacing w:after="0"/>
              <w:rPr>
                <w:sz w:val="16"/>
                <w:szCs w:val="16"/>
                <w:color w:val="auto"/>
              </w:rPr>
            </w:pPr>
          </w:p>
        </w:tc>
        <w:tc>
          <w:tcPr>
            <w:tcW w:w="1400" w:type="dxa"/>
            <w:vAlign w:val="bottom"/>
            <w:shd w:val="clear" w:color="auto" w:fill="EAEAEA"/>
          </w:tcPr>
          <w:p>
            <w:pPr>
              <w:jc w:val="right"/>
              <w:ind w:right="124"/>
              <w:spacing w:after="0"/>
              <w:rPr>
                <w:sz w:val="20"/>
                <w:szCs w:val="20"/>
                <w:color w:val="auto"/>
              </w:rPr>
            </w:pPr>
            <w:r>
              <w:rPr>
                <w:rFonts w:ascii="Arial" w:cs="Arial" w:eastAsia="Arial" w:hAnsi="Arial"/>
                <w:sz w:val="16"/>
                <w:szCs w:val="16"/>
                <w:color w:val="auto"/>
              </w:rPr>
              <w:t>3,499</w:t>
            </w:r>
          </w:p>
        </w:tc>
        <w:tc>
          <w:tcPr>
            <w:tcW w:w="1140" w:type="dxa"/>
            <w:vAlign w:val="bottom"/>
            <w:shd w:val="clear" w:color="auto" w:fill="EAEAEA"/>
          </w:tcPr>
          <w:p>
            <w:pPr>
              <w:jc w:val="right"/>
              <w:ind w:right="144"/>
              <w:spacing w:after="0"/>
              <w:rPr>
                <w:sz w:val="20"/>
                <w:szCs w:val="20"/>
                <w:color w:val="auto"/>
              </w:rPr>
            </w:pPr>
            <w:r>
              <w:rPr>
                <w:rFonts w:ascii="Arial" w:cs="Arial" w:eastAsia="Arial" w:hAnsi="Arial"/>
                <w:sz w:val="16"/>
                <w:szCs w:val="16"/>
                <w:color w:val="auto"/>
              </w:rPr>
              <w:t>54,235</w:t>
            </w:r>
          </w:p>
        </w:tc>
      </w:tr>
      <w:tr>
        <w:trPr>
          <w:trHeight w:val="189"/>
        </w:trPr>
        <w:tc>
          <w:tcPr>
            <w:tcW w:w="5140" w:type="dxa"/>
            <w:vAlign w:val="bottom"/>
          </w:tcPr>
          <w:p>
            <w:pPr>
              <w:ind w:left="100"/>
              <w:spacing w:after="0"/>
              <w:rPr>
                <w:sz w:val="20"/>
                <w:szCs w:val="20"/>
                <w:color w:val="auto"/>
              </w:rPr>
            </w:pPr>
            <w:r>
              <w:rPr>
                <w:rFonts w:ascii="Arial" w:cs="Arial" w:eastAsia="Arial" w:hAnsi="Arial"/>
                <w:sz w:val="16"/>
                <w:szCs w:val="16"/>
                <w:color w:val="auto"/>
              </w:rPr>
              <w:t>Sanjeev Narula</w:t>
            </w:r>
          </w:p>
        </w:tc>
        <w:tc>
          <w:tcPr>
            <w:tcW w:w="146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6"/>
                <w:szCs w:val="16"/>
                <w:color w:val="auto"/>
              </w:rPr>
            </w:pPr>
          </w:p>
        </w:tc>
        <w:tc>
          <w:tcPr>
            <w:tcW w:w="1400" w:type="dxa"/>
            <w:vAlign w:val="bottom"/>
          </w:tcPr>
          <w:p>
            <w:pPr>
              <w:jc w:val="right"/>
              <w:ind w:right="124"/>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44"/>
              <w:spacing w:after="0"/>
              <w:rPr>
                <w:sz w:val="20"/>
                <w:szCs w:val="20"/>
                <w:color w:val="auto"/>
              </w:rPr>
            </w:pPr>
            <w:r>
              <w:rPr>
                <w:rFonts w:ascii="Arial" w:cs="Arial" w:eastAsia="Arial" w:hAnsi="Arial"/>
                <w:sz w:val="16"/>
                <w:szCs w:val="16"/>
                <w:color w:val="auto"/>
              </w:rPr>
              <w:t>—</w:t>
            </w:r>
          </w:p>
        </w:tc>
      </w:tr>
      <w:tr>
        <w:trPr>
          <w:trHeight w:val="189"/>
        </w:trPr>
        <w:tc>
          <w:tcPr>
            <w:tcW w:w="5140" w:type="dxa"/>
            <w:vAlign w:val="bottom"/>
            <w:shd w:val="clear" w:color="auto" w:fill="EAEAEA"/>
          </w:tcPr>
          <w:p>
            <w:pPr>
              <w:ind w:left="100"/>
              <w:spacing w:after="0"/>
              <w:rPr>
                <w:sz w:val="20"/>
                <w:szCs w:val="20"/>
                <w:color w:val="auto"/>
              </w:rPr>
            </w:pPr>
            <w:r>
              <w:rPr>
                <w:rFonts w:ascii="Arial" w:cs="Arial" w:eastAsia="Arial" w:hAnsi="Arial"/>
                <w:sz w:val="16"/>
                <w:szCs w:val="16"/>
                <w:color w:val="auto"/>
              </w:rPr>
              <w:t>Rajiv Malik</w:t>
            </w:r>
          </w:p>
        </w:tc>
        <w:tc>
          <w:tcPr>
            <w:tcW w:w="1460" w:type="dxa"/>
            <w:vAlign w:val="bottom"/>
            <w:shd w:val="clear" w:color="auto" w:fill="EAEAEA"/>
          </w:tcPr>
          <w:p>
            <w:pPr>
              <w:jc w:val="right"/>
              <w:ind w:right="104"/>
              <w:spacing w:after="0"/>
              <w:rPr>
                <w:sz w:val="20"/>
                <w:szCs w:val="20"/>
                <w:color w:val="auto"/>
              </w:rPr>
            </w:pPr>
            <w:r>
              <w:rPr>
                <w:rFonts w:ascii="Arial" w:cs="Arial" w:eastAsia="Arial" w:hAnsi="Arial"/>
                <w:sz w:val="16"/>
                <w:szCs w:val="16"/>
                <w:color w:val="auto"/>
              </w:rPr>
              <w:t>—</w:t>
            </w:r>
          </w:p>
        </w:tc>
        <w:tc>
          <w:tcPr>
            <w:tcW w:w="1180" w:type="dxa"/>
            <w:vAlign w:val="bottom"/>
            <w:shd w:val="clear" w:color="auto" w:fill="EAEAEA"/>
          </w:tcPr>
          <w:p>
            <w:pPr>
              <w:jc w:val="right"/>
              <w:ind w:right="123"/>
              <w:spacing w:after="0"/>
              <w:rPr>
                <w:sz w:val="20"/>
                <w:szCs w:val="20"/>
                <w:color w:val="auto"/>
              </w:rPr>
            </w:pPr>
            <w:r>
              <w:rPr>
                <w:rFonts w:ascii="Arial" w:cs="Arial" w:eastAsia="Arial" w:hAnsi="Arial"/>
                <w:sz w:val="16"/>
                <w:szCs w:val="16"/>
                <w:color w:val="auto"/>
              </w:rPr>
              <w:t>—</w:t>
            </w:r>
          </w:p>
        </w:tc>
        <w:tc>
          <w:tcPr>
            <w:tcW w:w="700" w:type="dxa"/>
            <w:vAlign w:val="bottom"/>
            <w:shd w:val="clear" w:color="auto" w:fill="E5E5E5"/>
          </w:tcPr>
          <w:p>
            <w:pPr>
              <w:spacing w:after="0"/>
              <w:rPr>
                <w:sz w:val="16"/>
                <w:szCs w:val="16"/>
                <w:color w:val="auto"/>
              </w:rPr>
            </w:pPr>
          </w:p>
        </w:tc>
        <w:tc>
          <w:tcPr>
            <w:tcW w:w="1400" w:type="dxa"/>
            <w:vAlign w:val="bottom"/>
            <w:shd w:val="clear" w:color="auto" w:fill="EAEAEA"/>
          </w:tcPr>
          <w:p>
            <w:pPr>
              <w:jc w:val="right"/>
              <w:ind w:right="124"/>
              <w:spacing w:after="0"/>
              <w:rPr>
                <w:sz w:val="20"/>
                <w:szCs w:val="20"/>
                <w:color w:val="auto"/>
              </w:rPr>
            </w:pPr>
            <w:r>
              <w:rPr>
                <w:rFonts w:ascii="Arial" w:cs="Arial" w:eastAsia="Arial" w:hAnsi="Arial"/>
                <w:sz w:val="16"/>
                <w:szCs w:val="16"/>
                <w:color w:val="auto"/>
              </w:rPr>
              <w:t>174,017</w:t>
            </w:r>
          </w:p>
        </w:tc>
        <w:tc>
          <w:tcPr>
            <w:tcW w:w="1140" w:type="dxa"/>
            <w:vAlign w:val="bottom"/>
            <w:shd w:val="clear" w:color="auto" w:fill="EAEAEA"/>
          </w:tcPr>
          <w:p>
            <w:pPr>
              <w:jc w:val="right"/>
              <w:ind w:right="144"/>
              <w:spacing w:after="0"/>
              <w:rPr>
                <w:sz w:val="20"/>
                <w:szCs w:val="20"/>
                <w:color w:val="auto"/>
              </w:rPr>
            </w:pPr>
            <w:r>
              <w:rPr>
                <w:rFonts w:ascii="Arial" w:cs="Arial" w:eastAsia="Arial" w:hAnsi="Arial"/>
                <w:sz w:val="16"/>
                <w:szCs w:val="16"/>
                <w:color w:val="auto"/>
              </w:rPr>
              <w:t>2,486,703</w:t>
            </w:r>
          </w:p>
        </w:tc>
      </w:tr>
      <w:tr>
        <w:trPr>
          <w:trHeight w:val="189"/>
        </w:trPr>
        <w:tc>
          <w:tcPr>
            <w:tcW w:w="5140" w:type="dxa"/>
            <w:vAlign w:val="bottom"/>
          </w:tcPr>
          <w:p>
            <w:pPr>
              <w:ind w:left="100"/>
              <w:spacing w:after="0"/>
              <w:rPr>
                <w:sz w:val="20"/>
                <w:szCs w:val="20"/>
                <w:color w:val="auto"/>
              </w:rPr>
            </w:pPr>
            <w:r>
              <w:rPr>
                <w:rFonts w:ascii="Arial" w:cs="Arial" w:eastAsia="Arial" w:hAnsi="Arial"/>
                <w:sz w:val="16"/>
                <w:szCs w:val="16"/>
                <w:color w:val="auto"/>
              </w:rPr>
              <w:t>Anthony Mauro</w:t>
            </w:r>
          </w:p>
        </w:tc>
        <w:tc>
          <w:tcPr>
            <w:tcW w:w="146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2100" w:type="dxa"/>
            <w:vAlign w:val="bottom"/>
            <w:gridSpan w:val="2"/>
          </w:tcPr>
          <w:p>
            <w:pPr>
              <w:jc w:val="right"/>
              <w:ind w:right="124"/>
              <w:spacing w:after="0"/>
              <w:rPr>
                <w:sz w:val="20"/>
                <w:szCs w:val="20"/>
                <w:color w:val="auto"/>
              </w:rPr>
            </w:pPr>
            <w:r>
              <w:rPr>
                <w:rFonts w:ascii="Arial" w:cs="Arial" w:eastAsia="Arial" w:hAnsi="Arial"/>
                <w:sz w:val="16"/>
                <w:szCs w:val="16"/>
                <w:color w:val="auto"/>
              </w:rPr>
              <w:t>76,565</w:t>
            </w:r>
          </w:p>
        </w:tc>
        <w:tc>
          <w:tcPr>
            <w:tcW w:w="1140" w:type="dxa"/>
            <w:vAlign w:val="bottom"/>
          </w:tcPr>
          <w:p>
            <w:pPr>
              <w:jc w:val="right"/>
              <w:ind w:right="144"/>
              <w:spacing w:after="0"/>
              <w:rPr>
                <w:sz w:val="20"/>
                <w:szCs w:val="20"/>
                <w:color w:val="auto"/>
              </w:rPr>
            </w:pPr>
            <w:r>
              <w:rPr>
                <w:rFonts w:ascii="Arial" w:cs="Arial" w:eastAsia="Arial" w:hAnsi="Arial"/>
                <w:sz w:val="16"/>
                <w:szCs w:val="16"/>
                <w:color w:val="auto"/>
              </w:rPr>
              <w:t>1,094,114</w:t>
            </w:r>
          </w:p>
        </w:tc>
      </w:tr>
      <w:tr>
        <w:trPr>
          <w:trHeight w:val="189"/>
        </w:trPr>
        <w:tc>
          <w:tcPr>
            <w:tcW w:w="5140" w:type="dxa"/>
            <w:vAlign w:val="bottom"/>
            <w:tcBorders>
              <w:bottom w:val="single" w:sz="8" w:color="732282"/>
            </w:tcBorders>
            <w:shd w:val="clear" w:color="auto" w:fill="EAEAEA"/>
          </w:tcPr>
          <w:p>
            <w:pPr>
              <w:ind w:left="100"/>
              <w:spacing w:after="0"/>
              <w:rPr>
                <w:sz w:val="20"/>
                <w:szCs w:val="20"/>
                <w:color w:val="auto"/>
              </w:rPr>
            </w:pPr>
            <w:r>
              <w:rPr>
                <w:rFonts w:ascii="Arial" w:cs="Arial" w:eastAsia="Arial" w:hAnsi="Arial"/>
                <w:sz w:val="16"/>
                <w:szCs w:val="16"/>
                <w:color w:val="auto"/>
              </w:rPr>
              <w:t>Robert J. Coury</w:t>
            </w:r>
          </w:p>
        </w:tc>
        <w:tc>
          <w:tcPr>
            <w:tcW w:w="1460" w:type="dxa"/>
            <w:vAlign w:val="bottom"/>
            <w:tcBorders>
              <w:bottom w:val="single" w:sz="8" w:color="732282"/>
            </w:tcBorders>
            <w:shd w:val="clear" w:color="auto" w:fill="EAEAEA"/>
          </w:tcPr>
          <w:p>
            <w:pPr>
              <w:jc w:val="right"/>
              <w:ind w:right="104"/>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732282"/>
            </w:tcBorders>
            <w:shd w:val="clear" w:color="auto" w:fill="EAEAEA"/>
          </w:tcPr>
          <w:p>
            <w:pPr>
              <w:jc w:val="right"/>
              <w:ind w:right="123"/>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732282"/>
            </w:tcBorders>
            <w:shd w:val="clear" w:color="auto" w:fill="E5E5E5"/>
          </w:tcPr>
          <w:p>
            <w:pPr>
              <w:spacing w:after="0"/>
              <w:rPr>
                <w:sz w:val="16"/>
                <w:szCs w:val="16"/>
                <w:color w:val="auto"/>
              </w:rPr>
            </w:pPr>
          </w:p>
        </w:tc>
        <w:tc>
          <w:tcPr>
            <w:tcW w:w="1400" w:type="dxa"/>
            <w:vAlign w:val="bottom"/>
            <w:tcBorders>
              <w:bottom w:val="single" w:sz="8" w:color="732282"/>
            </w:tcBorders>
            <w:shd w:val="clear" w:color="auto" w:fill="EAEAEA"/>
          </w:tcPr>
          <w:p>
            <w:pPr>
              <w:jc w:val="right"/>
              <w:ind w:right="124"/>
              <w:spacing w:after="0"/>
              <w:rPr>
                <w:sz w:val="20"/>
                <w:szCs w:val="20"/>
                <w:color w:val="auto"/>
              </w:rPr>
            </w:pPr>
            <w:r>
              <w:rPr>
                <w:rFonts w:ascii="Arial" w:cs="Arial" w:eastAsia="Arial" w:hAnsi="Arial"/>
                <w:sz w:val="16"/>
                <w:szCs w:val="16"/>
                <w:color w:val="auto"/>
              </w:rPr>
              <w:t>250,000</w:t>
            </w:r>
          </w:p>
        </w:tc>
        <w:tc>
          <w:tcPr>
            <w:tcW w:w="1140" w:type="dxa"/>
            <w:vAlign w:val="bottom"/>
            <w:tcBorders>
              <w:bottom w:val="single" w:sz="8" w:color="732282"/>
            </w:tcBorders>
            <w:shd w:val="clear" w:color="auto" w:fill="EAEAEA"/>
          </w:tcPr>
          <w:p>
            <w:pPr>
              <w:jc w:val="right"/>
              <w:ind w:right="144"/>
              <w:spacing w:after="0"/>
              <w:rPr>
                <w:sz w:val="20"/>
                <w:szCs w:val="20"/>
                <w:color w:val="auto"/>
              </w:rPr>
            </w:pPr>
            <w:r>
              <w:rPr>
                <w:rFonts w:ascii="Arial" w:cs="Arial" w:eastAsia="Arial" w:hAnsi="Arial"/>
                <w:sz w:val="16"/>
                <w:szCs w:val="16"/>
                <w:color w:val="auto"/>
              </w:rPr>
              <w:t>3,590,000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-1130935</wp:posOffset>
            </wp:positionV>
            <wp:extent cx="77470" cy="11226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1122680"/>
                    </a:xfrm>
                    <a:prstGeom prst="rect">
                      <a:avLst/>
                    </a:prstGeom>
                    <a:noFill/>
                  </pic:spPr>
                </pic:pic>
              </a:graphicData>
            </a:graphic>
          </wp:anchor>
        </w:drawing>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732282"/>
        </w:rPr>
        <w:t>Pension Benefits for 2021</w:t>
      </w:r>
    </w:p>
    <w:p>
      <w:pPr>
        <w:spacing w:after="0" w:line="128"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6"/>
          <w:szCs w:val="16"/>
          <w:color w:val="auto"/>
        </w:rPr>
        <w:t>The following table summarizes Mr. Malik’s benefits as of December 31, 2021 under The Executive Plan for Rajiv Malik (the “Executive Plan”) and Mr. Malik’s Retirement Benefit Agreement (the “Malik RBA”). The Malik RBA was frozen in November 2020. Mr. Malik will not accrue any additional benefits pursuant to the agreement. The Executive Plan is a deferred compensation plan to which the Company no longer contributes, though the value of the benefit may change depending on the performance of investments. The Company does not sponsor any other defined benefit pension programs covering the NEOs.</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80" w:type="dxa"/>
            <w:vAlign w:val="bottom"/>
            <w:shd w:val="clear" w:color="auto" w:fill="444444"/>
          </w:tcPr>
          <w:p>
            <w:pPr>
              <w:spacing w:after="0"/>
              <w:rPr>
                <w:sz w:val="14"/>
                <w:szCs w:val="14"/>
                <w:color w:val="auto"/>
              </w:rPr>
            </w:pPr>
          </w:p>
        </w:tc>
        <w:tc>
          <w:tcPr>
            <w:tcW w:w="4480" w:type="dxa"/>
            <w:vAlign w:val="bottom"/>
            <w:shd w:val="clear" w:color="auto" w:fill="444444"/>
          </w:tcPr>
          <w:p>
            <w:pPr>
              <w:spacing w:after="0"/>
              <w:rPr>
                <w:sz w:val="14"/>
                <w:szCs w:val="14"/>
                <w:color w:val="auto"/>
              </w:rPr>
            </w:pPr>
          </w:p>
        </w:tc>
        <w:tc>
          <w:tcPr>
            <w:tcW w:w="1240" w:type="dxa"/>
            <w:vAlign w:val="bottom"/>
            <w:shd w:val="clear" w:color="auto" w:fill="444444"/>
          </w:tcPr>
          <w:p>
            <w:pPr>
              <w:spacing w:after="0"/>
              <w:rPr>
                <w:sz w:val="14"/>
                <w:szCs w:val="14"/>
                <w:color w:val="auto"/>
              </w:rPr>
            </w:pPr>
          </w:p>
        </w:tc>
        <w:tc>
          <w:tcPr>
            <w:tcW w:w="1360" w:type="dxa"/>
            <w:vAlign w:val="bottom"/>
            <w:shd w:val="clear" w:color="auto" w:fill="444444"/>
          </w:tcPr>
          <w:p>
            <w:pPr>
              <w:spacing w:after="0"/>
              <w:rPr>
                <w:sz w:val="14"/>
                <w:szCs w:val="14"/>
                <w:color w:val="auto"/>
              </w:rPr>
            </w:pPr>
          </w:p>
        </w:tc>
        <w:tc>
          <w:tcPr>
            <w:tcW w:w="1060" w:type="dxa"/>
            <w:vAlign w:val="bottom"/>
            <w:shd w:val="clear" w:color="auto" w:fill="444444"/>
          </w:tcPr>
          <w:p>
            <w:pPr>
              <w:jc w:val="right"/>
              <w:ind w:right="143"/>
              <w:spacing w:after="0"/>
              <w:rPr>
                <w:sz w:val="20"/>
                <w:szCs w:val="20"/>
                <w:color w:val="auto"/>
              </w:rPr>
            </w:pPr>
            <w:r>
              <w:rPr>
                <w:rFonts w:ascii="Arial" w:cs="Arial" w:eastAsia="Arial" w:hAnsi="Arial"/>
                <w:sz w:val="14"/>
                <w:szCs w:val="14"/>
                <w:b w:val="1"/>
                <w:bCs w:val="1"/>
                <w:color w:val="FFFFFF"/>
              </w:rPr>
              <w:t>Payments</w:t>
            </w:r>
          </w:p>
        </w:tc>
      </w:tr>
      <w:tr>
        <w:trPr>
          <w:trHeight w:val="162"/>
        </w:trPr>
        <w:tc>
          <w:tcPr>
            <w:tcW w:w="2880" w:type="dxa"/>
            <w:vAlign w:val="bottom"/>
            <w:shd w:val="clear" w:color="auto" w:fill="444444"/>
          </w:tcPr>
          <w:p>
            <w:pPr>
              <w:spacing w:after="0"/>
              <w:rPr>
                <w:sz w:val="14"/>
                <w:szCs w:val="14"/>
                <w:color w:val="auto"/>
              </w:rPr>
            </w:pPr>
          </w:p>
        </w:tc>
        <w:tc>
          <w:tcPr>
            <w:tcW w:w="4480" w:type="dxa"/>
            <w:vAlign w:val="bottom"/>
            <w:shd w:val="clear" w:color="auto" w:fill="444444"/>
          </w:tcPr>
          <w:p>
            <w:pPr>
              <w:spacing w:after="0"/>
              <w:rPr>
                <w:sz w:val="14"/>
                <w:szCs w:val="14"/>
                <w:color w:val="auto"/>
              </w:rPr>
            </w:pPr>
          </w:p>
        </w:tc>
        <w:tc>
          <w:tcPr>
            <w:tcW w:w="1240" w:type="dxa"/>
            <w:vAlign w:val="bottom"/>
            <w:shd w:val="clear" w:color="auto" w:fill="444444"/>
          </w:tcPr>
          <w:p>
            <w:pPr>
              <w:jc w:val="right"/>
              <w:ind w:right="203"/>
              <w:spacing w:after="0"/>
              <w:rPr>
                <w:sz w:val="20"/>
                <w:szCs w:val="20"/>
                <w:color w:val="auto"/>
              </w:rPr>
            </w:pPr>
            <w:r>
              <w:rPr>
                <w:rFonts w:ascii="Arial" w:cs="Arial" w:eastAsia="Arial" w:hAnsi="Arial"/>
                <w:sz w:val="14"/>
                <w:szCs w:val="14"/>
                <w:b w:val="1"/>
                <w:bCs w:val="1"/>
                <w:color w:val="FFFFFF"/>
              </w:rPr>
              <w:t>Number of</w:t>
            </w:r>
          </w:p>
        </w:tc>
        <w:tc>
          <w:tcPr>
            <w:tcW w:w="1360" w:type="dxa"/>
            <w:vAlign w:val="bottom"/>
            <w:shd w:val="clear" w:color="auto" w:fill="444444"/>
          </w:tcPr>
          <w:p>
            <w:pPr>
              <w:jc w:val="right"/>
              <w:ind w:right="103"/>
              <w:spacing w:after="0"/>
              <w:rPr>
                <w:sz w:val="20"/>
                <w:szCs w:val="20"/>
                <w:color w:val="auto"/>
              </w:rPr>
            </w:pPr>
            <w:r>
              <w:rPr>
                <w:rFonts w:ascii="Arial" w:cs="Arial" w:eastAsia="Arial" w:hAnsi="Arial"/>
                <w:sz w:val="14"/>
                <w:szCs w:val="14"/>
                <w:b w:val="1"/>
                <w:bCs w:val="1"/>
                <w:color w:val="FFFFFF"/>
              </w:rPr>
              <w:t>Present</w:t>
            </w:r>
          </w:p>
        </w:tc>
        <w:tc>
          <w:tcPr>
            <w:tcW w:w="1060" w:type="dxa"/>
            <w:vAlign w:val="bottom"/>
            <w:shd w:val="clear" w:color="auto" w:fill="444444"/>
          </w:tcPr>
          <w:p>
            <w:pPr>
              <w:jc w:val="right"/>
              <w:ind w:right="143"/>
              <w:spacing w:after="0"/>
              <w:rPr>
                <w:sz w:val="20"/>
                <w:szCs w:val="20"/>
                <w:color w:val="auto"/>
              </w:rPr>
            </w:pPr>
            <w:r>
              <w:rPr>
                <w:rFonts w:ascii="Arial" w:cs="Arial" w:eastAsia="Arial" w:hAnsi="Arial"/>
                <w:sz w:val="14"/>
                <w:szCs w:val="14"/>
                <w:b w:val="1"/>
                <w:bCs w:val="1"/>
                <w:color w:val="FFFFFF"/>
              </w:rPr>
              <w:t>During</w:t>
            </w:r>
          </w:p>
        </w:tc>
      </w:tr>
      <w:tr>
        <w:trPr>
          <w:trHeight w:val="162"/>
        </w:trPr>
        <w:tc>
          <w:tcPr>
            <w:tcW w:w="2880" w:type="dxa"/>
            <w:vAlign w:val="bottom"/>
            <w:shd w:val="clear" w:color="auto" w:fill="444444"/>
          </w:tcPr>
          <w:p>
            <w:pPr>
              <w:spacing w:after="0"/>
              <w:rPr>
                <w:sz w:val="14"/>
                <w:szCs w:val="14"/>
                <w:color w:val="auto"/>
              </w:rPr>
            </w:pPr>
          </w:p>
        </w:tc>
        <w:tc>
          <w:tcPr>
            <w:tcW w:w="4480" w:type="dxa"/>
            <w:vAlign w:val="bottom"/>
            <w:shd w:val="clear" w:color="auto" w:fill="444444"/>
          </w:tcPr>
          <w:p>
            <w:pPr>
              <w:spacing w:after="0"/>
              <w:rPr>
                <w:sz w:val="14"/>
                <w:szCs w:val="14"/>
                <w:color w:val="auto"/>
              </w:rPr>
            </w:pPr>
          </w:p>
        </w:tc>
        <w:tc>
          <w:tcPr>
            <w:tcW w:w="1240" w:type="dxa"/>
            <w:vAlign w:val="bottom"/>
            <w:shd w:val="clear" w:color="auto" w:fill="444444"/>
          </w:tcPr>
          <w:p>
            <w:pPr>
              <w:jc w:val="right"/>
              <w:ind w:right="203"/>
              <w:spacing w:after="0"/>
              <w:rPr>
                <w:sz w:val="20"/>
                <w:szCs w:val="20"/>
                <w:color w:val="auto"/>
              </w:rPr>
            </w:pPr>
            <w:r>
              <w:rPr>
                <w:rFonts w:ascii="Arial" w:cs="Arial" w:eastAsia="Arial" w:hAnsi="Arial"/>
                <w:sz w:val="14"/>
                <w:szCs w:val="14"/>
                <w:b w:val="1"/>
                <w:bCs w:val="1"/>
                <w:color w:val="FFFFFF"/>
              </w:rPr>
              <w:t>Years of</w:t>
            </w:r>
          </w:p>
        </w:tc>
        <w:tc>
          <w:tcPr>
            <w:tcW w:w="1360" w:type="dxa"/>
            <w:vAlign w:val="bottom"/>
            <w:shd w:val="clear" w:color="auto" w:fill="444444"/>
          </w:tcPr>
          <w:p>
            <w:pPr>
              <w:jc w:val="right"/>
              <w:ind w:right="103"/>
              <w:spacing w:after="0"/>
              <w:rPr>
                <w:sz w:val="20"/>
                <w:szCs w:val="20"/>
                <w:color w:val="auto"/>
              </w:rPr>
            </w:pPr>
            <w:r>
              <w:rPr>
                <w:rFonts w:ascii="Arial" w:cs="Arial" w:eastAsia="Arial" w:hAnsi="Arial"/>
                <w:sz w:val="14"/>
                <w:szCs w:val="14"/>
                <w:b w:val="1"/>
                <w:bCs w:val="1"/>
                <w:color w:val="FFFFFF"/>
              </w:rPr>
              <w:t>Value of</w:t>
            </w:r>
          </w:p>
        </w:tc>
        <w:tc>
          <w:tcPr>
            <w:tcW w:w="1060" w:type="dxa"/>
            <w:vAlign w:val="bottom"/>
            <w:shd w:val="clear" w:color="auto" w:fill="444444"/>
          </w:tcPr>
          <w:p>
            <w:pPr>
              <w:jc w:val="right"/>
              <w:ind w:right="143"/>
              <w:spacing w:after="0"/>
              <w:rPr>
                <w:sz w:val="20"/>
                <w:szCs w:val="20"/>
                <w:color w:val="auto"/>
              </w:rPr>
            </w:pPr>
            <w:r>
              <w:rPr>
                <w:rFonts w:ascii="Arial" w:cs="Arial" w:eastAsia="Arial" w:hAnsi="Arial"/>
                <w:sz w:val="14"/>
                <w:szCs w:val="14"/>
                <w:b w:val="1"/>
                <w:bCs w:val="1"/>
                <w:color w:val="FFFFFF"/>
              </w:rPr>
              <w:t>Last</w:t>
            </w:r>
          </w:p>
        </w:tc>
      </w:tr>
      <w:tr>
        <w:trPr>
          <w:trHeight w:val="162"/>
        </w:trPr>
        <w:tc>
          <w:tcPr>
            <w:tcW w:w="2880" w:type="dxa"/>
            <w:vAlign w:val="bottom"/>
            <w:shd w:val="clear" w:color="auto" w:fill="444444"/>
          </w:tcPr>
          <w:p>
            <w:pPr>
              <w:spacing w:after="0"/>
              <w:rPr>
                <w:sz w:val="14"/>
                <w:szCs w:val="14"/>
                <w:color w:val="auto"/>
              </w:rPr>
            </w:pPr>
          </w:p>
        </w:tc>
        <w:tc>
          <w:tcPr>
            <w:tcW w:w="4480" w:type="dxa"/>
            <w:vAlign w:val="bottom"/>
            <w:shd w:val="clear" w:color="auto" w:fill="444444"/>
          </w:tcPr>
          <w:p>
            <w:pPr>
              <w:spacing w:after="0"/>
              <w:rPr>
                <w:sz w:val="14"/>
                <w:szCs w:val="14"/>
                <w:color w:val="auto"/>
              </w:rPr>
            </w:pPr>
          </w:p>
        </w:tc>
        <w:tc>
          <w:tcPr>
            <w:tcW w:w="1240" w:type="dxa"/>
            <w:vAlign w:val="bottom"/>
            <w:shd w:val="clear" w:color="auto" w:fill="444444"/>
          </w:tcPr>
          <w:p>
            <w:pPr>
              <w:jc w:val="right"/>
              <w:ind w:right="203"/>
              <w:spacing w:after="0"/>
              <w:rPr>
                <w:sz w:val="20"/>
                <w:szCs w:val="20"/>
                <w:color w:val="auto"/>
              </w:rPr>
            </w:pPr>
            <w:r>
              <w:rPr>
                <w:rFonts w:ascii="Arial" w:cs="Arial" w:eastAsia="Arial" w:hAnsi="Arial"/>
                <w:sz w:val="14"/>
                <w:szCs w:val="14"/>
                <w:b w:val="1"/>
                <w:bCs w:val="1"/>
                <w:color w:val="FFFFFF"/>
              </w:rPr>
              <w:t>Credited</w:t>
            </w:r>
          </w:p>
        </w:tc>
        <w:tc>
          <w:tcPr>
            <w:tcW w:w="1360" w:type="dxa"/>
            <w:vAlign w:val="bottom"/>
            <w:shd w:val="clear" w:color="auto" w:fill="444444"/>
          </w:tcPr>
          <w:p>
            <w:pPr>
              <w:jc w:val="right"/>
              <w:ind w:right="103"/>
              <w:spacing w:after="0"/>
              <w:rPr>
                <w:sz w:val="20"/>
                <w:szCs w:val="20"/>
                <w:color w:val="auto"/>
              </w:rPr>
            </w:pPr>
            <w:r>
              <w:rPr>
                <w:rFonts w:ascii="Arial" w:cs="Arial" w:eastAsia="Arial" w:hAnsi="Arial"/>
                <w:sz w:val="14"/>
                <w:szCs w:val="14"/>
                <w:b w:val="1"/>
                <w:bCs w:val="1"/>
                <w:color w:val="FFFFFF"/>
              </w:rPr>
              <w:t>Accumulated</w:t>
            </w:r>
          </w:p>
        </w:tc>
        <w:tc>
          <w:tcPr>
            <w:tcW w:w="1060" w:type="dxa"/>
            <w:vAlign w:val="bottom"/>
            <w:shd w:val="clear" w:color="auto" w:fill="444444"/>
          </w:tcPr>
          <w:p>
            <w:pPr>
              <w:jc w:val="right"/>
              <w:ind w:right="143"/>
              <w:spacing w:after="0"/>
              <w:rPr>
                <w:sz w:val="20"/>
                <w:szCs w:val="20"/>
                <w:color w:val="auto"/>
              </w:rPr>
            </w:pPr>
            <w:r>
              <w:rPr>
                <w:rFonts w:ascii="Arial" w:cs="Arial" w:eastAsia="Arial" w:hAnsi="Arial"/>
                <w:sz w:val="14"/>
                <w:szCs w:val="14"/>
                <w:b w:val="1"/>
                <w:bCs w:val="1"/>
                <w:color w:val="FFFFFF"/>
              </w:rPr>
              <w:t>Fiscal</w:t>
            </w:r>
          </w:p>
        </w:tc>
      </w:tr>
      <w:tr>
        <w:trPr>
          <w:trHeight w:val="189"/>
        </w:trPr>
        <w:tc>
          <w:tcPr>
            <w:tcW w:w="2880" w:type="dxa"/>
            <w:vAlign w:val="bottom"/>
            <w:shd w:val="clear" w:color="auto" w:fill="444444"/>
          </w:tcPr>
          <w:p>
            <w:pPr>
              <w:ind w:left="80"/>
              <w:spacing w:after="0"/>
              <w:rPr>
                <w:sz w:val="20"/>
                <w:szCs w:val="20"/>
                <w:color w:val="auto"/>
              </w:rPr>
            </w:pPr>
            <w:r>
              <w:rPr>
                <w:rFonts w:ascii="Arial" w:cs="Arial" w:eastAsia="Arial" w:hAnsi="Arial"/>
                <w:sz w:val="14"/>
                <w:szCs w:val="14"/>
                <w:b w:val="1"/>
                <w:bCs w:val="1"/>
                <w:color w:val="FFFFFF"/>
              </w:rPr>
              <w:t>Name</w:t>
            </w:r>
          </w:p>
        </w:tc>
        <w:tc>
          <w:tcPr>
            <w:tcW w:w="4480" w:type="dxa"/>
            <w:vAlign w:val="bottom"/>
            <w:shd w:val="clear" w:color="auto" w:fill="444444"/>
          </w:tcPr>
          <w:p>
            <w:pPr>
              <w:jc w:val="right"/>
              <w:ind w:right="161"/>
              <w:spacing w:after="0" w:line="188" w:lineRule="exact"/>
              <w:rPr>
                <w:sz w:val="20"/>
                <w:szCs w:val="20"/>
                <w:color w:val="auto"/>
              </w:rPr>
            </w:pPr>
            <w:r>
              <w:rPr>
                <w:rFonts w:ascii="Arial" w:cs="Arial" w:eastAsia="Arial" w:hAnsi="Arial"/>
                <w:sz w:val="14"/>
                <w:szCs w:val="14"/>
                <w:b w:val="1"/>
                <w:bCs w:val="1"/>
                <w:color w:val="FFFFFF"/>
              </w:rPr>
              <w:t>Plan Name</w:t>
            </w:r>
            <w:r>
              <w:rPr>
                <w:rFonts w:ascii="Arial" w:cs="Arial" w:eastAsia="Arial" w:hAnsi="Arial"/>
                <w:sz w:val="20"/>
                <w:szCs w:val="20"/>
                <w:b w:val="1"/>
                <w:bCs w:val="1"/>
                <w:color w:val="FFFFFF"/>
                <w:vertAlign w:val="superscript"/>
              </w:rPr>
              <w:t>(1)</w:t>
            </w:r>
          </w:p>
        </w:tc>
        <w:tc>
          <w:tcPr>
            <w:tcW w:w="1240" w:type="dxa"/>
            <w:vAlign w:val="bottom"/>
            <w:shd w:val="clear" w:color="auto" w:fill="444444"/>
          </w:tcPr>
          <w:p>
            <w:pPr>
              <w:jc w:val="right"/>
              <w:ind w:right="203"/>
              <w:spacing w:after="0"/>
              <w:rPr>
                <w:sz w:val="20"/>
                <w:szCs w:val="20"/>
                <w:color w:val="auto"/>
              </w:rPr>
            </w:pPr>
            <w:r>
              <w:rPr>
                <w:rFonts w:ascii="Arial" w:cs="Arial" w:eastAsia="Arial" w:hAnsi="Arial"/>
                <w:sz w:val="14"/>
                <w:szCs w:val="14"/>
                <w:b w:val="1"/>
                <w:bCs w:val="1"/>
                <w:color w:val="FFFFFF"/>
              </w:rPr>
              <w:t>Service (#)</w:t>
            </w:r>
          </w:p>
        </w:tc>
        <w:tc>
          <w:tcPr>
            <w:tcW w:w="1360" w:type="dxa"/>
            <w:vAlign w:val="bottom"/>
            <w:shd w:val="clear" w:color="auto" w:fill="444444"/>
          </w:tcPr>
          <w:p>
            <w:pPr>
              <w:jc w:val="right"/>
              <w:ind w:right="103"/>
              <w:spacing w:after="0" w:line="188" w:lineRule="exact"/>
              <w:rPr>
                <w:sz w:val="20"/>
                <w:szCs w:val="20"/>
                <w:color w:val="auto"/>
              </w:rPr>
            </w:pPr>
            <w:r>
              <w:rPr>
                <w:rFonts w:ascii="Arial" w:cs="Arial" w:eastAsia="Arial" w:hAnsi="Arial"/>
                <w:sz w:val="14"/>
                <w:szCs w:val="14"/>
                <w:b w:val="1"/>
                <w:bCs w:val="1"/>
                <w:color w:val="FFFFFF"/>
              </w:rPr>
              <w:t>Benefit ($)</w:t>
            </w:r>
            <w:r>
              <w:rPr>
                <w:rFonts w:ascii="Arial" w:cs="Arial" w:eastAsia="Arial" w:hAnsi="Arial"/>
                <w:sz w:val="20"/>
                <w:szCs w:val="20"/>
                <w:b w:val="1"/>
                <w:bCs w:val="1"/>
                <w:color w:val="FFFFFF"/>
                <w:vertAlign w:val="superscript"/>
              </w:rPr>
              <w:t>(2)</w:t>
            </w:r>
          </w:p>
        </w:tc>
        <w:tc>
          <w:tcPr>
            <w:tcW w:w="1060" w:type="dxa"/>
            <w:vAlign w:val="bottom"/>
            <w:shd w:val="clear" w:color="auto" w:fill="444444"/>
          </w:tcPr>
          <w:p>
            <w:pPr>
              <w:jc w:val="right"/>
              <w:ind w:right="143"/>
              <w:spacing w:after="0"/>
              <w:rPr>
                <w:sz w:val="20"/>
                <w:szCs w:val="20"/>
                <w:color w:val="auto"/>
              </w:rPr>
            </w:pPr>
            <w:r>
              <w:rPr>
                <w:rFonts w:ascii="Arial" w:cs="Arial" w:eastAsia="Arial" w:hAnsi="Arial"/>
                <w:sz w:val="14"/>
                <w:szCs w:val="14"/>
                <w:b w:val="1"/>
                <w:bCs w:val="1"/>
                <w:color w:val="FFFFFF"/>
              </w:rPr>
              <w:t>Year ($)</w:t>
            </w:r>
          </w:p>
        </w:tc>
      </w:tr>
      <w:tr>
        <w:trPr>
          <w:trHeight w:val="189"/>
        </w:trPr>
        <w:tc>
          <w:tcPr>
            <w:tcW w:w="2880" w:type="dxa"/>
            <w:vAlign w:val="bottom"/>
            <w:shd w:val="clear" w:color="auto" w:fill="E5E5E5"/>
          </w:tcPr>
          <w:p>
            <w:pPr>
              <w:ind w:left="60"/>
              <w:spacing w:after="0"/>
              <w:rPr>
                <w:sz w:val="20"/>
                <w:szCs w:val="20"/>
                <w:color w:val="auto"/>
              </w:rPr>
            </w:pPr>
            <w:r>
              <w:rPr>
                <w:rFonts w:ascii="Arial" w:cs="Arial" w:eastAsia="Arial" w:hAnsi="Arial"/>
                <w:sz w:val="16"/>
                <w:szCs w:val="16"/>
                <w:color w:val="auto"/>
              </w:rPr>
              <w:t>Michael Goettler</w:t>
            </w:r>
          </w:p>
        </w:tc>
        <w:tc>
          <w:tcPr>
            <w:tcW w:w="4480" w:type="dxa"/>
            <w:vAlign w:val="bottom"/>
            <w:shd w:val="clear" w:color="auto" w:fill="E5E5E5"/>
          </w:tcPr>
          <w:p>
            <w:pPr>
              <w:jc w:val="right"/>
              <w:ind w:right="161"/>
              <w:spacing w:after="0"/>
              <w:rPr>
                <w:sz w:val="20"/>
                <w:szCs w:val="20"/>
                <w:color w:val="auto"/>
              </w:rPr>
            </w:pPr>
            <w:r>
              <w:rPr>
                <w:rFonts w:ascii="Arial" w:cs="Arial" w:eastAsia="Arial" w:hAnsi="Arial"/>
                <w:sz w:val="16"/>
                <w:szCs w:val="16"/>
                <w:color w:val="auto"/>
              </w:rPr>
              <w:t>N/A</w:t>
            </w:r>
          </w:p>
        </w:tc>
        <w:tc>
          <w:tcPr>
            <w:tcW w:w="1240" w:type="dxa"/>
            <w:vAlign w:val="bottom"/>
            <w:shd w:val="clear" w:color="auto" w:fill="E5E5E5"/>
          </w:tcPr>
          <w:p>
            <w:pPr>
              <w:jc w:val="right"/>
              <w:ind w:right="203"/>
              <w:spacing w:after="0"/>
              <w:rPr>
                <w:sz w:val="20"/>
                <w:szCs w:val="20"/>
                <w:color w:val="auto"/>
              </w:rPr>
            </w:pPr>
            <w:r>
              <w:rPr>
                <w:rFonts w:ascii="Arial" w:cs="Arial" w:eastAsia="Arial" w:hAnsi="Arial"/>
                <w:sz w:val="16"/>
                <w:szCs w:val="16"/>
                <w:color w:val="auto"/>
              </w:rPr>
              <w:t>N/A</w:t>
            </w:r>
          </w:p>
        </w:tc>
        <w:tc>
          <w:tcPr>
            <w:tcW w:w="1360" w:type="dxa"/>
            <w:vAlign w:val="bottom"/>
            <w:shd w:val="clear" w:color="auto" w:fill="E5E5E5"/>
          </w:tcPr>
          <w:p>
            <w:pPr>
              <w:jc w:val="right"/>
              <w:ind w:right="103"/>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ind w:right="143"/>
              <w:spacing w:after="0"/>
              <w:rPr>
                <w:sz w:val="20"/>
                <w:szCs w:val="20"/>
                <w:color w:val="auto"/>
              </w:rPr>
            </w:pPr>
            <w:r>
              <w:rPr>
                <w:rFonts w:ascii="Arial" w:cs="Arial" w:eastAsia="Arial" w:hAnsi="Arial"/>
                <w:sz w:val="16"/>
                <w:szCs w:val="16"/>
                <w:color w:val="auto"/>
              </w:rPr>
              <w:t>—</w:t>
            </w:r>
          </w:p>
        </w:tc>
      </w:tr>
      <w:tr>
        <w:trPr>
          <w:trHeight w:val="189"/>
        </w:trPr>
        <w:tc>
          <w:tcPr>
            <w:tcW w:w="2880" w:type="dxa"/>
            <w:vAlign w:val="bottom"/>
          </w:tcPr>
          <w:p>
            <w:pPr>
              <w:ind w:left="60"/>
              <w:spacing w:after="0"/>
              <w:rPr>
                <w:sz w:val="20"/>
                <w:szCs w:val="20"/>
                <w:color w:val="auto"/>
              </w:rPr>
            </w:pPr>
            <w:r>
              <w:rPr>
                <w:rFonts w:ascii="Arial" w:cs="Arial" w:eastAsia="Arial" w:hAnsi="Arial"/>
                <w:sz w:val="16"/>
                <w:szCs w:val="16"/>
                <w:color w:val="auto"/>
              </w:rPr>
              <w:t>Sanjeev Narula</w:t>
            </w:r>
          </w:p>
        </w:tc>
        <w:tc>
          <w:tcPr>
            <w:tcW w:w="4480" w:type="dxa"/>
            <w:vAlign w:val="bottom"/>
          </w:tcPr>
          <w:p>
            <w:pPr>
              <w:jc w:val="right"/>
              <w:ind w:right="161"/>
              <w:spacing w:after="0"/>
              <w:rPr>
                <w:sz w:val="20"/>
                <w:szCs w:val="20"/>
                <w:color w:val="auto"/>
              </w:rPr>
            </w:pPr>
            <w:r>
              <w:rPr>
                <w:rFonts w:ascii="Arial" w:cs="Arial" w:eastAsia="Arial" w:hAnsi="Arial"/>
                <w:sz w:val="16"/>
                <w:szCs w:val="16"/>
                <w:color w:val="auto"/>
              </w:rPr>
              <w:t>N/A</w:t>
            </w:r>
          </w:p>
        </w:tc>
        <w:tc>
          <w:tcPr>
            <w:tcW w:w="1240" w:type="dxa"/>
            <w:vAlign w:val="bottom"/>
          </w:tcPr>
          <w:p>
            <w:pPr>
              <w:jc w:val="right"/>
              <w:ind w:right="203"/>
              <w:spacing w:after="0"/>
              <w:rPr>
                <w:sz w:val="20"/>
                <w:szCs w:val="20"/>
                <w:color w:val="auto"/>
              </w:rPr>
            </w:pPr>
            <w:r>
              <w:rPr>
                <w:rFonts w:ascii="Arial" w:cs="Arial" w:eastAsia="Arial" w:hAnsi="Arial"/>
                <w:sz w:val="16"/>
                <w:szCs w:val="16"/>
                <w:color w:val="auto"/>
              </w:rPr>
              <w:t>N/A</w:t>
            </w:r>
          </w:p>
        </w:tc>
        <w:tc>
          <w:tcPr>
            <w:tcW w:w="136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3"/>
              <w:spacing w:after="0"/>
              <w:rPr>
                <w:sz w:val="20"/>
                <w:szCs w:val="20"/>
                <w:color w:val="auto"/>
              </w:rPr>
            </w:pPr>
            <w:r>
              <w:rPr>
                <w:rFonts w:ascii="Arial" w:cs="Arial" w:eastAsia="Arial" w:hAnsi="Arial"/>
                <w:sz w:val="16"/>
                <w:szCs w:val="16"/>
                <w:color w:val="auto"/>
              </w:rPr>
              <w:t>—</w:t>
            </w:r>
          </w:p>
        </w:tc>
      </w:tr>
      <w:tr>
        <w:trPr>
          <w:trHeight w:val="189"/>
        </w:trPr>
        <w:tc>
          <w:tcPr>
            <w:tcW w:w="2880" w:type="dxa"/>
            <w:vAlign w:val="bottom"/>
            <w:shd w:val="clear" w:color="auto" w:fill="E5E5E5"/>
          </w:tcPr>
          <w:p>
            <w:pPr>
              <w:ind w:left="60"/>
              <w:spacing w:after="0"/>
              <w:rPr>
                <w:sz w:val="20"/>
                <w:szCs w:val="20"/>
                <w:color w:val="auto"/>
              </w:rPr>
            </w:pPr>
            <w:r>
              <w:rPr>
                <w:rFonts w:ascii="Arial" w:cs="Arial" w:eastAsia="Arial" w:hAnsi="Arial"/>
                <w:sz w:val="16"/>
                <w:szCs w:val="16"/>
                <w:color w:val="auto"/>
              </w:rPr>
              <w:t>Rajiv Malik</w:t>
            </w:r>
          </w:p>
        </w:tc>
        <w:tc>
          <w:tcPr>
            <w:tcW w:w="4480" w:type="dxa"/>
            <w:vAlign w:val="bottom"/>
            <w:shd w:val="clear" w:color="auto" w:fill="E5E5E5"/>
          </w:tcPr>
          <w:p>
            <w:pPr>
              <w:jc w:val="right"/>
              <w:ind w:right="161"/>
              <w:spacing w:after="0" w:line="189" w:lineRule="exact"/>
              <w:rPr>
                <w:sz w:val="20"/>
                <w:szCs w:val="20"/>
                <w:color w:val="auto"/>
              </w:rPr>
            </w:pPr>
            <w:r>
              <w:rPr>
                <w:rFonts w:ascii="Arial" w:cs="Arial" w:eastAsia="Arial" w:hAnsi="Arial"/>
                <w:sz w:val="16"/>
                <w:szCs w:val="16"/>
                <w:color w:val="auto"/>
              </w:rPr>
              <w:t>The Executive Plan for Rajiv Malik</w:t>
            </w:r>
            <w:r>
              <w:rPr>
                <w:rFonts w:ascii="Arial" w:cs="Arial" w:eastAsia="Arial" w:hAnsi="Arial"/>
                <w:sz w:val="21"/>
                <w:szCs w:val="21"/>
                <w:color w:val="auto"/>
                <w:vertAlign w:val="superscript"/>
              </w:rPr>
              <w:t>(3)</w:t>
            </w:r>
          </w:p>
        </w:tc>
        <w:tc>
          <w:tcPr>
            <w:tcW w:w="1240" w:type="dxa"/>
            <w:vAlign w:val="bottom"/>
            <w:shd w:val="clear" w:color="auto" w:fill="E5E5E5"/>
          </w:tcPr>
          <w:p>
            <w:pPr>
              <w:jc w:val="right"/>
              <w:ind w:right="203"/>
              <w:spacing w:after="0"/>
              <w:rPr>
                <w:sz w:val="20"/>
                <w:szCs w:val="20"/>
                <w:color w:val="auto"/>
              </w:rPr>
            </w:pPr>
            <w:r>
              <w:rPr>
                <w:rFonts w:ascii="Arial" w:cs="Arial" w:eastAsia="Arial" w:hAnsi="Arial"/>
                <w:sz w:val="16"/>
                <w:szCs w:val="16"/>
                <w:color w:val="auto"/>
              </w:rPr>
              <w:t>N/A</w:t>
            </w:r>
          </w:p>
        </w:tc>
        <w:tc>
          <w:tcPr>
            <w:tcW w:w="1360" w:type="dxa"/>
            <w:vAlign w:val="bottom"/>
            <w:shd w:val="clear" w:color="auto" w:fill="E5E5E5"/>
          </w:tcPr>
          <w:p>
            <w:pPr>
              <w:jc w:val="right"/>
              <w:ind w:right="103"/>
              <w:spacing w:after="0"/>
              <w:rPr>
                <w:sz w:val="20"/>
                <w:szCs w:val="20"/>
                <w:color w:val="auto"/>
              </w:rPr>
            </w:pPr>
            <w:r>
              <w:rPr>
                <w:rFonts w:ascii="Arial" w:cs="Arial" w:eastAsia="Arial" w:hAnsi="Arial"/>
                <w:sz w:val="16"/>
                <w:szCs w:val="16"/>
                <w:color w:val="auto"/>
              </w:rPr>
              <w:t>509,732</w:t>
            </w:r>
          </w:p>
        </w:tc>
        <w:tc>
          <w:tcPr>
            <w:tcW w:w="1060" w:type="dxa"/>
            <w:vAlign w:val="bottom"/>
            <w:shd w:val="clear" w:color="auto" w:fill="E5E5E5"/>
          </w:tcPr>
          <w:p>
            <w:pPr>
              <w:jc w:val="right"/>
              <w:ind w:right="143"/>
              <w:spacing w:after="0"/>
              <w:rPr>
                <w:sz w:val="20"/>
                <w:szCs w:val="20"/>
                <w:color w:val="auto"/>
              </w:rPr>
            </w:pPr>
            <w:r>
              <w:rPr>
                <w:rFonts w:ascii="Arial" w:cs="Arial" w:eastAsia="Arial" w:hAnsi="Arial"/>
                <w:sz w:val="16"/>
                <w:szCs w:val="16"/>
                <w:color w:val="auto"/>
              </w:rPr>
              <w:t>—</w:t>
            </w:r>
          </w:p>
        </w:tc>
      </w:tr>
      <w:tr>
        <w:trPr>
          <w:trHeight w:val="189"/>
        </w:trPr>
        <w:tc>
          <w:tcPr>
            <w:tcW w:w="2880" w:type="dxa"/>
            <w:vAlign w:val="bottom"/>
          </w:tcPr>
          <w:p>
            <w:pPr>
              <w:ind w:left="60"/>
              <w:spacing w:after="0"/>
              <w:rPr>
                <w:sz w:val="20"/>
                <w:szCs w:val="20"/>
                <w:color w:val="auto"/>
              </w:rPr>
            </w:pPr>
            <w:r>
              <w:rPr>
                <w:rFonts w:ascii="Arial" w:cs="Arial" w:eastAsia="Arial" w:hAnsi="Arial"/>
                <w:sz w:val="16"/>
                <w:szCs w:val="16"/>
                <w:color w:val="auto"/>
              </w:rPr>
              <w:t>Rajiv Malik</w:t>
            </w:r>
          </w:p>
        </w:tc>
        <w:tc>
          <w:tcPr>
            <w:tcW w:w="4480" w:type="dxa"/>
            <w:vAlign w:val="bottom"/>
          </w:tcPr>
          <w:p>
            <w:pPr>
              <w:jc w:val="right"/>
              <w:ind w:right="161"/>
              <w:spacing w:after="0" w:line="189" w:lineRule="exact"/>
              <w:rPr>
                <w:sz w:val="20"/>
                <w:szCs w:val="20"/>
                <w:color w:val="auto"/>
              </w:rPr>
            </w:pPr>
            <w:r>
              <w:rPr>
                <w:rFonts w:ascii="Arial" w:cs="Arial" w:eastAsia="Arial" w:hAnsi="Arial"/>
                <w:sz w:val="16"/>
                <w:szCs w:val="16"/>
                <w:color w:val="auto"/>
              </w:rPr>
              <w:t>Retirement Benefit Agreement</w:t>
            </w:r>
            <w:r>
              <w:rPr>
                <w:rFonts w:ascii="Arial" w:cs="Arial" w:eastAsia="Arial" w:hAnsi="Arial"/>
                <w:sz w:val="21"/>
                <w:szCs w:val="21"/>
                <w:color w:val="auto"/>
                <w:vertAlign w:val="superscript"/>
              </w:rPr>
              <w:t>(4)</w:t>
            </w:r>
          </w:p>
        </w:tc>
        <w:tc>
          <w:tcPr>
            <w:tcW w:w="1240" w:type="dxa"/>
            <w:vAlign w:val="bottom"/>
          </w:tcPr>
          <w:p>
            <w:pPr>
              <w:jc w:val="right"/>
              <w:ind w:right="203"/>
              <w:spacing w:after="0"/>
              <w:rPr>
                <w:sz w:val="20"/>
                <w:szCs w:val="20"/>
                <w:color w:val="auto"/>
              </w:rPr>
            </w:pPr>
            <w:r>
              <w:rPr>
                <w:rFonts w:ascii="Arial" w:cs="Arial" w:eastAsia="Arial" w:hAnsi="Arial"/>
                <w:sz w:val="16"/>
                <w:szCs w:val="16"/>
                <w:color w:val="auto"/>
              </w:rPr>
              <w:t>15</w:t>
            </w:r>
          </w:p>
        </w:tc>
        <w:tc>
          <w:tcPr>
            <w:tcW w:w="1360" w:type="dxa"/>
            <w:vAlign w:val="bottom"/>
          </w:tcPr>
          <w:p>
            <w:pPr>
              <w:jc w:val="right"/>
              <w:ind w:right="103"/>
              <w:spacing w:after="0"/>
              <w:rPr>
                <w:sz w:val="20"/>
                <w:szCs w:val="20"/>
                <w:color w:val="auto"/>
              </w:rPr>
            </w:pPr>
            <w:r>
              <w:rPr>
                <w:rFonts w:ascii="Arial" w:cs="Arial" w:eastAsia="Arial" w:hAnsi="Arial"/>
                <w:sz w:val="16"/>
                <w:szCs w:val="16"/>
                <w:color w:val="auto"/>
              </w:rPr>
              <w:t>5,342,449</w:t>
            </w:r>
          </w:p>
        </w:tc>
        <w:tc>
          <w:tcPr>
            <w:tcW w:w="1060" w:type="dxa"/>
            <w:vAlign w:val="bottom"/>
          </w:tcPr>
          <w:p>
            <w:pPr>
              <w:jc w:val="right"/>
              <w:ind w:right="143"/>
              <w:spacing w:after="0"/>
              <w:rPr>
                <w:sz w:val="20"/>
                <w:szCs w:val="20"/>
                <w:color w:val="auto"/>
              </w:rPr>
            </w:pPr>
            <w:r>
              <w:rPr>
                <w:rFonts w:ascii="Arial" w:cs="Arial" w:eastAsia="Arial" w:hAnsi="Arial"/>
                <w:sz w:val="16"/>
                <w:szCs w:val="16"/>
                <w:color w:val="auto"/>
              </w:rPr>
              <w:t>—</w:t>
            </w:r>
          </w:p>
        </w:tc>
      </w:tr>
      <w:tr>
        <w:trPr>
          <w:trHeight w:val="189"/>
        </w:trPr>
        <w:tc>
          <w:tcPr>
            <w:tcW w:w="2880" w:type="dxa"/>
            <w:vAlign w:val="bottom"/>
            <w:shd w:val="clear" w:color="auto" w:fill="E5E5E5"/>
          </w:tcPr>
          <w:p>
            <w:pPr>
              <w:ind w:left="60"/>
              <w:spacing w:after="0"/>
              <w:rPr>
                <w:sz w:val="20"/>
                <w:szCs w:val="20"/>
                <w:color w:val="auto"/>
              </w:rPr>
            </w:pPr>
            <w:r>
              <w:rPr>
                <w:rFonts w:ascii="Arial" w:cs="Arial" w:eastAsia="Arial" w:hAnsi="Arial"/>
                <w:sz w:val="16"/>
                <w:szCs w:val="16"/>
                <w:color w:val="auto"/>
              </w:rPr>
              <w:t>Anthony Mauro</w:t>
            </w:r>
          </w:p>
        </w:tc>
        <w:tc>
          <w:tcPr>
            <w:tcW w:w="4480" w:type="dxa"/>
            <w:vAlign w:val="bottom"/>
            <w:shd w:val="clear" w:color="auto" w:fill="E5E5E5"/>
          </w:tcPr>
          <w:p>
            <w:pPr>
              <w:jc w:val="right"/>
              <w:ind w:right="161"/>
              <w:spacing w:after="0"/>
              <w:rPr>
                <w:sz w:val="20"/>
                <w:szCs w:val="20"/>
                <w:color w:val="auto"/>
              </w:rPr>
            </w:pPr>
            <w:r>
              <w:rPr>
                <w:rFonts w:ascii="Arial" w:cs="Arial" w:eastAsia="Arial" w:hAnsi="Arial"/>
                <w:sz w:val="16"/>
                <w:szCs w:val="16"/>
                <w:color w:val="auto"/>
              </w:rPr>
              <w:t>N/A</w:t>
            </w:r>
          </w:p>
        </w:tc>
        <w:tc>
          <w:tcPr>
            <w:tcW w:w="1240" w:type="dxa"/>
            <w:vAlign w:val="bottom"/>
            <w:shd w:val="clear" w:color="auto" w:fill="E5E5E5"/>
          </w:tcPr>
          <w:p>
            <w:pPr>
              <w:jc w:val="right"/>
              <w:ind w:right="203"/>
              <w:spacing w:after="0"/>
              <w:rPr>
                <w:sz w:val="20"/>
                <w:szCs w:val="20"/>
                <w:color w:val="auto"/>
              </w:rPr>
            </w:pPr>
            <w:r>
              <w:rPr>
                <w:rFonts w:ascii="Arial" w:cs="Arial" w:eastAsia="Arial" w:hAnsi="Arial"/>
                <w:sz w:val="16"/>
                <w:szCs w:val="16"/>
                <w:color w:val="auto"/>
              </w:rPr>
              <w:t>N/A</w:t>
            </w:r>
          </w:p>
        </w:tc>
        <w:tc>
          <w:tcPr>
            <w:tcW w:w="1360" w:type="dxa"/>
            <w:vAlign w:val="bottom"/>
            <w:shd w:val="clear" w:color="auto" w:fill="E5E5E5"/>
          </w:tcPr>
          <w:p>
            <w:pPr>
              <w:jc w:val="right"/>
              <w:ind w:right="103"/>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ind w:right="143"/>
              <w:spacing w:after="0"/>
              <w:rPr>
                <w:sz w:val="20"/>
                <w:szCs w:val="20"/>
                <w:color w:val="auto"/>
              </w:rPr>
            </w:pPr>
            <w:r>
              <w:rPr>
                <w:rFonts w:ascii="Arial" w:cs="Arial" w:eastAsia="Arial" w:hAnsi="Arial"/>
                <w:sz w:val="16"/>
                <w:szCs w:val="16"/>
                <w:color w:val="auto"/>
              </w:rPr>
              <w:t>—</w:t>
            </w:r>
          </w:p>
        </w:tc>
      </w:tr>
      <w:tr>
        <w:trPr>
          <w:trHeight w:val="191"/>
        </w:trPr>
        <w:tc>
          <w:tcPr>
            <w:tcW w:w="2880" w:type="dxa"/>
            <w:vAlign w:val="bottom"/>
          </w:tcPr>
          <w:p>
            <w:pPr>
              <w:ind w:left="60"/>
              <w:spacing w:after="0"/>
              <w:rPr>
                <w:sz w:val="20"/>
                <w:szCs w:val="20"/>
                <w:color w:val="auto"/>
              </w:rPr>
            </w:pPr>
            <w:r>
              <w:rPr>
                <w:rFonts w:ascii="Arial" w:cs="Arial" w:eastAsia="Arial" w:hAnsi="Arial"/>
                <w:sz w:val="16"/>
                <w:szCs w:val="16"/>
                <w:color w:val="auto"/>
              </w:rPr>
              <w:t>Robert J. Coury</w:t>
            </w:r>
          </w:p>
        </w:tc>
        <w:tc>
          <w:tcPr>
            <w:tcW w:w="4480" w:type="dxa"/>
            <w:vAlign w:val="bottom"/>
          </w:tcPr>
          <w:p>
            <w:pPr>
              <w:jc w:val="right"/>
              <w:ind w:right="161"/>
              <w:spacing w:after="0"/>
              <w:rPr>
                <w:sz w:val="20"/>
                <w:szCs w:val="20"/>
                <w:color w:val="auto"/>
              </w:rPr>
            </w:pPr>
            <w:r>
              <w:rPr>
                <w:rFonts w:ascii="Arial" w:cs="Arial" w:eastAsia="Arial" w:hAnsi="Arial"/>
                <w:sz w:val="16"/>
                <w:szCs w:val="16"/>
                <w:color w:val="auto"/>
              </w:rPr>
              <w:t>N/A</w:t>
            </w:r>
          </w:p>
        </w:tc>
        <w:tc>
          <w:tcPr>
            <w:tcW w:w="1240" w:type="dxa"/>
            <w:vAlign w:val="bottom"/>
          </w:tcPr>
          <w:p>
            <w:pPr>
              <w:jc w:val="right"/>
              <w:ind w:right="203"/>
              <w:spacing w:after="0"/>
              <w:rPr>
                <w:sz w:val="20"/>
                <w:szCs w:val="20"/>
                <w:color w:val="auto"/>
              </w:rPr>
            </w:pPr>
            <w:r>
              <w:rPr>
                <w:rFonts w:ascii="Arial" w:cs="Arial" w:eastAsia="Arial" w:hAnsi="Arial"/>
                <w:sz w:val="16"/>
                <w:szCs w:val="16"/>
                <w:color w:val="auto"/>
              </w:rPr>
              <w:t>N/A</w:t>
            </w:r>
          </w:p>
        </w:tc>
        <w:tc>
          <w:tcPr>
            <w:tcW w:w="136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3"/>
              <w:spacing w:after="0"/>
              <w:rPr>
                <w:sz w:val="20"/>
                <w:szCs w:val="20"/>
                <w:color w:val="auto"/>
              </w:rPr>
            </w:pPr>
            <w:r>
              <w:rPr>
                <w:rFonts w:ascii="Arial" w:cs="Arial" w:eastAsia="Arial" w:hAnsi="Arial"/>
                <w:sz w:val="16"/>
                <w:szCs w:val="16"/>
                <w:color w:val="auto"/>
              </w:rPr>
              <w:t>—</w:t>
            </w:r>
          </w:p>
        </w:tc>
      </w:tr>
    </w:tbl>
    <w:p>
      <w:pPr>
        <w:ind w:left="540" w:hanging="424"/>
        <w:spacing w:after="0"/>
        <w:tabs>
          <w:tab w:leader="none" w:pos="540" w:val="left"/>
        </w:tabs>
        <w:numPr>
          <w:ilvl w:val="0"/>
          <w:numId w:val="53"/>
        </w:numPr>
        <w:rPr>
          <w:rFonts w:ascii="Arial" w:cs="Arial" w:eastAsia="Arial" w:hAnsi="Arial"/>
          <w:sz w:val="16"/>
          <w:szCs w:val="16"/>
          <w:i w:val="1"/>
          <w:iCs w:val="1"/>
          <w:color w:val="auto"/>
        </w:rPr>
      </w:pPr>
      <w:r>
        <w:rPr>
          <w:rFonts w:ascii="Arial" w:cs="Arial" w:eastAsia="Arial" w:hAnsi="Arial"/>
          <w:sz w:val="16"/>
          <w:szCs w:val="16"/>
          <w:i w:val="1"/>
          <w:iCs w:val="1"/>
          <w:color w:val="auto"/>
        </w:rPr>
        <w:t>Messrs. Goettler, Narula, Mauro and Coury are not party to a defined benefit pension arrangement.</w:t>
      </w:r>
    </w:p>
    <w:p>
      <w:pPr>
        <w:spacing w:after="0" w:line="5" w:lineRule="exact"/>
        <w:rPr>
          <w:rFonts w:ascii="Arial" w:cs="Arial" w:eastAsia="Arial" w:hAnsi="Arial"/>
          <w:sz w:val="16"/>
          <w:szCs w:val="16"/>
          <w:i w:val="1"/>
          <w:iCs w:val="1"/>
          <w:color w:val="auto"/>
        </w:rPr>
      </w:pPr>
    </w:p>
    <w:p>
      <w:pPr>
        <w:ind w:left="540" w:hanging="424"/>
        <w:spacing w:after="0"/>
        <w:tabs>
          <w:tab w:leader="none" w:pos="540" w:val="left"/>
        </w:tabs>
        <w:numPr>
          <w:ilvl w:val="0"/>
          <w:numId w:val="53"/>
        </w:numPr>
        <w:rPr>
          <w:rFonts w:ascii="Arial" w:cs="Arial" w:eastAsia="Arial" w:hAnsi="Arial"/>
          <w:sz w:val="16"/>
          <w:szCs w:val="16"/>
          <w:i w:val="1"/>
          <w:iCs w:val="1"/>
          <w:color w:val="auto"/>
        </w:rPr>
      </w:pPr>
      <w:r>
        <w:rPr>
          <w:rFonts w:ascii="Arial" w:cs="Arial" w:eastAsia="Arial" w:hAnsi="Arial"/>
          <w:sz w:val="16"/>
          <w:szCs w:val="16"/>
          <w:i w:val="1"/>
          <w:iCs w:val="1"/>
          <w:color w:val="auto"/>
        </w:rPr>
        <w:t>See pages 32 and 36 of this Form 10-K/A for further information on the value of the accumulated pension benefit.</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86"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 w:hanging="424"/>
        <w:spacing w:after="0"/>
        <w:tabs>
          <w:tab w:leader="none" w:pos="540"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This is a deferred compensation plan established for the benefit of Mr. Malik. The Company is no longer contributing to this plan.</w:t>
      </w:r>
    </w:p>
    <w:p>
      <w:pPr>
        <w:spacing w:after="0" w:line="21" w:lineRule="exact"/>
        <w:rPr>
          <w:rFonts w:ascii="Arial" w:cs="Arial" w:eastAsia="Arial" w:hAnsi="Arial"/>
          <w:sz w:val="16"/>
          <w:szCs w:val="16"/>
          <w:i w:val="1"/>
          <w:iCs w:val="1"/>
          <w:color w:val="auto"/>
        </w:rPr>
      </w:pPr>
    </w:p>
    <w:p>
      <w:pPr>
        <w:ind w:left="540" w:hanging="424"/>
        <w:spacing w:after="0"/>
        <w:tabs>
          <w:tab w:leader="none" w:pos="540"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The Malik RBA has been frozen. Mr. Malik no longer accrues any additional benefits under the agreement.</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732282"/>
        </w:rPr>
        <w:t>Nonqualified Deferred Compensation</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information relating to the Restoration Plan for 2021.</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00" w:type="dxa"/>
            <w:vAlign w:val="bottom"/>
            <w:shd w:val="clear" w:color="auto" w:fill="444444"/>
          </w:tcPr>
          <w:p>
            <w:pPr>
              <w:spacing w:after="0"/>
              <w:rPr>
                <w:sz w:val="14"/>
                <w:szCs w:val="14"/>
                <w:color w:val="auto"/>
              </w:rPr>
            </w:pPr>
          </w:p>
        </w:tc>
        <w:tc>
          <w:tcPr>
            <w:tcW w:w="2140" w:type="dxa"/>
            <w:vAlign w:val="bottom"/>
            <w:shd w:val="clear" w:color="auto" w:fill="444444"/>
          </w:tcPr>
          <w:p>
            <w:pPr>
              <w:spacing w:after="0"/>
              <w:rPr>
                <w:sz w:val="14"/>
                <w:szCs w:val="14"/>
                <w:color w:val="auto"/>
              </w:rPr>
            </w:pPr>
          </w:p>
        </w:tc>
        <w:tc>
          <w:tcPr>
            <w:tcW w:w="1420" w:type="dxa"/>
            <w:vAlign w:val="bottom"/>
            <w:shd w:val="clear" w:color="auto" w:fill="444444"/>
          </w:tcPr>
          <w:p>
            <w:pPr>
              <w:spacing w:after="0"/>
              <w:rPr>
                <w:sz w:val="14"/>
                <w:szCs w:val="14"/>
                <w:color w:val="auto"/>
              </w:rPr>
            </w:pPr>
          </w:p>
        </w:tc>
        <w:tc>
          <w:tcPr>
            <w:tcW w:w="1440" w:type="dxa"/>
            <w:vAlign w:val="bottom"/>
            <w:shd w:val="clear" w:color="auto" w:fill="444444"/>
          </w:tcPr>
          <w:p>
            <w:pPr>
              <w:jc w:val="right"/>
              <w:ind w:right="164"/>
              <w:spacing w:after="0"/>
              <w:rPr>
                <w:sz w:val="20"/>
                <w:szCs w:val="20"/>
                <w:color w:val="auto"/>
              </w:rPr>
            </w:pPr>
            <w:r>
              <w:rPr>
                <w:rFonts w:ascii="Arial" w:cs="Arial" w:eastAsia="Arial" w:hAnsi="Arial"/>
                <w:sz w:val="14"/>
                <w:szCs w:val="14"/>
                <w:b w:val="1"/>
                <w:bCs w:val="1"/>
                <w:color w:val="FFFFFF"/>
              </w:rPr>
              <w:t>Company</w:t>
            </w:r>
          </w:p>
        </w:tc>
        <w:tc>
          <w:tcPr>
            <w:tcW w:w="1220" w:type="dxa"/>
            <w:vAlign w:val="bottom"/>
            <w:shd w:val="clear" w:color="auto" w:fill="444444"/>
          </w:tcPr>
          <w:p>
            <w:pPr>
              <w:spacing w:after="0"/>
              <w:rPr>
                <w:sz w:val="14"/>
                <w:szCs w:val="14"/>
                <w:color w:val="auto"/>
              </w:rPr>
            </w:pPr>
          </w:p>
        </w:tc>
        <w:tc>
          <w:tcPr>
            <w:tcW w:w="1280" w:type="dxa"/>
            <w:vAlign w:val="bottom"/>
            <w:shd w:val="clear" w:color="auto" w:fill="444444"/>
          </w:tcPr>
          <w:p>
            <w:pPr>
              <w:spacing w:after="0"/>
              <w:rPr>
                <w:sz w:val="14"/>
                <w:szCs w:val="14"/>
                <w:color w:val="auto"/>
              </w:rPr>
            </w:pPr>
          </w:p>
        </w:tc>
        <w:tc>
          <w:tcPr>
            <w:tcW w:w="1120" w:type="dxa"/>
            <w:vAlign w:val="bottom"/>
            <w:shd w:val="clear" w:color="auto" w:fill="444444"/>
          </w:tcPr>
          <w:p>
            <w:pPr>
              <w:spacing w:after="0"/>
              <w:rPr>
                <w:sz w:val="14"/>
                <w:szCs w:val="14"/>
                <w:color w:val="auto"/>
              </w:rPr>
            </w:pPr>
          </w:p>
        </w:tc>
      </w:tr>
      <w:tr>
        <w:trPr>
          <w:trHeight w:val="162"/>
        </w:trPr>
        <w:tc>
          <w:tcPr>
            <w:tcW w:w="2400" w:type="dxa"/>
            <w:vAlign w:val="bottom"/>
            <w:shd w:val="clear" w:color="auto" w:fill="444444"/>
          </w:tcPr>
          <w:p>
            <w:pPr>
              <w:spacing w:after="0"/>
              <w:rPr>
                <w:sz w:val="14"/>
                <w:szCs w:val="14"/>
                <w:color w:val="auto"/>
              </w:rPr>
            </w:pPr>
          </w:p>
        </w:tc>
        <w:tc>
          <w:tcPr>
            <w:tcW w:w="2140" w:type="dxa"/>
            <w:vAlign w:val="bottom"/>
            <w:shd w:val="clear" w:color="auto" w:fill="444444"/>
          </w:tcPr>
          <w:p>
            <w:pPr>
              <w:jc w:val="right"/>
              <w:ind w:right="184"/>
              <w:spacing w:after="0"/>
              <w:rPr>
                <w:sz w:val="20"/>
                <w:szCs w:val="20"/>
                <w:color w:val="auto"/>
              </w:rPr>
            </w:pPr>
            <w:r>
              <w:rPr>
                <w:rFonts w:ascii="Arial" w:cs="Arial" w:eastAsia="Arial" w:hAnsi="Arial"/>
                <w:sz w:val="14"/>
                <w:szCs w:val="14"/>
                <w:b w:val="1"/>
                <w:bCs w:val="1"/>
                <w:color w:val="FFFFFF"/>
              </w:rPr>
              <w:t>Aggregate</w:t>
            </w:r>
          </w:p>
        </w:tc>
        <w:tc>
          <w:tcPr>
            <w:tcW w:w="1420" w:type="dxa"/>
            <w:vAlign w:val="bottom"/>
            <w:shd w:val="clear" w:color="auto" w:fill="444444"/>
          </w:tcPr>
          <w:p>
            <w:pPr>
              <w:spacing w:after="0"/>
              <w:rPr>
                <w:sz w:val="14"/>
                <w:szCs w:val="14"/>
                <w:color w:val="auto"/>
              </w:rPr>
            </w:pPr>
          </w:p>
        </w:tc>
        <w:tc>
          <w:tcPr>
            <w:tcW w:w="1440" w:type="dxa"/>
            <w:vAlign w:val="bottom"/>
            <w:shd w:val="clear" w:color="auto" w:fill="444444"/>
          </w:tcPr>
          <w:p>
            <w:pPr>
              <w:jc w:val="right"/>
              <w:ind w:right="164"/>
              <w:spacing w:after="0"/>
              <w:rPr>
                <w:sz w:val="20"/>
                <w:szCs w:val="20"/>
                <w:color w:val="auto"/>
              </w:rPr>
            </w:pPr>
            <w:r>
              <w:rPr>
                <w:rFonts w:ascii="Arial" w:cs="Arial" w:eastAsia="Arial" w:hAnsi="Arial"/>
                <w:sz w:val="14"/>
                <w:szCs w:val="14"/>
                <w:b w:val="1"/>
                <w:bCs w:val="1"/>
                <w:color w:val="FFFFFF"/>
              </w:rPr>
              <w:t>Profit Sharing</w:t>
            </w:r>
          </w:p>
        </w:tc>
        <w:tc>
          <w:tcPr>
            <w:tcW w:w="1220" w:type="dxa"/>
            <w:vAlign w:val="bottom"/>
            <w:shd w:val="clear" w:color="auto" w:fill="444444"/>
          </w:tcPr>
          <w:p>
            <w:pPr>
              <w:jc w:val="right"/>
              <w:ind w:right="184"/>
              <w:spacing w:after="0"/>
              <w:rPr>
                <w:sz w:val="20"/>
                <w:szCs w:val="20"/>
                <w:color w:val="auto"/>
              </w:rPr>
            </w:pPr>
            <w:r>
              <w:rPr>
                <w:rFonts w:ascii="Arial" w:cs="Arial" w:eastAsia="Arial" w:hAnsi="Arial"/>
                <w:sz w:val="14"/>
                <w:szCs w:val="14"/>
                <w:b w:val="1"/>
                <w:bCs w:val="1"/>
                <w:color w:val="FFFFFF"/>
              </w:rPr>
              <w:t>Aggregate</w:t>
            </w:r>
          </w:p>
        </w:tc>
        <w:tc>
          <w:tcPr>
            <w:tcW w:w="1280" w:type="dxa"/>
            <w:vAlign w:val="bottom"/>
            <w:shd w:val="clear" w:color="auto" w:fill="444444"/>
          </w:tcPr>
          <w:p>
            <w:pPr>
              <w:spacing w:after="0"/>
              <w:rPr>
                <w:sz w:val="14"/>
                <w:szCs w:val="14"/>
                <w:color w:val="auto"/>
              </w:rPr>
            </w:pPr>
          </w:p>
        </w:tc>
        <w:tc>
          <w:tcPr>
            <w:tcW w:w="1120" w:type="dxa"/>
            <w:vAlign w:val="bottom"/>
            <w:shd w:val="clear" w:color="auto" w:fill="444444"/>
          </w:tcPr>
          <w:p>
            <w:pPr>
              <w:spacing w:after="0"/>
              <w:rPr>
                <w:sz w:val="14"/>
                <w:szCs w:val="14"/>
                <w:color w:val="auto"/>
              </w:rPr>
            </w:pPr>
          </w:p>
        </w:tc>
      </w:tr>
      <w:tr>
        <w:trPr>
          <w:trHeight w:val="162"/>
        </w:trPr>
        <w:tc>
          <w:tcPr>
            <w:tcW w:w="2400" w:type="dxa"/>
            <w:vAlign w:val="bottom"/>
            <w:shd w:val="clear" w:color="auto" w:fill="444444"/>
          </w:tcPr>
          <w:p>
            <w:pPr>
              <w:spacing w:after="0"/>
              <w:rPr>
                <w:sz w:val="14"/>
                <w:szCs w:val="14"/>
                <w:color w:val="auto"/>
              </w:rPr>
            </w:pPr>
          </w:p>
        </w:tc>
        <w:tc>
          <w:tcPr>
            <w:tcW w:w="2140" w:type="dxa"/>
            <w:vAlign w:val="bottom"/>
            <w:shd w:val="clear" w:color="auto" w:fill="444444"/>
          </w:tcPr>
          <w:p>
            <w:pPr>
              <w:jc w:val="right"/>
              <w:ind w:right="184"/>
              <w:spacing w:after="0"/>
              <w:rPr>
                <w:sz w:val="20"/>
                <w:szCs w:val="20"/>
                <w:color w:val="auto"/>
              </w:rPr>
            </w:pPr>
            <w:r>
              <w:rPr>
                <w:rFonts w:ascii="Arial" w:cs="Arial" w:eastAsia="Arial" w:hAnsi="Arial"/>
                <w:sz w:val="14"/>
                <w:szCs w:val="14"/>
                <w:b w:val="1"/>
                <w:bCs w:val="1"/>
                <w:color w:val="FFFFFF"/>
              </w:rPr>
              <w:t>Balance</w:t>
            </w:r>
          </w:p>
        </w:tc>
        <w:tc>
          <w:tcPr>
            <w:tcW w:w="1420" w:type="dxa"/>
            <w:vAlign w:val="bottom"/>
            <w:shd w:val="clear" w:color="auto" w:fill="444444"/>
          </w:tcPr>
          <w:p>
            <w:pPr>
              <w:jc w:val="right"/>
              <w:ind w:right="163"/>
              <w:spacing w:after="0"/>
              <w:rPr>
                <w:sz w:val="20"/>
                <w:szCs w:val="20"/>
                <w:color w:val="auto"/>
              </w:rPr>
            </w:pPr>
            <w:r>
              <w:rPr>
                <w:rFonts w:ascii="Arial" w:cs="Arial" w:eastAsia="Arial" w:hAnsi="Arial"/>
                <w:sz w:val="14"/>
                <w:szCs w:val="14"/>
                <w:b w:val="1"/>
                <w:bCs w:val="1"/>
                <w:color w:val="FFFFFF"/>
              </w:rPr>
              <w:t>Executive</w:t>
            </w:r>
          </w:p>
        </w:tc>
        <w:tc>
          <w:tcPr>
            <w:tcW w:w="1440" w:type="dxa"/>
            <w:vAlign w:val="bottom"/>
            <w:shd w:val="clear" w:color="auto" w:fill="444444"/>
          </w:tcPr>
          <w:p>
            <w:pPr>
              <w:jc w:val="right"/>
              <w:ind w:right="164"/>
              <w:spacing w:after="0"/>
              <w:rPr>
                <w:sz w:val="20"/>
                <w:szCs w:val="20"/>
                <w:color w:val="auto"/>
              </w:rPr>
            </w:pPr>
            <w:r>
              <w:rPr>
                <w:rFonts w:ascii="Arial" w:cs="Arial" w:eastAsia="Arial" w:hAnsi="Arial"/>
                <w:sz w:val="14"/>
                <w:szCs w:val="14"/>
                <w:b w:val="1"/>
                <w:bCs w:val="1"/>
                <w:color w:val="FFFFFF"/>
              </w:rPr>
              <w:t>and Match</w:t>
            </w:r>
          </w:p>
        </w:tc>
        <w:tc>
          <w:tcPr>
            <w:tcW w:w="1220" w:type="dxa"/>
            <w:vAlign w:val="bottom"/>
            <w:shd w:val="clear" w:color="auto" w:fill="444444"/>
          </w:tcPr>
          <w:p>
            <w:pPr>
              <w:jc w:val="right"/>
              <w:ind w:right="184"/>
              <w:spacing w:after="0"/>
              <w:rPr>
                <w:sz w:val="20"/>
                <w:szCs w:val="20"/>
                <w:color w:val="auto"/>
              </w:rPr>
            </w:pPr>
            <w:r>
              <w:rPr>
                <w:rFonts w:ascii="Arial" w:cs="Arial" w:eastAsia="Arial" w:hAnsi="Arial"/>
                <w:sz w:val="14"/>
                <w:szCs w:val="14"/>
                <w:b w:val="1"/>
                <w:bCs w:val="1"/>
                <w:color w:val="FFFFFF"/>
              </w:rPr>
              <w:t>Earnings</w:t>
            </w:r>
          </w:p>
        </w:tc>
        <w:tc>
          <w:tcPr>
            <w:tcW w:w="1280" w:type="dxa"/>
            <w:vAlign w:val="bottom"/>
            <w:shd w:val="clear" w:color="auto" w:fill="444444"/>
          </w:tcPr>
          <w:p>
            <w:pPr>
              <w:jc w:val="right"/>
              <w:ind w:right="83"/>
              <w:spacing w:after="0"/>
              <w:rPr>
                <w:sz w:val="20"/>
                <w:szCs w:val="20"/>
                <w:color w:val="auto"/>
              </w:rPr>
            </w:pPr>
            <w:r>
              <w:rPr>
                <w:rFonts w:ascii="Arial" w:cs="Arial" w:eastAsia="Arial" w:hAnsi="Arial"/>
                <w:sz w:val="14"/>
                <w:szCs w:val="14"/>
                <w:b w:val="1"/>
                <w:bCs w:val="1"/>
                <w:color w:val="FFFFFF"/>
              </w:rPr>
              <w:t>Aggregate</w:t>
            </w:r>
          </w:p>
        </w:tc>
        <w:tc>
          <w:tcPr>
            <w:tcW w:w="1120" w:type="dxa"/>
            <w:vAlign w:val="bottom"/>
            <w:shd w:val="clear" w:color="auto" w:fill="444444"/>
          </w:tcPr>
          <w:p>
            <w:pPr>
              <w:jc w:val="right"/>
              <w:ind w:right="143"/>
              <w:spacing w:after="0"/>
              <w:rPr>
                <w:sz w:val="20"/>
                <w:szCs w:val="20"/>
                <w:color w:val="auto"/>
              </w:rPr>
            </w:pPr>
            <w:r>
              <w:rPr>
                <w:rFonts w:ascii="Arial" w:cs="Arial" w:eastAsia="Arial" w:hAnsi="Arial"/>
                <w:sz w:val="14"/>
                <w:szCs w:val="14"/>
                <w:b w:val="1"/>
                <w:bCs w:val="1"/>
                <w:color w:val="FFFFFF"/>
              </w:rPr>
              <w:t>Aggregate</w:t>
            </w:r>
          </w:p>
        </w:tc>
      </w:tr>
      <w:tr>
        <w:trPr>
          <w:trHeight w:val="162"/>
        </w:trPr>
        <w:tc>
          <w:tcPr>
            <w:tcW w:w="2400" w:type="dxa"/>
            <w:vAlign w:val="bottom"/>
            <w:shd w:val="clear" w:color="auto" w:fill="444444"/>
          </w:tcPr>
          <w:p>
            <w:pPr>
              <w:spacing w:after="0"/>
              <w:rPr>
                <w:sz w:val="14"/>
                <w:szCs w:val="14"/>
                <w:color w:val="auto"/>
              </w:rPr>
            </w:pPr>
          </w:p>
        </w:tc>
        <w:tc>
          <w:tcPr>
            <w:tcW w:w="2140" w:type="dxa"/>
            <w:vAlign w:val="bottom"/>
            <w:shd w:val="clear" w:color="auto" w:fill="444444"/>
          </w:tcPr>
          <w:p>
            <w:pPr>
              <w:jc w:val="right"/>
              <w:ind w:right="184"/>
              <w:spacing w:after="0"/>
              <w:rPr>
                <w:sz w:val="20"/>
                <w:szCs w:val="20"/>
                <w:color w:val="auto"/>
              </w:rPr>
            </w:pPr>
            <w:r>
              <w:rPr>
                <w:rFonts w:ascii="Arial" w:cs="Arial" w:eastAsia="Arial" w:hAnsi="Arial"/>
                <w:sz w:val="14"/>
                <w:szCs w:val="14"/>
                <w:b w:val="1"/>
                <w:bCs w:val="1"/>
                <w:color w:val="FFFFFF"/>
              </w:rPr>
              <w:t>at Last</w:t>
            </w:r>
          </w:p>
        </w:tc>
        <w:tc>
          <w:tcPr>
            <w:tcW w:w="1420" w:type="dxa"/>
            <w:vAlign w:val="bottom"/>
            <w:shd w:val="clear" w:color="auto" w:fill="444444"/>
          </w:tcPr>
          <w:p>
            <w:pPr>
              <w:jc w:val="right"/>
              <w:ind w:right="163"/>
              <w:spacing w:after="0"/>
              <w:rPr>
                <w:sz w:val="20"/>
                <w:szCs w:val="20"/>
                <w:color w:val="auto"/>
              </w:rPr>
            </w:pPr>
            <w:r>
              <w:rPr>
                <w:rFonts w:ascii="Arial" w:cs="Arial" w:eastAsia="Arial" w:hAnsi="Arial"/>
                <w:sz w:val="14"/>
                <w:szCs w:val="14"/>
                <w:b w:val="1"/>
                <w:bCs w:val="1"/>
                <w:color w:val="FFFFFF"/>
              </w:rPr>
              <w:t>Contributions</w:t>
            </w:r>
          </w:p>
        </w:tc>
        <w:tc>
          <w:tcPr>
            <w:tcW w:w="1440" w:type="dxa"/>
            <w:vAlign w:val="bottom"/>
            <w:shd w:val="clear" w:color="auto" w:fill="444444"/>
          </w:tcPr>
          <w:p>
            <w:pPr>
              <w:jc w:val="right"/>
              <w:ind w:right="164"/>
              <w:spacing w:after="0"/>
              <w:rPr>
                <w:sz w:val="20"/>
                <w:szCs w:val="20"/>
                <w:color w:val="auto"/>
              </w:rPr>
            </w:pPr>
            <w:r>
              <w:rPr>
                <w:rFonts w:ascii="Arial" w:cs="Arial" w:eastAsia="Arial" w:hAnsi="Arial"/>
                <w:sz w:val="14"/>
                <w:szCs w:val="14"/>
                <w:b w:val="1"/>
                <w:bCs w:val="1"/>
                <w:color w:val="FFFFFF"/>
              </w:rPr>
              <w:t>Contributions</w:t>
            </w:r>
          </w:p>
        </w:tc>
        <w:tc>
          <w:tcPr>
            <w:tcW w:w="1220" w:type="dxa"/>
            <w:vAlign w:val="bottom"/>
            <w:shd w:val="clear" w:color="auto" w:fill="444444"/>
          </w:tcPr>
          <w:p>
            <w:pPr>
              <w:jc w:val="right"/>
              <w:ind w:right="184"/>
              <w:spacing w:after="0"/>
              <w:rPr>
                <w:sz w:val="20"/>
                <w:szCs w:val="20"/>
                <w:color w:val="auto"/>
              </w:rPr>
            </w:pPr>
            <w:r>
              <w:rPr>
                <w:rFonts w:ascii="Arial" w:cs="Arial" w:eastAsia="Arial" w:hAnsi="Arial"/>
                <w:sz w:val="14"/>
                <w:szCs w:val="14"/>
                <w:b w:val="1"/>
                <w:bCs w:val="1"/>
                <w:color w:val="FFFFFF"/>
              </w:rPr>
              <w:t>(Loss) in</w:t>
            </w:r>
          </w:p>
        </w:tc>
        <w:tc>
          <w:tcPr>
            <w:tcW w:w="1280" w:type="dxa"/>
            <w:vAlign w:val="bottom"/>
            <w:shd w:val="clear" w:color="auto" w:fill="444444"/>
          </w:tcPr>
          <w:p>
            <w:pPr>
              <w:jc w:val="right"/>
              <w:ind w:right="83"/>
              <w:spacing w:after="0"/>
              <w:rPr>
                <w:sz w:val="20"/>
                <w:szCs w:val="20"/>
                <w:color w:val="auto"/>
              </w:rPr>
            </w:pPr>
            <w:r>
              <w:rPr>
                <w:rFonts w:ascii="Arial" w:cs="Arial" w:eastAsia="Arial" w:hAnsi="Arial"/>
                <w:sz w:val="14"/>
                <w:szCs w:val="14"/>
                <w:b w:val="1"/>
                <w:bCs w:val="1"/>
                <w:color w:val="FFFFFF"/>
              </w:rPr>
              <w:t>Withdrawals/</w:t>
            </w:r>
          </w:p>
        </w:tc>
        <w:tc>
          <w:tcPr>
            <w:tcW w:w="1120" w:type="dxa"/>
            <w:vAlign w:val="bottom"/>
            <w:shd w:val="clear" w:color="auto" w:fill="444444"/>
          </w:tcPr>
          <w:p>
            <w:pPr>
              <w:jc w:val="right"/>
              <w:ind w:right="143"/>
              <w:spacing w:after="0"/>
              <w:rPr>
                <w:sz w:val="20"/>
                <w:szCs w:val="20"/>
                <w:color w:val="auto"/>
              </w:rPr>
            </w:pPr>
            <w:r>
              <w:rPr>
                <w:rFonts w:ascii="Arial" w:cs="Arial" w:eastAsia="Arial" w:hAnsi="Arial"/>
                <w:sz w:val="14"/>
                <w:szCs w:val="14"/>
                <w:b w:val="1"/>
                <w:bCs w:val="1"/>
                <w:color w:val="FFFFFF"/>
              </w:rPr>
              <w:t>Balance</w:t>
            </w:r>
          </w:p>
        </w:tc>
      </w:tr>
      <w:tr>
        <w:trPr>
          <w:trHeight w:val="162"/>
        </w:trPr>
        <w:tc>
          <w:tcPr>
            <w:tcW w:w="2400" w:type="dxa"/>
            <w:vAlign w:val="bottom"/>
            <w:shd w:val="clear" w:color="auto" w:fill="444444"/>
          </w:tcPr>
          <w:p>
            <w:pPr>
              <w:spacing w:after="0"/>
              <w:rPr>
                <w:sz w:val="14"/>
                <w:szCs w:val="14"/>
                <w:color w:val="auto"/>
              </w:rPr>
            </w:pPr>
          </w:p>
        </w:tc>
        <w:tc>
          <w:tcPr>
            <w:tcW w:w="2140" w:type="dxa"/>
            <w:vAlign w:val="bottom"/>
            <w:shd w:val="clear" w:color="auto" w:fill="444444"/>
          </w:tcPr>
          <w:p>
            <w:pPr>
              <w:jc w:val="right"/>
              <w:ind w:right="184"/>
              <w:spacing w:after="0"/>
              <w:rPr>
                <w:sz w:val="20"/>
                <w:szCs w:val="20"/>
                <w:color w:val="auto"/>
              </w:rPr>
            </w:pPr>
            <w:r>
              <w:rPr>
                <w:rFonts w:ascii="Arial" w:cs="Arial" w:eastAsia="Arial" w:hAnsi="Arial"/>
                <w:sz w:val="14"/>
                <w:szCs w:val="14"/>
                <w:b w:val="1"/>
                <w:bCs w:val="1"/>
                <w:color w:val="FFFFFF"/>
              </w:rPr>
              <w:t>FYE</w:t>
            </w:r>
          </w:p>
        </w:tc>
        <w:tc>
          <w:tcPr>
            <w:tcW w:w="1420" w:type="dxa"/>
            <w:vAlign w:val="bottom"/>
            <w:shd w:val="clear" w:color="auto" w:fill="444444"/>
          </w:tcPr>
          <w:p>
            <w:pPr>
              <w:jc w:val="right"/>
              <w:ind w:right="163"/>
              <w:spacing w:after="0"/>
              <w:rPr>
                <w:sz w:val="20"/>
                <w:szCs w:val="20"/>
                <w:color w:val="auto"/>
              </w:rPr>
            </w:pPr>
            <w:r>
              <w:rPr>
                <w:rFonts w:ascii="Arial" w:cs="Arial" w:eastAsia="Arial" w:hAnsi="Arial"/>
                <w:sz w:val="14"/>
                <w:szCs w:val="14"/>
                <w:b w:val="1"/>
                <w:bCs w:val="1"/>
                <w:color w:val="FFFFFF"/>
              </w:rPr>
              <w:t>in Last FY</w:t>
            </w:r>
          </w:p>
        </w:tc>
        <w:tc>
          <w:tcPr>
            <w:tcW w:w="1440" w:type="dxa"/>
            <w:vAlign w:val="bottom"/>
            <w:shd w:val="clear" w:color="auto" w:fill="444444"/>
          </w:tcPr>
          <w:p>
            <w:pPr>
              <w:jc w:val="right"/>
              <w:ind w:right="164"/>
              <w:spacing w:after="0"/>
              <w:rPr>
                <w:sz w:val="20"/>
                <w:szCs w:val="20"/>
                <w:color w:val="auto"/>
              </w:rPr>
            </w:pPr>
            <w:r>
              <w:rPr>
                <w:rFonts w:ascii="Arial" w:cs="Arial" w:eastAsia="Arial" w:hAnsi="Arial"/>
                <w:sz w:val="14"/>
                <w:szCs w:val="14"/>
                <w:b w:val="1"/>
                <w:bCs w:val="1"/>
                <w:color w:val="FFFFFF"/>
              </w:rPr>
              <w:t>in Last FY</w:t>
            </w:r>
          </w:p>
        </w:tc>
        <w:tc>
          <w:tcPr>
            <w:tcW w:w="1220" w:type="dxa"/>
            <w:vAlign w:val="bottom"/>
            <w:shd w:val="clear" w:color="auto" w:fill="444444"/>
          </w:tcPr>
          <w:p>
            <w:pPr>
              <w:jc w:val="right"/>
              <w:ind w:right="184"/>
              <w:spacing w:after="0"/>
              <w:rPr>
                <w:sz w:val="20"/>
                <w:szCs w:val="20"/>
                <w:color w:val="auto"/>
              </w:rPr>
            </w:pPr>
            <w:r>
              <w:rPr>
                <w:rFonts w:ascii="Arial" w:cs="Arial" w:eastAsia="Arial" w:hAnsi="Arial"/>
                <w:sz w:val="14"/>
                <w:szCs w:val="14"/>
                <w:b w:val="1"/>
                <w:bCs w:val="1"/>
                <w:color w:val="FFFFFF"/>
              </w:rPr>
              <w:t>Last FY</w:t>
            </w:r>
          </w:p>
        </w:tc>
        <w:tc>
          <w:tcPr>
            <w:tcW w:w="1280" w:type="dxa"/>
            <w:vAlign w:val="bottom"/>
            <w:shd w:val="clear" w:color="auto" w:fill="444444"/>
          </w:tcPr>
          <w:p>
            <w:pPr>
              <w:jc w:val="right"/>
              <w:ind w:right="83"/>
              <w:spacing w:after="0"/>
              <w:rPr>
                <w:sz w:val="20"/>
                <w:szCs w:val="20"/>
                <w:color w:val="auto"/>
              </w:rPr>
            </w:pPr>
            <w:r>
              <w:rPr>
                <w:rFonts w:ascii="Arial" w:cs="Arial" w:eastAsia="Arial" w:hAnsi="Arial"/>
                <w:sz w:val="14"/>
                <w:szCs w:val="14"/>
                <w:b w:val="1"/>
                <w:bCs w:val="1"/>
                <w:color w:val="FFFFFF"/>
              </w:rPr>
              <w:t>Distributions</w:t>
            </w:r>
          </w:p>
        </w:tc>
        <w:tc>
          <w:tcPr>
            <w:tcW w:w="1120" w:type="dxa"/>
            <w:vAlign w:val="bottom"/>
            <w:shd w:val="clear" w:color="auto" w:fill="444444"/>
          </w:tcPr>
          <w:p>
            <w:pPr>
              <w:jc w:val="right"/>
              <w:ind w:right="143"/>
              <w:spacing w:after="0"/>
              <w:rPr>
                <w:sz w:val="20"/>
                <w:szCs w:val="20"/>
                <w:color w:val="auto"/>
              </w:rPr>
            </w:pPr>
            <w:r>
              <w:rPr>
                <w:rFonts w:ascii="Arial" w:cs="Arial" w:eastAsia="Arial" w:hAnsi="Arial"/>
                <w:sz w:val="14"/>
                <w:szCs w:val="14"/>
                <w:b w:val="1"/>
                <w:bCs w:val="1"/>
                <w:color w:val="FFFFFF"/>
              </w:rPr>
              <w:t>at FYE</w:t>
            </w:r>
          </w:p>
        </w:tc>
      </w:tr>
      <w:tr>
        <w:trPr>
          <w:trHeight w:val="189"/>
        </w:trPr>
        <w:tc>
          <w:tcPr>
            <w:tcW w:w="2400" w:type="dxa"/>
            <w:vAlign w:val="bottom"/>
            <w:shd w:val="clear" w:color="auto" w:fill="444444"/>
          </w:tcPr>
          <w:p>
            <w:pPr>
              <w:ind w:left="80"/>
              <w:spacing w:after="0"/>
              <w:rPr>
                <w:sz w:val="20"/>
                <w:szCs w:val="20"/>
                <w:color w:val="auto"/>
              </w:rPr>
            </w:pPr>
            <w:r>
              <w:rPr>
                <w:rFonts w:ascii="Arial" w:cs="Arial" w:eastAsia="Arial" w:hAnsi="Arial"/>
                <w:sz w:val="14"/>
                <w:szCs w:val="14"/>
                <w:b w:val="1"/>
                <w:bCs w:val="1"/>
                <w:color w:val="FFFFFF"/>
              </w:rPr>
              <w:t>Name</w:t>
            </w:r>
          </w:p>
        </w:tc>
        <w:tc>
          <w:tcPr>
            <w:tcW w:w="2140" w:type="dxa"/>
            <w:vAlign w:val="bottom"/>
            <w:shd w:val="clear" w:color="auto" w:fill="444444"/>
          </w:tcPr>
          <w:p>
            <w:pPr>
              <w:jc w:val="right"/>
              <w:ind w:right="184"/>
              <w:spacing w:after="0"/>
              <w:rPr>
                <w:sz w:val="20"/>
                <w:szCs w:val="20"/>
                <w:color w:val="auto"/>
              </w:rPr>
            </w:pPr>
            <w:r>
              <w:rPr>
                <w:rFonts w:ascii="Arial" w:cs="Arial" w:eastAsia="Arial" w:hAnsi="Arial"/>
                <w:sz w:val="14"/>
                <w:szCs w:val="14"/>
                <w:b w:val="1"/>
                <w:bCs w:val="1"/>
                <w:color w:val="FFFFFF"/>
              </w:rPr>
              <w:t>($)</w:t>
            </w:r>
          </w:p>
        </w:tc>
        <w:tc>
          <w:tcPr>
            <w:tcW w:w="1420" w:type="dxa"/>
            <w:vAlign w:val="bottom"/>
            <w:shd w:val="clear" w:color="auto" w:fill="444444"/>
          </w:tcPr>
          <w:p>
            <w:pPr>
              <w:jc w:val="right"/>
              <w:ind w:right="163"/>
              <w:spacing w:after="0"/>
              <w:rPr>
                <w:sz w:val="20"/>
                <w:szCs w:val="20"/>
                <w:color w:val="auto"/>
              </w:rPr>
            </w:pPr>
            <w:r>
              <w:rPr>
                <w:rFonts w:ascii="Arial" w:cs="Arial" w:eastAsia="Arial" w:hAnsi="Arial"/>
                <w:sz w:val="14"/>
                <w:szCs w:val="14"/>
                <w:b w:val="1"/>
                <w:bCs w:val="1"/>
                <w:color w:val="FFFFFF"/>
              </w:rPr>
              <w:t>($)</w:t>
            </w:r>
          </w:p>
        </w:tc>
        <w:tc>
          <w:tcPr>
            <w:tcW w:w="1440" w:type="dxa"/>
            <w:vAlign w:val="bottom"/>
            <w:shd w:val="clear" w:color="auto" w:fill="444444"/>
          </w:tcPr>
          <w:p>
            <w:pPr>
              <w:jc w:val="right"/>
              <w:ind w:right="164"/>
              <w:spacing w:after="0"/>
              <w:rPr>
                <w:sz w:val="20"/>
                <w:szCs w:val="20"/>
                <w:color w:val="auto"/>
              </w:rPr>
            </w:pPr>
            <w:r>
              <w:rPr>
                <w:rFonts w:ascii="Arial" w:cs="Arial" w:eastAsia="Arial" w:hAnsi="Arial"/>
                <w:sz w:val="14"/>
                <w:szCs w:val="14"/>
                <w:b w:val="1"/>
                <w:bCs w:val="1"/>
                <w:color w:val="FFFFFF"/>
              </w:rPr>
              <w:t>($)</w:t>
            </w:r>
          </w:p>
        </w:tc>
        <w:tc>
          <w:tcPr>
            <w:tcW w:w="1220" w:type="dxa"/>
            <w:vAlign w:val="bottom"/>
            <w:shd w:val="clear" w:color="auto" w:fill="444444"/>
          </w:tcPr>
          <w:p>
            <w:pPr>
              <w:jc w:val="right"/>
              <w:ind w:right="184"/>
              <w:spacing w:after="0"/>
              <w:rPr>
                <w:sz w:val="20"/>
                <w:szCs w:val="20"/>
                <w:color w:val="auto"/>
              </w:rPr>
            </w:pPr>
            <w:r>
              <w:rPr>
                <w:rFonts w:ascii="Arial" w:cs="Arial" w:eastAsia="Arial" w:hAnsi="Arial"/>
                <w:sz w:val="14"/>
                <w:szCs w:val="14"/>
                <w:b w:val="1"/>
                <w:bCs w:val="1"/>
                <w:color w:val="FFFFFF"/>
              </w:rPr>
              <w:t>($)</w:t>
            </w:r>
          </w:p>
        </w:tc>
        <w:tc>
          <w:tcPr>
            <w:tcW w:w="1280" w:type="dxa"/>
            <w:vAlign w:val="bottom"/>
            <w:shd w:val="clear" w:color="auto" w:fill="444444"/>
          </w:tcPr>
          <w:p>
            <w:pPr>
              <w:jc w:val="right"/>
              <w:ind w:right="83"/>
              <w:spacing w:after="0"/>
              <w:rPr>
                <w:sz w:val="20"/>
                <w:szCs w:val="20"/>
                <w:color w:val="auto"/>
              </w:rPr>
            </w:pPr>
            <w:r>
              <w:rPr>
                <w:rFonts w:ascii="Arial" w:cs="Arial" w:eastAsia="Arial" w:hAnsi="Arial"/>
                <w:sz w:val="14"/>
                <w:szCs w:val="14"/>
                <w:b w:val="1"/>
                <w:bCs w:val="1"/>
                <w:color w:val="FFFFFF"/>
              </w:rPr>
              <w:t>($)</w:t>
            </w:r>
          </w:p>
        </w:tc>
        <w:tc>
          <w:tcPr>
            <w:tcW w:w="1120" w:type="dxa"/>
            <w:vAlign w:val="bottom"/>
            <w:shd w:val="clear" w:color="auto" w:fill="444444"/>
          </w:tcPr>
          <w:p>
            <w:pPr>
              <w:jc w:val="right"/>
              <w:ind w:right="143"/>
              <w:spacing w:after="0"/>
              <w:rPr>
                <w:sz w:val="20"/>
                <w:szCs w:val="20"/>
                <w:color w:val="auto"/>
              </w:rPr>
            </w:pPr>
            <w:r>
              <w:rPr>
                <w:rFonts w:ascii="Arial" w:cs="Arial" w:eastAsia="Arial" w:hAnsi="Arial"/>
                <w:sz w:val="14"/>
                <w:szCs w:val="14"/>
                <w:b w:val="1"/>
                <w:bCs w:val="1"/>
                <w:color w:val="FFFFFF"/>
              </w:rPr>
              <w:t>($)</w:t>
            </w:r>
          </w:p>
        </w:tc>
      </w:tr>
      <w:tr>
        <w:trPr>
          <w:trHeight w:val="189"/>
        </w:trPr>
        <w:tc>
          <w:tcPr>
            <w:tcW w:w="2400" w:type="dxa"/>
            <w:vAlign w:val="bottom"/>
            <w:shd w:val="clear" w:color="auto" w:fill="E5E5E5"/>
          </w:tcPr>
          <w:p>
            <w:pPr>
              <w:ind w:left="60"/>
              <w:spacing w:after="0"/>
              <w:rPr>
                <w:sz w:val="20"/>
                <w:szCs w:val="20"/>
                <w:color w:val="auto"/>
              </w:rPr>
            </w:pPr>
            <w:r>
              <w:rPr>
                <w:rFonts w:ascii="Arial" w:cs="Arial" w:eastAsia="Arial" w:hAnsi="Arial"/>
                <w:sz w:val="16"/>
                <w:szCs w:val="16"/>
                <w:color w:val="auto"/>
              </w:rPr>
              <w:t>Michael Goettler</w:t>
            </w:r>
          </w:p>
        </w:tc>
        <w:tc>
          <w:tcPr>
            <w:tcW w:w="2140" w:type="dxa"/>
            <w:vAlign w:val="bottom"/>
            <w:shd w:val="clear" w:color="auto" w:fill="E5E5E5"/>
          </w:tcPr>
          <w:p>
            <w:pPr>
              <w:jc w:val="right"/>
              <w:ind w:right="184"/>
              <w:spacing w:after="0"/>
              <w:rPr>
                <w:sz w:val="20"/>
                <w:szCs w:val="20"/>
                <w:color w:val="auto"/>
              </w:rPr>
            </w:pPr>
            <w:r>
              <w:rPr>
                <w:rFonts w:ascii="Arial" w:cs="Arial" w:eastAsia="Arial" w:hAnsi="Arial"/>
                <w:sz w:val="16"/>
                <w:szCs w:val="16"/>
                <w:color w:val="auto"/>
              </w:rPr>
              <w:t>—</w:t>
            </w:r>
          </w:p>
        </w:tc>
        <w:tc>
          <w:tcPr>
            <w:tcW w:w="1420" w:type="dxa"/>
            <w:vAlign w:val="bottom"/>
            <w:shd w:val="clear" w:color="auto" w:fill="E5E5E5"/>
          </w:tcPr>
          <w:p>
            <w:pPr>
              <w:jc w:val="right"/>
              <w:ind w:right="163"/>
              <w:spacing w:after="0"/>
              <w:rPr>
                <w:sz w:val="20"/>
                <w:szCs w:val="20"/>
                <w:color w:val="auto"/>
              </w:rPr>
            </w:pPr>
            <w:r>
              <w:rPr>
                <w:rFonts w:ascii="Arial" w:cs="Arial" w:eastAsia="Arial" w:hAnsi="Arial"/>
                <w:sz w:val="16"/>
                <w:szCs w:val="16"/>
                <w:color w:val="auto"/>
              </w:rPr>
              <w:t>78,467</w:t>
            </w:r>
          </w:p>
        </w:tc>
        <w:tc>
          <w:tcPr>
            <w:tcW w:w="1440" w:type="dxa"/>
            <w:vAlign w:val="bottom"/>
            <w:shd w:val="clear" w:color="auto" w:fill="E5E5E5"/>
          </w:tcPr>
          <w:p>
            <w:pPr>
              <w:jc w:val="right"/>
              <w:ind w:right="164"/>
              <w:spacing w:after="0"/>
              <w:rPr>
                <w:sz w:val="20"/>
                <w:szCs w:val="20"/>
                <w:color w:val="auto"/>
              </w:rPr>
            </w:pPr>
            <w:r>
              <w:rPr>
                <w:rFonts w:ascii="Arial" w:cs="Arial" w:eastAsia="Arial" w:hAnsi="Arial"/>
                <w:sz w:val="16"/>
                <w:szCs w:val="16"/>
                <w:color w:val="auto"/>
              </w:rPr>
              <w:t>78,467</w:t>
            </w:r>
          </w:p>
        </w:tc>
        <w:tc>
          <w:tcPr>
            <w:tcW w:w="1220" w:type="dxa"/>
            <w:vAlign w:val="bottom"/>
            <w:shd w:val="clear" w:color="auto" w:fill="E5E5E5"/>
          </w:tcPr>
          <w:p>
            <w:pPr>
              <w:jc w:val="right"/>
              <w:ind w:right="184"/>
              <w:spacing w:after="0"/>
              <w:rPr>
                <w:sz w:val="20"/>
                <w:szCs w:val="20"/>
                <w:color w:val="auto"/>
              </w:rPr>
            </w:pPr>
            <w:r>
              <w:rPr>
                <w:rFonts w:ascii="Arial" w:cs="Arial" w:eastAsia="Arial" w:hAnsi="Arial"/>
                <w:sz w:val="16"/>
                <w:szCs w:val="16"/>
                <w:color w:val="auto"/>
              </w:rPr>
              <w:t>9,725</w:t>
            </w:r>
          </w:p>
        </w:tc>
        <w:tc>
          <w:tcPr>
            <w:tcW w:w="1280" w:type="dxa"/>
            <w:vAlign w:val="bottom"/>
            <w:shd w:val="clear" w:color="auto" w:fill="E5E5E5"/>
          </w:tcPr>
          <w:p>
            <w:pPr>
              <w:jc w:val="right"/>
              <w:ind w:right="83"/>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ind w:right="143"/>
              <w:spacing w:after="0"/>
              <w:rPr>
                <w:sz w:val="20"/>
                <w:szCs w:val="20"/>
                <w:color w:val="auto"/>
              </w:rPr>
            </w:pPr>
            <w:r>
              <w:rPr>
                <w:rFonts w:ascii="Arial" w:cs="Arial" w:eastAsia="Arial" w:hAnsi="Arial"/>
                <w:sz w:val="16"/>
                <w:szCs w:val="16"/>
                <w:color w:val="auto"/>
              </w:rPr>
              <w:t>166,659</w:t>
            </w:r>
          </w:p>
        </w:tc>
      </w:tr>
      <w:tr>
        <w:trPr>
          <w:trHeight w:val="189"/>
        </w:trPr>
        <w:tc>
          <w:tcPr>
            <w:tcW w:w="2400" w:type="dxa"/>
            <w:vAlign w:val="bottom"/>
          </w:tcPr>
          <w:p>
            <w:pPr>
              <w:ind w:left="60"/>
              <w:spacing w:after="0"/>
              <w:rPr>
                <w:sz w:val="20"/>
                <w:szCs w:val="20"/>
                <w:color w:val="auto"/>
              </w:rPr>
            </w:pPr>
            <w:r>
              <w:rPr>
                <w:rFonts w:ascii="Arial" w:cs="Arial" w:eastAsia="Arial" w:hAnsi="Arial"/>
                <w:sz w:val="16"/>
                <w:szCs w:val="16"/>
                <w:color w:val="auto"/>
              </w:rPr>
              <w:t>Sanjeev Narula</w:t>
            </w:r>
          </w:p>
        </w:tc>
        <w:tc>
          <w:tcPr>
            <w:tcW w:w="2140" w:type="dxa"/>
            <w:vAlign w:val="bottom"/>
          </w:tcPr>
          <w:p>
            <w:pPr>
              <w:jc w:val="right"/>
              <w:ind w:right="184"/>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63"/>
              <w:spacing w:after="0"/>
              <w:rPr>
                <w:sz w:val="20"/>
                <w:szCs w:val="20"/>
                <w:color w:val="auto"/>
              </w:rPr>
            </w:pPr>
            <w:r>
              <w:rPr>
                <w:rFonts w:ascii="Arial" w:cs="Arial" w:eastAsia="Arial" w:hAnsi="Arial"/>
                <w:sz w:val="16"/>
                <w:szCs w:val="16"/>
                <w:color w:val="auto"/>
              </w:rPr>
              <w:t>25,846</w:t>
            </w:r>
          </w:p>
        </w:tc>
        <w:tc>
          <w:tcPr>
            <w:tcW w:w="1440" w:type="dxa"/>
            <w:vAlign w:val="bottom"/>
          </w:tcPr>
          <w:p>
            <w:pPr>
              <w:jc w:val="right"/>
              <w:ind w:right="164"/>
              <w:spacing w:after="0"/>
              <w:rPr>
                <w:sz w:val="20"/>
                <w:szCs w:val="20"/>
                <w:color w:val="auto"/>
              </w:rPr>
            </w:pPr>
            <w:r>
              <w:rPr>
                <w:rFonts w:ascii="Arial" w:cs="Arial" w:eastAsia="Arial" w:hAnsi="Arial"/>
                <w:sz w:val="16"/>
                <w:szCs w:val="16"/>
                <w:color w:val="auto"/>
              </w:rPr>
              <w:t>25,846</w:t>
            </w:r>
          </w:p>
        </w:tc>
        <w:tc>
          <w:tcPr>
            <w:tcW w:w="1220" w:type="dxa"/>
            <w:vAlign w:val="bottom"/>
          </w:tcPr>
          <w:p>
            <w:pPr>
              <w:jc w:val="right"/>
              <w:ind w:right="184"/>
              <w:spacing w:after="0"/>
              <w:rPr>
                <w:sz w:val="20"/>
                <w:szCs w:val="20"/>
                <w:color w:val="auto"/>
              </w:rPr>
            </w:pPr>
            <w:r>
              <w:rPr>
                <w:rFonts w:ascii="Arial" w:cs="Arial" w:eastAsia="Arial" w:hAnsi="Arial"/>
                <w:sz w:val="16"/>
                <w:szCs w:val="16"/>
                <w:color w:val="auto"/>
              </w:rPr>
              <w:t>1,296</w:t>
            </w:r>
          </w:p>
        </w:tc>
        <w:tc>
          <w:tcPr>
            <w:tcW w:w="128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43"/>
              <w:spacing w:after="0"/>
              <w:rPr>
                <w:sz w:val="20"/>
                <w:szCs w:val="20"/>
                <w:color w:val="auto"/>
              </w:rPr>
            </w:pPr>
            <w:r>
              <w:rPr>
                <w:rFonts w:ascii="Arial" w:cs="Arial" w:eastAsia="Arial" w:hAnsi="Arial"/>
                <w:sz w:val="16"/>
                <w:szCs w:val="16"/>
                <w:color w:val="auto"/>
              </w:rPr>
              <w:t>52,988</w:t>
            </w:r>
          </w:p>
        </w:tc>
      </w:tr>
      <w:tr>
        <w:trPr>
          <w:trHeight w:val="189"/>
        </w:trPr>
        <w:tc>
          <w:tcPr>
            <w:tcW w:w="2400" w:type="dxa"/>
            <w:vAlign w:val="bottom"/>
            <w:shd w:val="clear" w:color="auto" w:fill="E5E5E5"/>
          </w:tcPr>
          <w:p>
            <w:pPr>
              <w:ind w:left="60"/>
              <w:spacing w:after="0"/>
              <w:rPr>
                <w:sz w:val="20"/>
                <w:szCs w:val="20"/>
                <w:color w:val="auto"/>
              </w:rPr>
            </w:pPr>
            <w:r>
              <w:rPr>
                <w:rFonts w:ascii="Arial" w:cs="Arial" w:eastAsia="Arial" w:hAnsi="Arial"/>
                <w:sz w:val="16"/>
                <w:szCs w:val="16"/>
                <w:color w:val="auto"/>
              </w:rPr>
              <w:t>Rajiv Malik</w:t>
            </w:r>
          </w:p>
        </w:tc>
        <w:tc>
          <w:tcPr>
            <w:tcW w:w="2140" w:type="dxa"/>
            <w:vAlign w:val="bottom"/>
            <w:shd w:val="clear" w:color="auto" w:fill="E5E5E5"/>
          </w:tcPr>
          <w:p>
            <w:pPr>
              <w:jc w:val="right"/>
              <w:ind w:right="184"/>
              <w:spacing w:after="0"/>
              <w:rPr>
                <w:sz w:val="20"/>
                <w:szCs w:val="20"/>
                <w:color w:val="auto"/>
              </w:rPr>
            </w:pPr>
            <w:r>
              <w:rPr>
                <w:rFonts w:ascii="Arial" w:cs="Arial" w:eastAsia="Arial" w:hAnsi="Arial"/>
                <w:sz w:val="16"/>
                <w:szCs w:val="16"/>
                <w:color w:val="auto"/>
              </w:rPr>
              <w:t>709,248</w:t>
            </w:r>
          </w:p>
        </w:tc>
        <w:tc>
          <w:tcPr>
            <w:tcW w:w="1420" w:type="dxa"/>
            <w:vAlign w:val="bottom"/>
            <w:shd w:val="clear" w:color="auto" w:fill="E5E5E5"/>
          </w:tcPr>
          <w:p>
            <w:pPr>
              <w:jc w:val="right"/>
              <w:ind w:right="163"/>
              <w:spacing w:after="0"/>
              <w:rPr>
                <w:sz w:val="20"/>
                <w:szCs w:val="20"/>
                <w:color w:val="auto"/>
              </w:rPr>
            </w:pPr>
            <w:r>
              <w:rPr>
                <w:rFonts w:ascii="Arial" w:cs="Arial" w:eastAsia="Arial" w:hAnsi="Arial"/>
                <w:sz w:val="16"/>
                <w:szCs w:val="16"/>
                <w:color w:val="auto"/>
              </w:rPr>
              <w:t>—</w:t>
            </w:r>
          </w:p>
        </w:tc>
        <w:tc>
          <w:tcPr>
            <w:tcW w:w="1440" w:type="dxa"/>
            <w:vAlign w:val="bottom"/>
            <w:shd w:val="clear" w:color="auto" w:fill="E5E5E5"/>
          </w:tcPr>
          <w:p>
            <w:pPr>
              <w:jc w:val="right"/>
              <w:ind w:right="164"/>
              <w:spacing w:after="0"/>
              <w:rPr>
                <w:sz w:val="20"/>
                <w:szCs w:val="20"/>
                <w:color w:val="auto"/>
              </w:rPr>
            </w:pPr>
            <w:r>
              <w:rPr>
                <w:rFonts w:ascii="Arial" w:cs="Arial" w:eastAsia="Arial" w:hAnsi="Arial"/>
                <w:sz w:val="16"/>
                <w:szCs w:val="16"/>
                <w:color w:val="auto"/>
              </w:rPr>
              <w:t>182,052</w:t>
            </w:r>
          </w:p>
        </w:tc>
        <w:tc>
          <w:tcPr>
            <w:tcW w:w="1220" w:type="dxa"/>
            <w:vAlign w:val="bottom"/>
            <w:shd w:val="clear" w:color="auto" w:fill="E5E5E5"/>
          </w:tcPr>
          <w:p>
            <w:pPr>
              <w:jc w:val="right"/>
              <w:ind w:right="184"/>
              <w:spacing w:after="0"/>
              <w:rPr>
                <w:sz w:val="20"/>
                <w:szCs w:val="20"/>
                <w:color w:val="auto"/>
              </w:rPr>
            </w:pPr>
            <w:r>
              <w:rPr>
                <w:rFonts w:ascii="Arial" w:cs="Arial" w:eastAsia="Arial" w:hAnsi="Arial"/>
                <w:sz w:val="16"/>
                <w:szCs w:val="16"/>
                <w:color w:val="auto"/>
              </w:rPr>
              <w:t>129,026</w:t>
            </w:r>
          </w:p>
        </w:tc>
        <w:tc>
          <w:tcPr>
            <w:tcW w:w="1280" w:type="dxa"/>
            <w:vAlign w:val="bottom"/>
            <w:shd w:val="clear" w:color="auto" w:fill="E5E5E5"/>
          </w:tcPr>
          <w:p>
            <w:pPr>
              <w:jc w:val="right"/>
              <w:ind w:right="83"/>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ind w:right="143"/>
              <w:spacing w:after="0"/>
              <w:rPr>
                <w:sz w:val="20"/>
                <w:szCs w:val="20"/>
                <w:color w:val="auto"/>
              </w:rPr>
            </w:pPr>
            <w:r>
              <w:rPr>
                <w:rFonts w:ascii="Arial" w:cs="Arial" w:eastAsia="Arial" w:hAnsi="Arial"/>
                <w:sz w:val="16"/>
                <w:szCs w:val="16"/>
                <w:color w:val="auto"/>
              </w:rPr>
              <w:t>1,020,327</w:t>
            </w:r>
          </w:p>
        </w:tc>
      </w:tr>
      <w:tr>
        <w:trPr>
          <w:trHeight w:val="189"/>
        </w:trPr>
        <w:tc>
          <w:tcPr>
            <w:tcW w:w="2400" w:type="dxa"/>
            <w:vAlign w:val="bottom"/>
          </w:tcPr>
          <w:p>
            <w:pPr>
              <w:ind w:left="60"/>
              <w:spacing w:after="0"/>
              <w:rPr>
                <w:sz w:val="20"/>
                <w:szCs w:val="20"/>
                <w:color w:val="auto"/>
              </w:rPr>
            </w:pPr>
            <w:r>
              <w:rPr>
                <w:rFonts w:ascii="Arial" w:cs="Arial" w:eastAsia="Arial" w:hAnsi="Arial"/>
                <w:sz w:val="16"/>
                <w:szCs w:val="16"/>
                <w:color w:val="auto"/>
              </w:rPr>
              <w:t>Anthony Mauro</w:t>
            </w:r>
          </w:p>
        </w:tc>
        <w:tc>
          <w:tcPr>
            <w:tcW w:w="2140" w:type="dxa"/>
            <w:vAlign w:val="bottom"/>
          </w:tcPr>
          <w:p>
            <w:pPr>
              <w:jc w:val="right"/>
              <w:ind w:right="184"/>
              <w:spacing w:after="0"/>
              <w:rPr>
                <w:sz w:val="20"/>
                <w:szCs w:val="20"/>
                <w:color w:val="auto"/>
              </w:rPr>
            </w:pPr>
            <w:r>
              <w:rPr>
                <w:rFonts w:ascii="Arial" w:cs="Arial" w:eastAsia="Arial" w:hAnsi="Arial"/>
                <w:sz w:val="16"/>
                <w:szCs w:val="16"/>
                <w:color w:val="auto"/>
              </w:rPr>
              <w:t>2,513,831</w:t>
            </w:r>
          </w:p>
        </w:tc>
        <w:tc>
          <w:tcPr>
            <w:tcW w:w="1420" w:type="dxa"/>
            <w:vAlign w:val="bottom"/>
          </w:tcPr>
          <w:p>
            <w:pPr>
              <w:jc w:val="right"/>
              <w:ind w:right="163"/>
              <w:spacing w:after="0"/>
              <w:rPr>
                <w:sz w:val="20"/>
                <w:szCs w:val="20"/>
                <w:color w:val="auto"/>
              </w:rPr>
            </w:pPr>
            <w:r>
              <w:rPr>
                <w:rFonts w:ascii="Arial" w:cs="Arial" w:eastAsia="Arial" w:hAnsi="Arial"/>
                <w:sz w:val="16"/>
                <w:szCs w:val="16"/>
                <w:color w:val="auto"/>
              </w:rPr>
              <w:t>80,447</w:t>
            </w:r>
          </w:p>
        </w:tc>
        <w:tc>
          <w:tcPr>
            <w:tcW w:w="1440" w:type="dxa"/>
            <w:vAlign w:val="bottom"/>
          </w:tcPr>
          <w:p>
            <w:pPr>
              <w:jc w:val="right"/>
              <w:ind w:right="164"/>
              <w:spacing w:after="0"/>
              <w:rPr>
                <w:sz w:val="20"/>
                <w:szCs w:val="20"/>
                <w:color w:val="auto"/>
              </w:rPr>
            </w:pPr>
            <w:r>
              <w:rPr>
                <w:rFonts w:ascii="Arial" w:cs="Arial" w:eastAsia="Arial" w:hAnsi="Arial"/>
                <w:sz w:val="16"/>
                <w:szCs w:val="16"/>
                <w:color w:val="auto"/>
              </w:rPr>
              <w:t>139,223</w:t>
            </w:r>
          </w:p>
        </w:tc>
        <w:tc>
          <w:tcPr>
            <w:tcW w:w="1220" w:type="dxa"/>
            <w:vAlign w:val="bottom"/>
          </w:tcPr>
          <w:p>
            <w:pPr>
              <w:jc w:val="right"/>
              <w:ind w:right="184"/>
              <w:spacing w:after="0"/>
              <w:rPr>
                <w:sz w:val="20"/>
                <w:szCs w:val="20"/>
                <w:color w:val="auto"/>
              </w:rPr>
            </w:pPr>
            <w:r>
              <w:rPr>
                <w:rFonts w:ascii="Arial" w:cs="Arial" w:eastAsia="Arial" w:hAnsi="Arial"/>
                <w:sz w:val="16"/>
                <w:szCs w:val="16"/>
                <w:color w:val="auto"/>
              </w:rPr>
              <w:t>135,284</w:t>
            </w:r>
          </w:p>
        </w:tc>
        <w:tc>
          <w:tcPr>
            <w:tcW w:w="128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43"/>
              <w:spacing w:after="0"/>
              <w:rPr>
                <w:sz w:val="20"/>
                <w:szCs w:val="20"/>
                <w:color w:val="auto"/>
              </w:rPr>
            </w:pPr>
            <w:r>
              <w:rPr>
                <w:rFonts w:ascii="Arial" w:cs="Arial" w:eastAsia="Arial" w:hAnsi="Arial"/>
                <w:sz w:val="16"/>
                <w:szCs w:val="16"/>
                <w:color w:val="auto"/>
              </w:rPr>
              <w:t>2,868,785</w:t>
            </w:r>
          </w:p>
        </w:tc>
      </w:tr>
      <w:tr>
        <w:trPr>
          <w:trHeight w:val="189"/>
        </w:trPr>
        <w:tc>
          <w:tcPr>
            <w:tcW w:w="2400" w:type="dxa"/>
            <w:vAlign w:val="bottom"/>
            <w:shd w:val="clear" w:color="auto" w:fill="E5E5E5"/>
          </w:tcPr>
          <w:p>
            <w:pPr>
              <w:ind w:left="60"/>
              <w:spacing w:after="0"/>
              <w:rPr>
                <w:sz w:val="20"/>
                <w:szCs w:val="20"/>
                <w:color w:val="auto"/>
              </w:rPr>
            </w:pPr>
            <w:r>
              <w:rPr>
                <w:rFonts w:ascii="Arial" w:cs="Arial" w:eastAsia="Arial" w:hAnsi="Arial"/>
                <w:sz w:val="16"/>
                <w:szCs w:val="16"/>
                <w:color w:val="auto"/>
              </w:rPr>
              <w:t>Robert J. Coury</w:t>
            </w:r>
          </w:p>
        </w:tc>
        <w:tc>
          <w:tcPr>
            <w:tcW w:w="2140" w:type="dxa"/>
            <w:vAlign w:val="bottom"/>
            <w:shd w:val="clear" w:color="auto" w:fill="E5E5E5"/>
          </w:tcPr>
          <w:p>
            <w:pPr>
              <w:jc w:val="right"/>
              <w:ind w:right="184"/>
              <w:spacing w:after="0"/>
              <w:rPr>
                <w:sz w:val="20"/>
                <w:szCs w:val="20"/>
                <w:color w:val="auto"/>
              </w:rPr>
            </w:pPr>
            <w:r>
              <w:rPr>
                <w:rFonts w:ascii="Arial" w:cs="Arial" w:eastAsia="Arial" w:hAnsi="Arial"/>
                <w:sz w:val="16"/>
                <w:szCs w:val="16"/>
                <w:color w:val="auto"/>
              </w:rPr>
              <w:t>85,796</w:t>
            </w:r>
          </w:p>
        </w:tc>
        <w:tc>
          <w:tcPr>
            <w:tcW w:w="1420" w:type="dxa"/>
            <w:vAlign w:val="bottom"/>
            <w:shd w:val="clear" w:color="auto" w:fill="E5E5E5"/>
          </w:tcPr>
          <w:p>
            <w:pPr>
              <w:jc w:val="right"/>
              <w:ind w:right="163"/>
              <w:spacing w:after="0"/>
              <w:rPr>
                <w:sz w:val="20"/>
                <w:szCs w:val="20"/>
                <w:color w:val="auto"/>
              </w:rPr>
            </w:pPr>
            <w:r>
              <w:rPr>
                <w:rFonts w:ascii="Arial" w:cs="Arial" w:eastAsia="Arial" w:hAnsi="Arial"/>
                <w:sz w:val="16"/>
                <w:szCs w:val="16"/>
                <w:color w:val="auto"/>
              </w:rPr>
              <w:t>236,624</w:t>
            </w:r>
          </w:p>
        </w:tc>
        <w:tc>
          <w:tcPr>
            <w:tcW w:w="1440" w:type="dxa"/>
            <w:vAlign w:val="bottom"/>
            <w:shd w:val="clear" w:color="auto" w:fill="E5E5E5"/>
          </w:tcPr>
          <w:p>
            <w:pPr>
              <w:jc w:val="right"/>
              <w:ind w:right="164"/>
              <w:spacing w:after="0"/>
              <w:rPr>
                <w:sz w:val="20"/>
                <w:szCs w:val="20"/>
                <w:color w:val="auto"/>
              </w:rPr>
            </w:pPr>
            <w:r>
              <w:rPr>
                <w:rFonts w:ascii="Arial" w:cs="Arial" w:eastAsia="Arial" w:hAnsi="Arial"/>
                <w:sz w:val="16"/>
                <w:szCs w:val="16"/>
                <w:color w:val="auto"/>
              </w:rPr>
              <w:t>296,073</w:t>
            </w:r>
          </w:p>
        </w:tc>
        <w:tc>
          <w:tcPr>
            <w:tcW w:w="1220" w:type="dxa"/>
            <w:vAlign w:val="bottom"/>
            <w:shd w:val="clear" w:color="auto" w:fill="E5E5E5"/>
          </w:tcPr>
          <w:p>
            <w:pPr>
              <w:jc w:val="right"/>
              <w:ind w:right="184"/>
              <w:spacing w:after="0"/>
              <w:rPr>
                <w:sz w:val="20"/>
                <w:szCs w:val="20"/>
                <w:color w:val="auto"/>
              </w:rPr>
            </w:pPr>
            <w:r>
              <w:rPr>
                <w:rFonts w:ascii="Arial" w:cs="Arial" w:eastAsia="Arial" w:hAnsi="Arial"/>
                <w:sz w:val="16"/>
                <w:szCs w:val="16"/>
                <w:color w:val="auto"/>
              </w:rPr>
              <w:t>37,510</w:t>
            </w:r>
          </w:p>
        </w:tc>
        <w:tc>
          <w:tcPr>
            <w:tcW w:w="1280" w:type="dxa"/>
            <w:vAlign w:val="bottom"/>
            <w:shd w:val="clear" w:color="auto" w:fill="E5E5E5"/>
          </w:tcPr>
          <w:p>
            <w:pPr>
              <w:jc w:val="right"/>
              <w:ind w:right="83"/>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ind w:right="143"/>
              <w:spacing w:after="0"/>
              <w:rPr>
                <w:sz w:val="20"/>
                <w:szCs w:val="20"/>
                <w:color w:val="auto"/>
              </w:rPr>
            </w:pPr>
            <w:r>
              <w:rPr>
                <w:rFonts w:ascii="Arial" w:cs="Arial" w:eastAsia="Arial" w:hAnsi="Arial"/>
                <w:sz w:val="16"/>
                <w:szCs w:val="16"/>
                <w:color w:val="auto"/>
              </w:rPr>
              <w:t>656,003</w:t>
            </w:r>
          </w:p>
        </w:tc>
      </w:tr>
    </w:tbl>
    <w:p>
      <w:pPr>
        <w:spacing w:after="0" w:line="18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666666"/>
        </w:rPr>
        <w:t>Estimated Payments in Connection with a Termination of Employment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6"/>
          <w:szCs w:val="16"/>
          <w:color w:val="auto"/>
        </w:rPr>
        <w:t>The following discussion summarizes the potential payments and benefits that would have been payable to each of the NEOs upon a termination of employment or upon a change in control, in each case, as of December 31, 2021. The amounts discussed below exclude (i) 401(k) retirement plan contributions and distributions that are generally available to all salaried employees, (ii) payments pursuant to vested Restoration Plan balances and vested rights under Retirement Benefit Agreements, (iii) payments pursuant to awards scheduled to vest on or before December 31, 2021 by their terms,</w:t>
      </w:r>
    </w:p>
    <w:p>
      <w:pPr>
        <w:spacing w:after="0" w:line="2" w:lineRule="exact"/>
        <w:rPr>
          <w:sz w:val="20"/>
          <w:szCs w:val="20"/>
          <w:color w:val="auto"/>
        </w:rPr>
      </w:pPr>
    </w:p>
    <w:p>
      <w:pPr>
        <w:jc w:val="both"/>
        <w:ind w:left="120" w:right="20" w:hanging="4"/>
        <w:spacing w:after="0" w:line="253" w:lineRule="auto"/>
        <w:tabs>
          <w:tab w:leader="none" w:pos="402"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amounts that may be due at the time of an event in the table below in respect of accrued and unpaid salary, bonuses, or vacation, and (v) the value of each NEOs’ annual bonus for the 2021 completed fiscal year as the year was complete as of December 31, 2021. These are estimates only and actual amounts payable upon such terminations may be different and will only be determined upon the actual occurrence of any such event.</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732282"/>
        </w:rPr>
        <w:t>Michael Goettler</w:t>
      </w:r>
    </w:p>
    <w:p>
      <w:pPr>
        <w:spacing w:after="0" w:line="106"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Mr. Goettler is entitled to severance payments and benefits upon certain terminations of employment pursuant to an agreement with Viatris and his equity award agreements with Viatris.</w:t>
      </w:r>
    </w:p>
    <w:p>
      <w:pPr>
        <w:spacing w:after="0" w:line="175" w:lineRule="exact"/>
        <w:rPr>
          <w:sz w:val="20"/>
          <w:szCs w:val="20"/>
          <w:color w:val="auto"/>
        </w:rPr>
      </w:pPr>
    </w:p>
    <w:p>
      <w:pPr>
        <w:jc w:val="both"/>
        <w:ind w:left="120"/>
        <w:spacing w:after="0" w:line="251" w:lineRule="auto"/>
        <w:rPr>
          <w:sz w:val="20"/>
          <w:szCs w:val="20"/>
          <w:color w:val="auto"/>
        </w:rPr>
      </w:pPr>
      <w:r>
        <w:rPr>
          <w:rFonts w:ascii="Arial" w:cs="Arial" w:eastAsia="Arial" w:hAnsi="Arial"/>
          <w:sz w:val="16"/>
          <w:szCs w:val="16"/>
          <w:b w:val="1"/>
          <w:bCs w:val="1"/>
          <w:i w:val="1"/>
          <w:iCs w:val="1"/>
          <w:color w:val="auto"/>
        </w:rPr>
        <w:t>Resignation for Good Reason or Termination Without Cause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Mr. Goettler’s employment was terminated on December 31, 2021 by Viatris without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cause, he would have been entitled to (1) a lump sum payment equal to two and a half times the sum of his base salary and his target annual bonus in effect at the time of such termination and (2) full vesting of his unvested Make-Whole RSUs (which vesting with respect to the Make-Whole RSUs would also apply in the event of a resignation for good reason). The estimated values of such payments and benefits, assuming a December 31, 2021 termination, would have been (i) $8,125,000, in respect of cash severance, and (ii) $2,409,554, in respect of the vesting of his Make-Whole RSUs. If Mr. Goettler’s employment was terminated on December 31, 2021 by Viatris without cause or if Mr. Goettler were to resign for good reason in connection with a change in control (excluding the Combination), in addition to the payments and benefits described in the preceding sentence, he would have been entitled to full vesting of his annual Viatris LTI awards granted in 2021 with any PRSUs granted in 2021 vesting based on target performance. The estimated value of such 2021 LTI awards, assuming a December 31, 2021 termination in connection with a change in control, was $8,821,950.</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86"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120"/>
        <w:spacing w:after="0" w:line="256" w:lineRule="auto"/>
        <w:rPr>
          <w:sz w:val="20"/>
          <w:szCs w:val="20"/>
          <w:color w:val="auto"/>
        </w:rPr>
      </w:pPr>
      <w:r>
        <w:rPr>
          <w:rFonts w:ascii="Arial" w:cs="Arial" w:eastAsia="Arial" w:hAnsi="Arial"/>
          <w:sz w:val="16"/>
          <w:szCs w:val="16"/>
          <w:b w:val="1"/>
          <w:bCs w:val="1"/>
          <w:i w:val="1"/>
          <w:iCs w:val="1"/>
          <w:color w:val="auto"/>
        </w:rPr>
        <w:t>Termination due to Death or Disability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Mr. Goettler’s employment was terminated on December 31, 2021 due to death or disability, he would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been entitled to full vesting of his unvested RSUs and PRSUs. The estimated value of such payments and benefits, assuming a December 31, 2021 termination, would have been (i) $2,409,554, in respect of the vesting of his Make-Whole RSUs, and (ii) $8,821,950, in respect of the vesting of his annual Viatris LTI awards granted in 2021. Mr. Goettler is not entitled to cash severance payments in connection with a termination of employment due to death or disability.</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732282"/>
        </w:rPr>
        <w:t>Sanjeev Narula</w:t>
      </w:r>
    </w:p>
    <w:p>
      <w:pPr>
        <w:spacing w:after="0" w:line="106"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Mr. Narula is entitled to severance payments and benefits upon certain terminations of employment pursuant to an agreement with Pfizer (which was assumed by Viatris) (the “Retention Letter”) and his equity award agreements with Viatris.</w:t>
      </w:r>
    </w:p>
    <w:p>
      <w:pPr>
        <w:spacing w:after="0" w:line="175" w:lineRule="exact"/>
        <w:rPr>
          <w:sz w:val="20"/>
          <w:szCs w:val="20"/>
          <w:color w:val="auto"/>
        </w:rPr>
      </w:pPr>
    </w:p>
    <w:p>
      <w:pPr>
        <w:jc w:val="both"/>
        <w:ind w:left="120"/>
        <w:spacing w:after="0" w:line="255" w:lineRule="auto"/>
        <w:rPr>
          <w:sz w:val="20"/>
          <w:szCs w:val="20"/>
          <w:color w:val="auto"/>
        </w:rPr>
      </w:pPr>
      <w:r>
        <w:rPr>
          <w:rFonts w:ascii="Arial" w:cs="Arial" w:eastAsia="Arial" w:hAnsi="Arial"/>
          <w:sz w:val="16"/>
          <w:szCs w:val="16"/>
          <w:b w:val="1"/>
          <w:bCs w:val="1"/>
          <w:i w:val="1"/>
          <w:iCs w:val="1"/>
          <w:color w:val="auto"/>
        </w:rPr>
        <w:t>Termination Without Cause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Mr. Narula’s employment was terminated on December 31, 2021 by Viatris without cause (as defined in the Retention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Letter or equity award agreements), he would have been entitled to (1) a lump sum payment equal to two times the sum of his base salary and his highest annual bonus paid by Pfizer, Upjohn or Viatris in respect of the four calendar years preceding his date of termination (even if paid in a later year) and</w:t>
      </w:r>
    </w:p>
    <w:p>
      <w:pPr>
        <w:spacing w:after="0" w:line="1" w:lineRule="exact"/>
        <w:rPr>
          <w:sz w:val="20"/>
          <w:szCs w:val="20"/>
          <w:color w:val="auto"/>
        </w:rPr>
      </w:pPr>
    </w:p>
    <w:p>
      <w:pPr>
        <w:jc w:val="both"/>
        <w:ind w:left="120" w:hanging="4"/>
        <w:spacing w:after="0" w:line="249" w:lineRule="auto"/>
        <w:tabs>
          <w:tab w:leader="none" w:pos="377" w:val="left"/>
        </w:tabs>
        <w:numPr>
          <w:ilvl w:val="0"/>
          <w:numId w:val="56"/>
        </w:numPr>
        <w:rPr>
          <w:rFonts w:ascii="Arial" w:cs="Arial" w:eastAsia="Arial" w:hAnsi="Arial"/>
          <w:sz w:val="16"/>
          <w:szCs w:val="16"/>
          <w:color w:val="auto"/>
        </w:rPr>
      </w:pPr>
      <w:r>
        <w:rPr>
          <w:rFonts w:ascii="Arial" w:cs="Arial" w:eastAsia="Arial" w:hAnsi="Arial"/>
          <w:sz w:val="16"/>
          <w:szCs w:val="16"/>
          <w:color w:val="auto"/>
        </w:rPr>
        <w:t>full vesting of his unvested Make-Whole RSUs. The estimated values of such payments and benefits, assuming a December 31, 2021 termination, would have been (i) $2,214,024, in respect of cash severance, and (ii) $294,328, in respect of the vesting of his Make-Whole RSUs. If Mr. Narula’s employment was terminated on December 31, 2021 by Viatris without cause in connection with a change in control (excluding the Combination), in addition to the payments and benefits described in the preceding sentence, he would have been entitled to full vesting of his annual Viatris LTI awards granted in 2021 with any PRSUs granted in 2021 vesting based on target performance. The estimated value of such 2021 LTI awards, assuming a December 31, 2021 termination in connection with a change in control, was $2,714,453.</w:t>
      </w:r>
    </w:p>
    <w:p>
      <w:pPr>
        <w:spacing w:after="0" w:line="185"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6"/>
          <w:szCs w:val="16"/>
          <w:b w:val="1"/>
          <w:bCs w:val="1"/>
          <w:i w:val="1"/>
          <w:iCs w:val="1"/>
          <w:color w:val="auto"/>
        </w:rPr>
        <w:t>Termination due to Death or Disability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Mr. Narula’s employment was terminated on December 31, 2021 due to death or disability, he would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been entitled to full vesting of his unvested RSUs and PRSUs. The estimated value of such payments and benefits, assuming a December 31, 2021 termination, would have been (i) $294,328, in respect of the vesting of his Make-Whole RSUs, and (ii) $2,714,453, in respect of the vesting of his annual Viatris LTI awards granted in 2021. Mr. Narula is not entitled to cash severance payments in connection with a termination of employment due to death or disability.</w:t>
      </w:r>
    </w:p>
    <w:p>
      <w:pPr>
        <w:spacing w:after="0" w:line="390" w:lineRule="exact"/>
        <w:rPr>
          <w:sz w:val="20"/>
          <w:szCs w:val="20"/>
          <w:color w:val="auto"/>
        </w:rPr>
      </w:pPr>
    </w:p>
    <w:p>
      <w:pPr>
        <w:ind w:left="120"/>
        <w:spacing w:after="0"/>
        <w:rPr>
          <w:sz w:val="20"/>
          <w:szCs w:val="20"/>
          <w:color w:val="auto"/>
        </w:rPr>
      </w:pPr>
      <w:r>
        <w:rPr>
          <w:rFonts w:ascii="Arial" w:cs="Arial" w:eastAsia="Arial" w:hAnsi="Arial"/>
          <w:sz w:val="18"/>
          <w:szCs w:val="18"/>
          <w:color w:val="732282"/>
        </w:rPr>
        <w:t>Rajiv Malik</w:t>
      </w:r>
    </w:p>
    <w:p>
      <w:pPr>
        <w:spacing w:after="0" w:line="106"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auto"/>
        </w:rPr>
        <w:t>Mr. Malik is entitled to severance payments and benefits upon certain terminations of employment pursuant to his Transition and Succession Agreement with Mylan (which was assumed by Viatris) and his equity award agreements with Viatris. Because the Combination constituted a change in control of Mylan, the Transition and Succession Agreement will apply to terminations of employment through the 24-month anniversary of the Combination.</w:t>
      </w:r>
    </w:p>
    <w:p>
      <w:pPr>
        <w:spacing w:after="0" w:line="181"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6"/>
          <w:szCs w:val="16"/>
          <w:b w:val="1"/>
          <w:bCs w:val="1"/>
          <w:i w:val="1"/>
          <w:iCs w:val="1"/>
          <w:color w:val="auto"/>
        </w:rPr>
        <w:t>Resignation for Good Reason, Termination Without Cause or Termination due to Death or Disability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Mr. Malik’s employment was terminated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2021 by Viatris without cause, upon resignation for good reason or due to his death or disability (in each case, as defined in the Transition and Succession Agreement or equity award agreements), he would have been entitled to (1) a lump sum payment equal to three times the sum of his base salary and highest bonus paid, (2) three years of continued health and other benefits, and (3) full vesting of his RSUs and stock options held prior to the Combination. Mr. Malik is also entitled to participate in the Company’s Supplemental Health Insurance Plan for certain retired executives following a termination of employment. In connection with the Combination, Mr. Malik waived his right to a</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86"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280G excise tax gross up. The estimated values of such payments and benefits, assuming a December 31, 2021 termination, would have been</w:t>
      </w:r>
    </w:p>
    <w:p>
      <w:pPr>
        <w:spacing w:after="0" w:line="5" w:lineRule="exact"/>
        <w:rPr>
          <w:sz w:val="20"/>
          <w:szCs w:val="20"/>
          <w:color w:val="auto"/>
        </w:rPr>
      </w:pPr>
    </w:p>
    <w:p>
      <w:pPr>
        <w:jc w:val="both"/>
        <w:ind w:left="120" w:hanging="4"/>
        <w:spacing w:after="0" w:line="250" w:lineRule="auto"/>
        <w:tabs>
          <w:tab w:leader="none" w:pos="342" w:val="left"/>
        </w:tabs>
        <w:numPr>
          <w:ilvl w:val="0"/>
          <w:numId w:val="57"/>
        </w:numPr>
        <w:rPr>
          <w:rFonts w:ascii="Arial" w:cs="Arial" w:eastAsia="Arial" w:hAnsi="Arial"/>
          <w:sz w:val="16"/>
          <w:szCs w:val="16"/>
          <w:color w:val="auto"/>
        </w:rPr>
      </w:pPr>
      <w:r>
        <w:rPr>
          <w:rFonts w:ascii="Arial" w:cs="Arial" w:eastAsia="Arial" w:hAnsi="Arial"/>
          <w:sz w:val="16"/>
          <w:szCs w:val="16"/>
          <w:color w:val="auto"/>
        </w:rPr>
        <w:t>$11,250,364, in respect of cash severance and other benefits, and (ii) $6,248,587, in respect of the vesting of his RSUs and stock options. If Mr. Malik’s employment was terminated on December 31, 2021 by Viatris without cause or if Mr. Malik resigned for good reason in connection with a change in control, in addition to the payments and benefits described in the preceding sentence, he would be entitled to full vesting of his annual Viatris LTI awards granted in 2021 with any PRSUs granted in 2021 vesting based on target performance. The estimated value of such 2021 LTI awards, assuming a December 31, 2021 termination in connection with a change in control, was $6,980,008.</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color w:val="732282"/>
        </w:rPr>
        <w:t>Anthony Mauro</w:t>
      </w:r>
    </w:p>
    <w:p>
      <w:pPr>
        <w:spacing w:after="0" w:line="106"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auto"/>
        </w:rPr>
        <w:t>Mr. Mauro is entitled to severance payments and benefits upon certain terminations of employment pursuant to his Transition and Succession Agreement with Mylan (which was assumed by Viatris) and his equity award agreements with Viatris. Because the Combination constituted a change in control of Mylan, the Transition and Succession Agreement will apply to terminations of employment through the 24-month anniversary of the Combination.</w:t>
      </w:r>
    </w:p>
    <w:p>
      <w:pPr>
        <w:spacing w:after="0" w:line="181" w:lineRule="exact"/>
        <w:rPr>
          <w:sz w:val="20"/>
          <w:szCs w:val="20"/>
          <w:color w:val="auto"/>
        </w:rPr>
      </w:pPr>
    </w:p>
    <w:p>
      <w:pPr>
        <w:jc w:val="both"/>
        <w:ind w:left="120"/>
        <w:spacing w:after="0" w:line="250" w:lineRule="auto"/>
        <w:rPr>
          <w:sz w:val="20"/>
          <w:szCs w:val="20"/>
          <w:color w:val="auto"/>
        </w:rPr>
      </w:pPr>
      <w:r>
        <w:rPr>
          <w:rFonts w:ascii="Arial" w:cs="Arial" w:eastAsia="Arial" w:hAnsi="Arial"/>
          <w:sz w:val="16"/>
          <w:szCs w:val="16"/>
          <w:b w:val="1"/>
          <w:bCs w:val="1"/>
          <w:i w:val="1"/>
          <w:iCs w:val="1"/>
          <w:color w:val="auto"/>
        </w:rPr>
        <w:t>Resignation for Good Reason, Termination Without Cause or Termination due to Death or Disability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Mr. Mauro’s employment was terminated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2021 by Viatris without cause, upon resignation for good reason or due to his death or disability (in each case, as defined in the Transition and Succession Agreement or equity award agreements), he would have been entitled to (1) a lump sum payment equal to three times the sum of his base salary and highest bonus paid, (2) three years of continued health and other benefits, and (3) full vesting of his RSUs and stock options held prior to the Combination. The estimated values of such payments and benefits, assuming a December 31, 2021 termination, would have been (i) $7,034,845, in respect of cash severance and other benefits, and (ii) $2,897,910, in respect of the vesting of his RSUs and stock options. If Mr. Mauro’s employment was terminated on December 31, 2021 by Viatris without cause or if Mr. Mauro resigned for good reason in connection with a change in control, in addition to the payments and benefits described in the preceding sentence, he would be entitled to full vesting of his annual Viatris LTI awards granted in 2021 with any PRSUs granted in 2021 vesting based on target performance. The estimated value of such 2021 LTI awards, assuming a December 31, 2021 termination in connection with a change in control, was $3,102,235.</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732282"/>
        </w:rPr>
        <w:t>Robert J. Coury</w:t>
      </w:r>
    </w:p>
    <w:p>
      <w:pPr>
        <w:spacing w:after="0" w:line="106"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Mr. Coury is entitled to severance payments and benefits upon certain terminations of employment pursuant to his Executive Employment Agreement and his equity award agreements with Viatris.</w:t>
      </w:r>
    </w:p>
    <w:p>
      <w:pPr>
        <w:spacing w:after="0" w:line="175" w:lineRule="exact"/>
        <w:rPr>
          <w:sz w:val="20"/>
          <w:szCs w:val="20"/>
          <w:color w:val="auto"/>
        </w:rPr>
      </w:pPr>
    </w:p>
    <w:p>
      <w:pPr>
        <w:jc w:val="both"/>
        <w:ind w:left="120"/>
        <w:spacing w:after="0" w:line="252" w:lineRule="auto"/>
        <w:rPr>
          <w:sz w:val="20"/>
          <w:szCs w:val="20"/>
          <w:color w:val="auto"/>
        </w:rPr>
      </w:pPr>
      <w:r>
        <w:rPr>
          <w:rFonts w:ascii="Arial" w:cs="Arial" w:eastAsia="Arial" w:hAnsi="Arial"/>
          <w:sz w:val="16"/>
          <w:szCs w:val="16"/>
          <w:b w:val="1"/>
          <w:bCs w:val="1"/>
          <w:i w:val="1"/>
          <w:iCs w:val="1"/>
          <w:color w:val="auto"/>
        </w:rPr>
        <w:t>Resignation for Good Reason, Termination Without Cause or Termination due to Death or Disability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Mr. Coury’s employment was terminated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2021 by Viatris without cause, upon resignation for good reason, due to his death or disability (in each case, as defined in the Executive Employment Agreement) or in connection with a change in control, he would have been entitled to (1) a lump sum payment equal to three times the sum of his base salary and target or highest bonus paid, (2) three years of continued health and other benefits, and (3) full vesting of his RSUs and PRSUs (including his Value Creation Incentive Award and with any PRSUs granted in 2021 vesting based on target performance). The estimated values of such payments and benefits, assuming a December 31, 2021 termination, would have been (i) $18,765,326, in respect of cash severance and other benefits, and (ii) $32,645,999, in respect of the vesting of his RSUs and PRSUs. These amounts would not be enhanced if these events occurred following a change in control of Viatris.</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86"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666666"/>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1"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6"/>
          <w:szCs w:val="16"/>
          <w:color w:val="auto"/>
        </w:rPr>
        <w:t>Pursuant to Item 402(u) of Regulation S-K, we are providing the following information about the relationship of the annual total compensation of our global employee population (legacy Mylan and legacy Upjohn) and the annual total compensation of our CEO, Michael Goettler. The pay ratio included in this information is a reasonable estimate calculated in a manner consistent with Regulation S-K Item 402(u). The ratio of Mr. Goettler’s annual total compensation for 2021, as reported in the Summary Compensation Table on page 36 in this Amendment, to the median employee annual total compensation determined on the same basis was 398:1. For 2021, the annual total compensation along with the value of employer provided benefits of our median employee was $36,865 and $14,685,594 for the CEO.</w:t>
      </w:r>
    </w:p>
    <w:p>
      <w:pPr>
        <w:spacing w:after="0" w:line="205" w:lineRule="exact"/>
        <w:rPr>
          <w:sz w:val="20"/>
          <w:szCs w:val="20"/>
          <w:color w:val="auto"/>
        </w:rPr>
      </w:pPr>
    </w:p>
    <w:p>
      <w:pPr>
        <w:jc w:val="both"/>
        <w:ind w:left="120"/>
        <w:spacing w:after="0" w:line="251" w:lineRule="auto"/>
        <w:rPr>
          <w:sz w:val="20"/>
          <w:szCs w:val="20"/>
          <w:color w:val="auto"/>
        </w:rPr>
      </w:pPr>
      <w:r>
        <w:rPr>
          <w:rFonts w:ascii="Arial" w:cs="Arial" w:eastAsia="Arial" w:hAnsi="Arial"/>
          <w:sz w:val="16"/>
          <w:szCs w:val="16"/>
          <w:color w:val="auto"/>
        </w:rPr>
        <w:t>To identify our median employee, we prepared a list of Viatris employees throughout the world as of December 31, 2021. We chose base salary as our consistently applied compensation measure. We then calculated an annual base salary for each employee, annualizing pay for those employees who commenced work during 2021 and for any employees who were on leave for a portion of 2021. For hourly employees, we used a reasonable estimate of hours worked to determine annual base pay. Our median employee is located in India.</w:t>
      </w:r>
    </w:p>
    <w:p>
      <w:pPr>
        <w:spacing w:after="0" w:line="202" w:lineRule="exact"/>
        <w:rPr>
          <w:sz w:val="20"/>
          <w:szCs w:val="20"/>
          <w:color w:val="auto"/>
        </w:rPr>
      </w:pPr>
    </w:p>
    <w:p>
      <w:pPr>
        <w:jc w:val="both"/>
        <w:ind w:left="120"/>
        <w:spacing w:after="0" w:line="260" w:lineRule="auto"/>
        <w:rPr>
          <w:sz w:val="20"/>
          <w:szCs w:val="20"/>
          <w:color w:val="auto"/>
        </w:rPr>
      </w:pPr>
      <w:r>
        <w:rPr>
          <w:rFonts w:ascii="Arial" w:cs="Arial" w:eastAsia="Arial" w:hAnsi="Arial"/>
          <w:sz w:val="16"/>
          <w:szCs w:val="16"/>
          <w:color w:val="auto"/>
        </w:rPr>
        <w:t>Pay ratios may not be comparable because of different employee populations, geographic distribution of employees, compensation practices and companies may utilize different methodologies, exclusions, estimates, and assumptions in calculating their own pay ratios.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666666"/>
        </w:rPr>
        <w:t>Non-Employee Director Compensation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1"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The following table sets forth information concerning the compensation earned by Viatris’ Non-Employee Directors for 2021. Directors who are employees of Viatris (Messrs. Coury, Goettler, and Malik) receive no compensation for their Board service. A discussion of the elements of Non-Employee Director compensation follows the table.</w:t>
      </w:r>
    </w:p>
    <w:p>
      <w:pPr>
        <w:spacing w:after="0" w:line="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60" w:type="dxa"/>
            <w:vAlign w:val="bottom"/>
            <w:shd w:val="clear" w:color="auto" w:fill="444444"/>
          </w:tcPr>
          <w:p>
            <w:pPr>
              <w:spacing w:after="0"/>
              <w:rPr>
                <w:sz w:val="14"/>
                <w:szCs w:val="14"/>
                <w:color w:val="auto"/>
              </w:rPr>
            </w:pPr>
          </w:p>
        </w:tc>
        <w:tc>
          <w:tcPr>
            <w:tcW w:w="3040" w:type="dxa"/>
            <w:vAlign w:val="bottom"/>
            <w:shd w:val="clear" w:color="auto" w:fill="444444"/>
          </w:tcPr>
          <w:p>
            <w:pPr>
              <w:jc w:val="right"/>
              <w:ind w:right="55"/>
              <w:spacing w:after="0"/>
              <w:rPr>
                <w:sz w:val="20"/>
                <w:szCs w:val="20"/>
                <w:color w:val="auto"/>
              </w:rPr>
            </w:pPr>
            <w:r>
              <w:rPr>
                <w:rFonts w:ascii="Arial" w:cs="Arial" w:eastAsia="Arial" w:hAnsi="Arial"/>
                <w:sz w:val="14"/>
                <w:szCs w:val="14"/>
                <w:b w:val="1"/>
                <w:bCs w:val="1"/>
                <w:color w:val="FFFFFF"/>
              </w:rPr>
              <w:t>Fees Earned</w:t>
            </w:r>
          </w:p>
        </w:tc>
        <w:tc>
          <w:tcPr>
            <w:tcW w:w="1040" w:type="dxa"/>
            <w:vAlign w:val="bottom"/>
            <w:shd w:val="clear" w:color="auto" w:fill="444444"/>
          </w:tcPr>
          <w:p>
            <w:pPr>
              <w:spacing w:after="0"/>
              <w:rPr>
                <w:sz w:val="14"/>
                <w:szCs w:val="14"/>
                <w:color w:val="auto"/>
              </w:rPr>
            </w:pPr>
          </w:p>
        </w:tc>
        <w:tc>
          <w:tcPr>
            <w:tcW w:w="1460" w:type="dxa"/>
            <w:vAlign w:val="bottom"/>
            <w:shd w:val="clear" w:color="auto" w:fill="444444"/>
          </w:tcPr>
          <w:p>
            <w:pPr>
              <w:spacing w:after="0"/>
              <w:rPr>
                <w:sz w:val="14"/>
                <w:szCs w:val="14"/>
                <w:color w:val="auto"/>
              </w:rPr>
            </w:pPr>
          </w:p>
        </w:tc>
        <w:tc>
          <w:tcPr>
            <w:tcW w:w="1020" w:type="dxa"/>
            <w:vAlign w:val="bottom"/>
            <w:shd w:val="clear" w:color="auto" w:fill="444444"/>
          </w:tcPr>
          <w:p>
            <w:pPr>
              <w:spacing w:after="0"/>
              <w:rPr>
                <w:sz w:val="14"/>
                <w:szCs w:val="14"/>
                <w:color w:val="auto"/>
              </w:rPr>
            </w:pPr>
          </w:p>
        </w:tc>
      </w:tr>
      <w:tr>
        <w:trPr>
          <w:trHeight w:val="162"/>
        </w:trPr>
        <w:tc>
          <w:tcPr>
            <w:tcW w:w="4460" w:type="dxa"/>
            <w:vAlign w:val="bottom"/>
            <w:shd w:val="clear" w:color="auto" w:fill="444444"/>
          </w:tcPr>
          <w:p>
            <w:pPr>
              <w:spacing w:after="0"/>
              <w:rPr>
                <w:sz w:val="14"/>
                <w:szCs w:val="14"/>
                <w:color w:val="auto"/>
              </w:rPr>
            </w:pPr>
          </w:p>
        </w:tc>
        <w:tc>
          <w:tcPr>
            <w:tcW w:w="3040" w:type="dxa"/>
            <w:vAlign w:val="bottom"/>
            <w:shd w:val="clear" w:color="auto" w:fill="444444"/>
          </w:tcPr>
          <w:p>
            <w:pPr>
              <w:jc w:val="right"/>
              <w:ind w:right="55"/>
              <w:spacing w:after="0"/>
              <w:rPr>
                <w:sz w:val="20"/>
                <w:szCs w:val="20"/>
                <w:color w:val="auto"/>
              </w:rPr>
            </w:pPr>
            <w:r>
              <w:rPr>
                <w:rFonts w:ascii="Arial" w:cs="Arial" w:eastAsia="Arial" w:hAnsi="Arial"/>
                <w:sz w:val="14"/>
                <w:szCs w:val="14"/>
                <w:b w:val="1"/>
                <w:bCs w:val="1"/>
                <w:color w:val="FFFFFF"/>
              </w:rPr>
              <w:t>or Paid in</w:t>
            </w:r>
          </w:p>
        </w:tc>
        <w:tc>
          <w:tcPr>
            <w:tcW w:w="1040" w:type="dxa"/>
            <w:vAlign w:val="bottom"/>
            <w:shd w:val="clear" w:color="auto" w:fill="444444"/>
          </w:tcPr>
          <w:p>
            <w:pPr>
              <w:spacing w:after="0"/>
              <w:rPr>
                <w:sz w:val="14"/>
                <w:szCs w:val="14"/>
                <w:color w:val="auto"/>
              </w:rPr>
            </w:pPr>
          </w:p>
        </w:tc>
        <w:tc>
          <w:tcPr>
            <w:tcW w:w="1460" w:type="dxa"/>
            <w:vAlign w:val="bottom"/>
            <w:shd w:val="clear" w:color="auto" w:fill="444444"/>
          </w:tcPr>
          <w:p>
            <w:pPr>
              <w:jc w:val="right"/>
              <w:ind w:right="114"/>
              <w:spacing w:after="0"/>
              <w:rPr>
                <w:sz w:val="20"/>
                <w:szCs w:val="20"/>
                <w:color w:val="auto"/>
              </w:rPr>
            </w:pPr>
            <w:r>
              <w:rPr>
                <w:rFonts w:ascii="Arial" w:cs="Arial" w:eastAsia="Arial" w:hAnsi="Arial"/>
                <w:sz w:val="14"/>
                <w:szCs w:val="14"/>
                <w:b w:val="1"/>
                <w:bCs w:val="1"/>
                <w:color w:val="FFFFFF"/>
              </w:rPr>
              <w:t>All Other</w:t>
            </w:r>
          </w:p>
        </w:tc>
        <w:tc>
          <w:tcPr>
            <w:tcW w:w="1020" w:type="dxa"/>
            <w:vAlign w:val="bottom"/>
            <w:shd w:val="clear" w:color="auto" w:fill="444444"/>
          </w:tcPr>
          <w:p>
            <w:pPr>
              <w:spacing w:after="0"/>
              <w:rPr>
                <w:sz w:val="14"/>
                <w:szCs w:val="14"/>
                <w:color w:val="auto"/>
              </w:rPr>
            </w:pPr>
          </w:p>
        </w:tc>
      </w:tr>
      <w:tr>
        <w:trPr>
          <w:trHeight w:val="162"/>
        </w:trPr>
        <w:tc>
          <w:tcPr>
            <w:tcW w:w="4460" w:type="dxa"/>
            <w:vAlign w:val="bottom"/>
            <w:shd w:val="clear" w:color="auto" w:fill="444444"/>
          </w:tcPr>
          <w:p>
            <w:pPr>
              <w:spacing w:after="0"/>
              <w:rPr>
                <w:sz w:val="14"/>
                <w:szCs w:val="14"/>
                <w:color w:val="auto"/>
              </w:rPr>
            </w:pPr>
          </w:p>
        </w:tc>
        <w:tc>
          <w:tcPr>
            <w:tcW w:w="3040" w:type="dxa"/>
            <w:vAlign w:val="bottom"/>
            <w:shd w:val="clear" w:color="auto" w:fill="444444"/>
          </w:tcPr>
          <w:p>
            <w:pPr>
              <w:jc w:val="right"/>
              <w:ind w:right="55"/>
              <w:spacing w:after="0"/>
              <w:rPr>
                <w:sz w:val="20"/>
                <w:szCs w:val="20"/>
                <w:color w:val="auto"/>
              </w:rPr>
            </w:pPr>
            <w:r>
              <w:rPr>
                <w:rFonts w:ascii="Arial" w:cs="Arial" w:eastAsia="Arial" w:hAnsi="Arial"/>
                <w:sz w:val="14"/>
                <w:szCs w:val="14"/>
                <w:b w:val="1"/>
                <w:bCs w:val="1"/>
                <w:color w:val="FFFFFF"/>
              </w:rPr>
              <w:t>Cash</w:t>
            </w:r>
          </w:p>
        </w:tc>
        <w:tc>
          <w:tcPr>
            <w:tcW w:w="1040" w:type="dxa"/>
            <w:vAlign w:val="bottom"/>
            <w:shd w:val="clear" w:color="auto" w:fill="444444"/>
          </w:tcPr>
          <w:p>
            <w:pPr>
              <w:jc w:val="right"/>
              <w:ind w:right="153"/>
              <w:spacing w:after="0"/>
              <w:rPr>
                <w:sz w:val="20"/>
                <w:szCs w:val="20"/>
                <w:color w:val="auto"/>
              </w:rPr>
            </w:pPr>
            <w:r>
              <w:rPr>
                <w:rFonts w:ascii="Arial" w:cs="Arial" w:eastAsia="Arial" w:hAnsi="Arial"/>
                <w:sz w:val="14"/>
                <w:szCs w:val="14"/>
                <w:b w:val="1"/>
                <w:bCs w:val="1"/>
                <w:color w:val="FFFFFF"/>
              </w:rPr>
              <w:t>RSUs</w:t>
            </w:r>
          </w:p>
        </w:tc>
        <w:tc>
          <w:tcPr>
            <w:tcW w:w="1460" w:type="dxa"/>
            <w:vAlign w:val="bottom"/>
            <w:shd w:val="clear" w:color="auto" w:fill="444444"/>
          </w:tcPr>
          <w:p>
            <w:pPr>
              <w:jc w:val="right"/>
              <w:ind w:right="114"/>
              <w:spacing w:after="0"/>
              <w:rPr>
                <w:sz w:val="20"/>
                <w:szCs w:val="20"/>
                <w:color w:val="auto"/>
              </w:rPr>
            </w:pPr>
            <w:r>
              <w:rPr>
                <w:rFonts w:ascii="Arial" w:cs="Arial" w:eastAsia="Arial" w:hAnsi="Arial"/>
                <w:sz w:val="14"/>
                <w:szCs w:val="14"/>
                <w:b w:val="1"/>
                <w:bCs w:val="1"/>
                <w:color w:val="FFFFFF"/>
              </w:rPr>
              <w:t>Compensation</w:t>
            </w:r>
          </w:p>
        </w:tc>
        <w:tc>
          <w:tcPr>
            <w:tcW w:w="1020" w:type="dxa"/>
            <w:vAlign w:val="bottom"/>
            <w:shd w:val="clear" w:color="auto" w:fill="444444"/>
          </w:tcPr>
          <w:p>
            <w:pPr>
              <w:jc w:val="right"/>
              <w:ind w:right="33"/>
              <w:spacing w:after="0"/>
              <w:rPr>
                <w:sz w:val="20"/>
                <w:szCs w:val="20"/>
                <w:color w:val="auto"/>
              </w:rPr>
            </w:pPr>
            <w:r>
              <w:rPr>
                <w:rFonts w:ascii="Arial" w:cs="Arial" w:eastAsia="Arial" w:hAnsi="Arial"/>
                <w:sz w:val="14"/>
                <w:szCs w:val="14"/>
                <w:b w:val="1"/>
                <w:bCs w:val="1"/>
                <w:color w:val="FFFFFF"/>
              </w:rPr>
              <w:t>Total</w:t>
            </w:r>
          </w:p>
        </w:tc>
      </w:tr>
      <w:tr>
        <w:trPr>
          <w:trHeight w:val="189"/>
        </w:trPr>
        <w:tc>
          <w:tcPr>
            <w:tcW w:w="4460" w:type="dxa"/>
            <w:vAlign w:val="bottom"/>
            <w:shd w:val="clear" w:color="auto" w:fill="444444"/>
          </w:tcPr>
          <w:p>
            <w:pPr>
              <w:ind w:left="60"/>
              <w:spacing w:after="0"/>
              <w:rPr>
                <w:sz w:val="20"/>
                <w:szCs w:val="20"/>
                <w:color w:val="auto"/>
              </w:rPr>
            </w:pPr>
            <w:r>
              <w:rPr>
                <w:rFonts w:ascii="Arial" w:cs="Arial" w:eastAsia="Arial" w:hAnsi="Arial"/>
                <w:sz w:val="14"/>
                <w:szCs w:val="14"/>
                <w:b w:val="1"/>
                <w:bCs w:val="1"/>
                <w:color w:val="FFFFFF"/>
              </w:rPr>
              <w:t>Name</w:t>
            </w:r>
          </w:p>
        </w:tc>
        <w:tc>
          <w:tcPr>
            <w:tcW w:w="3040" w:type="dxa"/>
            <w:vAlign w:val="bottom"/>
            <w:shd w:val="clear" w:color="auto" w:fill="444444"/>
          </w:tcPr>
          <w:p>
            <w:pPr>
              <w:jc w:val="right"/>
              <w:ind w:right="55"/>
              <w:spacing w:after="0"/>
              <w:rPr>
                <w:sz w:val="20"/>
                <w:szCs w:val="20"/>
                <w:color w:val="auto"/>
              </w:rPr>
            </w:pPr>
            <w:r>
              <w:rPr>
                <w:rFonts w:ascii="Arial" w:cs="Arial" w:eastAsia="Arial" w:hAnsi="Arial"/>
                <w:sz w:val="14"/>
                <w:szCs w:val="14"/>
                <w:b w:val="1"/>
                <w:bCs w:val="1"/>
                <w:color w:val="FFFFFF"/>
              </w:rPr>
              <w:t>($)</w:t>
            </w:r>
          </w:p>
        </w:tc>
        <w:tc>
          <w:tcPr>
            <w:tcW w:w="1040" w:type="dxa"/>
            <w:vAlign w:val="bottom"/>
            <w:shd w:val="clear" w:color="auto" w:fill="444444"/>
          </w:tcPr>
          <w:p>
            <w:pPr>
              <w:jc w:val="right"/>
              <w:ind w:right="153"/>
              <w:spacing w:after="0" w:line="175"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0"/>
                <w:szCs w:val="20"/>
                <w:b w:val="1"/>
                <w:bCs w:val="1"/>
                <w:color w:val="FFFFFF"/>
                <w:vertAlign w:val="superscript"/>
              </w:rPr>
              <w:t>(2)</w:t>
            </w:r>
          </w:p>
        </w:tc>
        <w:tc>
          <w:tcPr>
            <w:tcW w:w="1460" w:type="dxa"/>
            <w:vAlign w:val="bottom"/>
            <w:shd w:val="clear" w:color="auto" w:fill="444444"/>
          </w:tcPr>
          <w:p>
            <w:pPr>
              <w:jc w:val="right"/>
              <w:ind w:right="114"/>
              <w:spacing w:after="0" w:line="175"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0"/>
                <w:szCs w:val="20"/>
                <w:b w:val="1"/>
                <w:bCs w:val="1"/>
                <w:color w:val="FFFFFF"/>
                <w:vertAlign w:val="superscript"/>
              </w:rPr>
              <w:t>(3)</w:t>
            </w:r>
          </w:p>
        </w:tc>
        <w:tc>
          <w:tcPr>
            <w:tcW w:w="1020" w:type="dxa"/>
            <w:vAlign w:val="bottom"/>
            <w:shd w:val="clear" w:color="auto" w:fill="444444"/>
          </w:tcPr>
          <w:p>
            <w:pPr>
              <w:jc w:val="right"/>
              <w:ind w:right="33"/>
              <w:spacing w:after="0"/>
              <w:rPr>
                <w:sz w:val="20"/>
                <w:szCs w:val="20"/>
                <w:color w:val="auto"/>
              </w:rPr>
            </w:pPr>
            <w:r>
              <w:rPr>
                <w:rFonts w:ascii="Arial" w:cs="Arial" w:eastAsia="Arial" w:hAnsi="Arial"/>
                <w:sz w:val="14"/>
                <w:szCs w:val="14"/>
                <w:b w:val="1"/>
                <w:bCs w:val="1"/>
                <w:color w:val="FFFFFF"/>
              </w:rPr>
              <w:t>($)</w:t>
            </w:r>
          </w:p>
        </w:tc>
      </w:tr>
      <w:tr>
        <w:trPr>
          <w:trHeight w:val="203"/>
        </w:trPr>
        <w:tc>
          <w:tcPr>
            <w:tcW w:w="446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 Don Cornwell</w:t>
            </w:r>
          </w:p>
        </w:tc>
        <w:tc>
          <w:tcPr>
            <w:tcW w:w="3040" w:type="dxa"/>
            <w:vAlign w:val="bottom"/>
            <w:shd w:val="clear" w:color="auto" w:fill="E5E5E5"/>
          </w:tcPr>
          <w:p>
            <w:pPr>
              <w:jc w:val="right"/>
              <w:ind w:right="55"/>
              <w:spacing w:after="0" w:line="202" w:lineRule="exact"/>
              <w:rPr>
                <w:sz w:val="20"/>
                <w:szCs w:val="20"/>
                <w:color w:val="auto"/>
              </w:rPr>
            </w:pPr>
            <w:r>
              <w:rPr>
                <w:rFonts w:ascii="Arial" w:cs="Arial" w:eastAsia="Arial" w:hAnsi="Arial"/>
                <w:sz w:val="18"/>
                <w:szCs w:val="18"/>
                <w:color w:val="auto"/>
              </w:rPr>
              <w:t>150,000</w:t>
            </w:r>
          </w:p>
        </w:tc>
        <w:tc>
          <w:tcPr>
            <w:tcW w:w="1040" w:type="dxa"/>
            <w:vAlign w:val="bottom"/>
            <w:shd w:val="clear" w:color="auto" w:fill="E5E5E5"/>
          </w:tcPr>
          <w:p>
            <w:pPr>
              <w:jc w:val="right"/>
              <w:ind w:right="153"/>
              <w:spacing w:after="0" w:line="202" w:lineRule="exact"/>
              <w:rPr>
                <w:sz w:val="20"/>
                <w:szCs w:val="20"/>
                <w:color w:val="auto"/>
              </w:rPr>
            </w:pPr>
            <w:r>
              <w:rPr>
                <w:rFonts w:ascii="Arial" w:cs="Arial" w:eastAsia="Arial" w:hAnsi="Arial"/>
                <w:sz w:val="18"/>
                <w:szCs w:val="18"/>
                <w:color w:val="auto"/>
              </w:rPr>
              <w:t>200,003</w:t>
            </w:r>
          </w:p>
        </w:tc>
        <w:tc>
          <w:tcPr>
            <w:tcW w:w="146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20,000</w:t>
            </w:r>
          </w:p>
        </w:tc>
        <w:tc>
          <w:tcPr>
            <w:tcW w:w="1020" w:type="dxa"/>
            <w:vAlign w:val="bottom"/>
            <w:shd w:val="clear" w:color="auto" w:fill="E5E5E5"/>
          </w:tcPr>
          <w:p>
            <w:pPr>
              <w:jc w:val="right"/>
              <w:ind w:right="73"/>
              <w:spacing w:after="0" w:line="202" w:lineRule="exact"/>
              <w:rPr>
                <w:sz w:val="20"/>
                <w:szCs w:val="20"/>
                <w:color w:val="auto"/>
              </w:rPr>
            </w:pPr>
            <w:r>
              <w:rPr>
                <w:rFonts w:ascii="Arial" w:cs="Arial" w:eastAsia="Arial" w:hAnsi="Arial"/>
                <w:sz w:val="18"/>
                <w:szCs w:val="18"/>
                <w:color w:val="auto"/>
              </w:rPr>
              <w:t>370,003</w:t>
            </w:r>
          </w:p>
        </w:tc>
      </w:tr>
      <w:tr>
        <w:trPr>
          <w:trHeight w:val="202"/>
        </w:trPr>
        <w:tc>
          <w:tcPr>
            <w:tcW w:w="4460" w:type="dxa"/>
            <w:vAlign w:val="bottom"/>
          </w:tcPr>
          <w:p>
            <w:pPr>
              <w:ind w:left="80"/>
              <w:spacing w:after="0" w:line="202" w:lineRule="exact"/>
              <w:rPr>
                <w:sz w:val="20"/>
                <w:szCs w:val="20"/>
                <w:color w:val="auto"/>
              </w:rPr>
            </w:pPr>
            <w:r>
              <w:rPr>
                <w:rFonts w:ascii="Arial" w:cs="Arial" w:eastAsia="Arial" w:hAnsi="Arial"/>
                <w:sz w:val="18"/>
                <w:szCs w:val="18"/>
                <w:color w:val="auto"/>
              </w:rPr>
              <w:t>JoEllen Lyons Dillon</w:t>
            </w:r>
          </w:p>
        </w:tc>
        <w:tc>
          <w:tcPr>
            <w:tcW w:w="30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200,000</w:t>
            </w:r>
          </w:p>
        </w:tc>
        <w:tc>
          <w:tcPr>
            <w:tcW w:w="10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200,003</w:t>
            </w:r>
          </w:p>
        </w:tc>
        <w:tc>
          <w:tcPr>
            <w:tcW w:w="14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line="202" w:lineRule="exact"/>
              <w:rPr>
                <w:sz w:val="20"/>
                <w:szCs w:val="20"/>
                <w:color w:val="auto"/>
              </w:rPr>
            </w:pPr>
            <w:r>
              <w:rPr>
                <w:rFonts w:ascii="Arial" w:cs="Arial" w:eastAsia="Arial" w:hAnsi="Arial"/>
                <w:sz w:val="18"/>
                <w:szCs w:val="18"/>
                <w:color w:val="auto"/>
              </w:rPr>
              <w:t>400,003</w:t>
            </w:r>
          </w:p>
        </w:tc>
      </w:tr>
      <w:tr>
        <w:trPr>
          <w:trHeight w:val="203"/>
        </w:trPr>
        <w:tc>
          <w:tcPr>
            <w:tcW w:w="446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Neil Dimick</w:t>
            </w:r>
          </w:p>
        </w:tc>
        <w:tc>
          <w:tcPr>
            <w:tcW w:w="3040" w:type="dxa"/>
            <w:vAlign w:val="bottom"/>
            <w:shd w:val="clear" w:color="auto" w:fill="E5E5E5"/>
          </w:tcPr>
          <w:p>
            <w:pPr>
              <w:jc w:val="right"/>
              <w:ind w:right="55"/>
              <w:spacing w:after="0" w:line="202" w:lineRule="exact"/>
              <w:rPr>
                <w:sz w:val="20"/>
                <w:szCs w:val="20"/>
                <w:color w:val="auto"/>
              </w:rPr>
            </w:pPr>
            <w:r>
              <w:rPr>
                <w:rFonts w:ascii="Arial" w:cs="Arial" w:eastAsia="Arial" w:hAnsi="Arial"/>
                <w:sz w:val="18"/>
                <w:szCs w:val="18"/>
                <w:color w:val="auto"/>
              </w:rPr>
              <w:t>200,000</w:t>
            </w:r>
          </w:p>
        </w:tc>
        <w:tc>
          <w:tcPr>
            <w:tcW w:w="1040" w:type="dxa"/>
            <w:vAlign w:val="bottom"/>
            <w:shd w:val="clear" w:color="auto" w:fill="E5E5E5"/>
          </w:tcPr>
          <w:p>
            <w:pPr>
              <w:jc w:val="right"/>
              <w:ind w:right="153"/>
              <w:spacing w:after="0" w:line="202" w:lineRule="exact"/>
              <w:rPr>
                <w:sz w:val="20"/>
                <w:szCs w:val="20"/>
                <w:color w:val="auto"/>
              </w:rPr>
            </w:pPr>
            <w:r>
              <w:rPr>
                <w:rFonts w:ascii="Arial" w:cs="Arial" w:eastAsia="Arial" w:hAnsi="Arial"/>
                <w:sz w:val="18"/>
                <w:szCs w:val="18"/>
                <w:color w:val="auto"/>
              </w:rPr>
              <w:t>200,003</w:t>
            </w:r>
          </w:p>
        </w:tc>
        <w:tc>
          <w:tcPr>
            <w:tcW w:w="146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20,000</w:t>
            </w:r>
          </w:p>
        </w:tc>
        <w:tc>
          <w:tcPr>
            <w:tcW w:w="1020" w:type="dxa"/>
            <w:vAlign w:val="bottom"/>
            <w:shd w:val="clear" w:color="auto" w:fill="E5E5E5"/>
          </w:tcPr>
          <w:p>
            <w:pPr>
              <w:jc w:val="right"/>
              <w:ind w:right="73"/>
              <w:spacing w:after="0" w:line="202" w:lineRule="exact"/>
              <w:rPr>
                <w:sz w:val="20"/>
                <w:szCs w:val="20"/>
                <w:color w:val="auto"/>
              </w:rPr>
            </w:pPr>
            <w:r>
              <w:rPr>
                <w:rFonts w:ascii="Arial" w:cs="Arial" w:eastAsia="Arial" w:hAnsi="Arial"/>
                <w:sz w:val="18"/>
                <w:szCs w:val="18"/>
                <w:color w:val="auto"/>
              </w:rPr>
              <w:t>420,003</w:t>
            </w:r>
          </w:p>
        </w:tc>
      </w:tr>
      <w:tr>
        <w:trPr>
          <w:trHeight w:val="203"/>
        </w:trPr>
        <w:tc>
          <w:tcPr>
            <w:tcW w:w="4460" w:type="dxa"/>
            <w:vAlign w:val="bottom"/>
          </w:tcPr>
          <w:p>
            <w:pPr>
              <w:ind w:left="80"/>
              <w:spacing w:after="0" w:line="202" w:lineRule="exact"/>
              <w:rPr>
                <w:sz w:val="20"/>
                <w:szCs w:val="20"/>
                <w:color w:val="auto"/>
              </w:rPr>
            </w:pPr>
            <w:r>
              <w:rPr>
                <w:rFonts w:ascii="Arial" w:cs="Arial" w:eastAsia="Arial" w:hAnsi="Arial"/>
                <w:sz w:val="18"/>
                <w:szCs w:val="18"/>
                <w:color w:val="auto"/>
              </w:rPr>
              <w:t>Melina Higgins</w:t>
            </w:r>
          </w:p>
        </w:tc>
        <w:tc>
          <w:tcPr>
            <w:tcW w:w="30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225,000</w:t>
            </w:r>
          </w:p>
        </w:tc>
        <w:tc>
          <w:tcPr>
            <w:tcW w:w="10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200,003</w:t>
            </w:r>
          </w:p>
        </w:tc>
        <w:tc>
          <w:tcPr>
            <w:tcW w:w="14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20,000</w:t>
            </w:r>
          </w:p>
        </w:tc>
        <w:tc>
          <w:tcPr>
            <w:tcW w:w="1020" w:type="dxa"/>
            <w:vAlign w:val="bottom"/>
          </w:tcPr>
          <w:p>
            <w:pPr>
              <w:jc w:val="right"/>
              <w:ind w:right="73"/>
              <w:spacing w:after="0" w:line="202" w:lineRule="exact"/>
              <w:rPr>
                <w:sz w:val="20"/>
                <w:szCs w:val="20"/>
                <w:color w:val="auto"/>
              </w:rPr>
            </w:pPr>
            <w:r>
              <w:rPr>
                <w:rFonts w:ascii="Arial" w:cs="Arial" w:eastAsia="Arial" w:hAnsi="Arial"/>
                <w:sz w:val="18"/>
                <w:szCs w:val="18"/>
                <w:color w:val="auto"/>
              </w:rPr>
              <w:t>445,003</w:t>
            </w:r>
          </w:p>
        </w:tc>
      </w:tr>
      <w:tr>
        <w:trPr>
          <w:trHeight w:val="203"/>
        </w:trPr>
        <w:tc>
          <w:tcPr>
            <w:tcW w:w="446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James Kilts</w:t>
            </w:r>
          </w:p>
        </w:tc>
        <w:tc>
          <w:tcPr>
            <w:tcW w:w="3040" w:type="dxa"/>
            <w:vAlign w:val="bottom"/>
            <w:shd w:val="clear" w:color="auto" w:fill="E5E5E5"/>
          </w:tcPr>
          <w:p>
            <w:pPr>
              <w:jc w:val="right"/>
              <w:ind w:right="55"/>
              <w:spacing w:after="0" w:line="202" w:lineRule="exact"/>
              <w:rPr>
                <w:sz w:val="20"/>
                <w:szCs w:val="20"/>
                <w:color w:val="auto"/>
              </w:rPr>
            </w:pPr>
            <w:r>
              <w:rPr>
                <w:rFonts w:ascii="Arial" w:cs="Arial" w:eastAsia="Arial" w:hAnsi="Arial"/>
                <w:sz w:val="18"/>
                <w:szCs w:val="18"/>
                <w:color w:val="auto"/>
              </w:rPr>
              <w:t>150,000</w:t>
            </w:r>
          </w:p>
        </w:tc>
        <w:tc>
          <w:tcPr>
            <w:tcW w:w="1040" w:type="dxa"/>
            <w:vAlign w:val="bottom"/>
            <w:shd w:val="clear" w:color="auto" w:fill="E5E5E5"/>
          </w:tcPr>
          <w:p>
            <w:pPr>
              <w:jc w:val="right"/>
              <w:ind w:right="153"/>
              <w:spacing w:after="0" w:line="202" w:lineRule="exact"/>
              <w:rPr>
                <w:sz w:val="20"/>
                <w:szCs w:val="20"/>
                <w:color w:val="auto"/>
              </w:rPr>
            </w:pPr>
            <w:r>
              <w:rPr>
                <w:rFonts w:ascii="Arial" w:cs="Arial" w:eastAsia="Arial" w:hAnsi="Arial"/>
                <w:sz w:val="18"/>
                <w:szCs w:val="18"/>
                <w:color w:val="auto"/>
              </w:rPr>
              <w:t>200,003</w:t>
            </w:r>
          </w:p>
        </w:tc>
        <w:tc>
          <w:tcPr>
            <w:tcW w:w="146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20,000</w:t>
            </w:r>
          </w:p>
        </w:tc>
        <w:tc>
          <w:tcPr>
            <w:tcW w:w="1020" w:type="dxa"/>
            <w:vAlign w:val="bottom"/>
            <w:shd w:val="clear" w:color="auto" w:fill="E5E5E5"/>
          </w:tcPr>
          <w:p>
            <w:pPr>
              <w:jc w:val="right"/>
              <w:ind w:right="73"/>
              <w:spacing w:after="0" w:line="202" w:lineRule="exact"/>
              <w:rPr>
                <w:sz w:val="20"/>
                <w:szCs w:val="20"/>
                <w:color w:val="auto"/>
              </w:rPr>
            </w:pPr>
            <w:r>
              <w:rPr>
                <w:rFonts w:ascii="Arial" w:cs="Arial" w:eastAsia="Arial" w:hAnsi="Arial"/>
                <w:sz w:val="18"/>
                <w:szCs w:val="18"/>
                <w:color w:val="auto"/>
              </w:rPr>
              <w:t>370,003</w:t>
            </w:r>
          </w:p>
        </w:tc>
      </w:tr>
      <w:tr>
        <w:trPr>
          <w:trHeight w:val="203"/>
        </w:trPr>
        <w:tc>
          <w:tcPr>
            <w:tcW w:w="4460" w:type="dxa"/>
            <w:vAlign w:val="bottom"/>
          </w:tcPr>
          <w:p>
            <w:pPr>
              <w:ind w:left="80"/>
              <w:spacing w:after="0" w:line="202" w:lineRule="exact"/>
              <w:rPr>
                <w:sz w:val="20"/>
                <w:szCs w:val="20"/>
                <w:color w:val="auto"/>
              </w:rPr>
            </w:pPr>
            <w:r>
              <w:rPr>
                <w:rFonts w:ascii="Arial" w:cs="Arial" w:eastAsia="Arial" w:hAnsi="Arial"/>
                <w:sz w:val="18"/>
                <w:szCs w:val="18"/>
                <w:color w:val="auto"/>
              </w:rPr>
              <w:t>Harry A. Korman</w:t>
            </w:r>
          </w:p>
        </w:tc>
        <w:tc>
          <w:tcPr>
            <w:tcW w:w="30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175,000</w:t>
            </w:r>
          </w:p>
        </w:tc>
        <w:tc>
          <w:tcPr>
            <w:tcW w:w="10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200,003</w:t>
            </w:r>
          </w:p>
        </w:tc>
        <w:tc>
          <w:tcPr>
            <w:tcW w:w="14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line="202" w:lineRule="exact"/>
              <w:rPr>
                <w:sz w:val="20"/>
                <w:szCs w:val="20"/>
                <w:color w:val="auto"/>
              </w:rPr>
            </w:pPr>
            <w:r>
              <w:rPr>
                <w:rFonts w:ascii="Arial" w:cs="Arial" w:eastAsia="Arial" w:hAnsi="Arial"/>
                <w:sz w:val="18"/>
                <w:szCs w:val="18"/>
                <w:color w:val="auto"/>
              </w:rPr>
              <w:t>375,003</w:t>
            </w:r>
          </w:p>
        </w:tc>
      </w:tr>
      <w:tr>
        <w:trPr>
          <w:trHeight w:val="203"/>
        </w:trPr>
        <w:tc>
          <w:tcPr>
            <w:tcW w:w="446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Richard Mark</w:t>
            </w:r>
          </w:p>
        </w:tc>
        <w:tc>
          <w:tcPr>
            <w:tcW w:w="3040" w:type="dxa"/>
            <w:vAlign w:val="bottom"/>
            <w:shd w:val="clear" w:color="auto" w:fill="E5E5E5"/>
          </w:tcPr>
          <w:p>
            <w:pPr>
              <w:jc w:val="right"/>
              <w:ind w:right="55"/>
              <w:spacing w:after="0" w:line="202" w:lineRule="exact"/>
              <w:rPr>
                <w:sz w:val="20"/>
                <w:szCs w:val="20"/>
                <w:color w:val="auto"/>
              </w:rPr>
            </w:pPr>
            <w:r>
              <w:rPr>
                <w:rFonts w:ascii="Arial" w:cs="Arial" w:eastAsia="Arial" w:hAnsi="Arial"/>
                <w:sz w:val="18"/>
                <w:szCs w:val="18"/>
                <w:color w:val="auto"/>
              </w:rPr>
              <w:t>150,000</w:t>
            </w:r>
          </w:p>
        </w:tc>
        <w:tc>
          <w:tcPr>
            <w:tcW w:w="1040" w:type="dxa"/>
            <w:vAlign w:val="bottom"/>
            <w:shd w:val="clear" w:color="auto" w:fill="E5E5E5"/>
          </w:tcPr>
          <w:p>
            <w:pPr>
              <w:jc w:val="right"/>
              <w:ind w:right="153"/>
              <w:spacing w:after="0" w:line="202" w:lineRule="exact"/>
              <w:rPr>
                <w:sz w:val="20"/>
                <w:szCs w:val="20"/>
                <w:color w:val="auto"/>
              </w:rPr>
            </w:pPr>
            <w:r>
              <w:rPr>
                <w:rFonts w:ascii="Arial" w:cs="Arial" w:eastAsia="Arial" w:hAnsi="Arial"/>
                <w:sz w:val="18"/>
                <w:szCs w:val="18"/>
                <w:color w:val="auto"/>
              </w:rPr>
              <w:t>200,003</w:t>
            </w:r>
          </w:p>
        </w:tc>
        <w:tc>
          <w:tcPr>
            <w:tcW w:w="146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20,000</w:t>
            </w:r>
          </w:p>
        </w:tc>
        <w:tc>
          <w:tcPr>
            <w:tcW w:w="1020" w:type="dxa"/>
            <w:vAlign w:val="bottom"/>
            <w:shd w:val="clear" w:color="auto" w:fill="E5E5E5"/>
          </w:tcPr>
          <w:p>
            <w:pPr>
              <w:jc w:val="right"/>
              <w:ind w:right="73"/>
              <w:spacing w:after="0" w:line="202" w:lineRule="exact"/>
              <w:rPr>
                <w:sz w:val="20"/>
                <w:szCs w:val="20"/>
                <w:color w:val="auto"/>
              </w:rPr>
            </w:pPr>
            <w:r>
              <w:rPr>
                <w:rFonts w:ascii="Arial" w:cs="Arial" w:eastAsia="Arial" w:hAnsi="Arial"/>
                <w:sz w:val="18"/>
                <w:szCs w:val="18"/>
                <w:color w:val="auto"/>
              </w:rPr>
              <w:t>370,003</w:t>
            </w:r>
          </w:p>
        </w:tc>
      </w:tr>
      <w:tr>
        <w:trPr>
          <w:trHeight w:val="203"/>
        </w:trPr>
        <w:tc>
          <w:tcPr>
            <w:tcW w:w="4460" w:type="dxa"/>
            <w:vAlign w:val="bottom"/>
          </w:tcPr>
          <w:p>
            <w:pPr>
              <w:ind w:left="80"/>
              <w:spacing w:after="0" w:line="202" w:lineRule="exact"/>
              <w:rPr>
                <w:sz w:val="20"/>
                <w:szCs w:val="20"/>
                <w:color w:val="auto"/>
              </w:rPr>
            </w:pPr>
            <w:r>
              <w:rPr>
                <w:rFonts w:ascii="Arial" w:cs="Arial" w:eastAsia="Arial" w:hAnsi="Arial"/>
                <w:sz w:val="18"/>
                <w:szCs w:val="18"/>
                <w:color w:val="auto"/>
              </w:rPr>
              <w:t>Mark W. Parrish</w:t>
            </w:r>
          </w:p>
        </w:tc>
        <w:tc>
          <w:tcPr>
            <w:tcW w:w="30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250,000</w:t>
            </w:r>
          </w:p>
        </w:tc>
        <w:tc>
          <w:tcPr>
            <w:tcW w:w="10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200,003</w:t>
            </w:r>
          </w:p>
        </w:tc>
        <w:tc>
          <w:tcPr>
            <w:tcW w:w="14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line="202" w:lineRule="exact"/>
              <w:rPr>
                <w:sz w:val="20"/>
                <w:szCs w:val="20"/>
                <w:color w:val="auto"/>
              </w:rPr>
            </w:pPr>
            <w:r>
              <w:rPr>
                <w:rFonts w:ascii="Arial" w:cs="Arial" w:eastAsia="Arial" w:hAnsi="Arial"/>
                <w:sz w:val="18"/>
                <w:szCs w:val="18"/>
                <w:color w:val="auto"/>
              </w:rPr>
              <w:t>450,003</w:t>
            </w:r>
          </w:p>
        </w:tc>
      </w:tr>
      <w:tr>
        <w:trPr>
          <w:trHeight w:val="203"/>
        </w:trPr>
        <w:tc>
          <w:tcPr>
            <w:tcW w:w="446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Ian Read</w:t>
            </w:r>
          </w:p>
        </w:tc>
        <w:tc>
          <w:tcPr>
            <w:tcW w:w="3040" w:type="dxa"/>
            <w:vAlign w:val="bottom"/>
            <w:shd w:val="clear" w:color="auto" w:fill="E5E5E5"/>
          </w:tcPr>
          <w:p>
            <w:pPr>
              <w:jc w:val="right"/>
              <w:ind w:right="55"/>
              <w:spacing w:after="0" w:line="202" w:lineRule="exact"/>
              <w:rPr>
                <w:sz w:val="20"/>
                <w:szCs w:val="20"/>
                <w:color w:val="auto"/>
              </w:rPr>
            </w:pPr>
            <w:r>
              <w:rPr>
                <w:rFonts w:ascii="Arial" w:cs="Arial" w:eastAsia="Arial" w:hAnsi="Arial"/>
                <w:sz w:val="18"/>
                <w:szCs w:val="18"/>
                <w:color w:val="auto"/>
              </w:rPr>
              <w:t>175,000</w:t>
            </w:r>
          </w:p>
        </w:tc>
        <w:tc>
          <w:tcPr>
            <w:tcW w:w="1040" w:type="dxa"/>
            <w:vAlign w:val="bottom"/>
            <w:shd w:val="clear" w:color="auto" w:fill="E5E5E5"/>
          </w:tcPr>
          <w:p>
            <w:pPr>
              <w:jc w:val="right"/>
              <w:ind w:right="153"/>
              <w:spacing w:after="0" w:line="202" w:lineRule="exact"/>
              <w:rPr>
                <w:sz w:val="20"/>
                <w:szCs w:val="20"/>
                <w:color w:val="auto"/>
              </w:rPr>
            </w:pPr>
            <w:r>
              <w:rPr>
                <w:rFonts w:ascii="Arial" w:cs="Arial" w:eastAsia="Arial" w:hAnsi="Arial"/>
                <w:sz w:val="18"/>
                <w:szCs w:val="18"/>
                <w:color w:val="auto"/>
              </w:rPr>
              <w:t>200,003</w:t>
            </w:r>
          </w:p>
        </w:tc>
        <w:tc>
          <w:tcPr>
            <w:tcW w:w="146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73"/>
              <w:spacing w:after="0" w:line="202" w:lineRule="exact"/>
              <w:rPr>
                <w:sz w:val="20"/>
                <w:szCs w:val="20"/>
                <w:color w:val="auto"/>
              </w:rPr>
            </w:pPr>
            <w:r>
              <w:rPr>
                <w:rFonts w:ascii="Arial" w:cs="Arial" w:eastAsia="Arial" w:hAnsi="Arial"/>
                <w:sz w:val="18"/>
                <w:szCs w:val="18"/>
                <w:color w:val="auto"/>
              </w:rPr>
              <w:t>375,003</w:t>
            </w:r>
          </w:p>
        </w:tc>
      </w:tr>
      <w:tr>
        <w:trPr>
          <w:trHeight w:val="217"/>
        </w:trPr>
        <w:tc>
          <w:tcPr>
            <w:tcW w:w="4460" w:type="dxa"/>
            <w:vAlign w:val="bottom"/>
          </w:tcPr>
          <w:p>
            <w:pPr>
              <w:ind w:left="80"/>
              <w:spacing w:after="0"/>
              <w:rPr>
                <w:sz w:val="20"/>
                <w:szCs w:val="20"/>
                <w:color w:val="auto"/>
              </w:rPr>
            </w:pPr>
            <w:r>
              <w:rPr>
                <w:rFonts w:ascii="Arial" w:cs="Arial" w:eastAsia="Arial" w:hAnsi="Arial"/>
                <w:sz w:val="18"/>
                <w:szCs w:val="18"/>
                <w:color w:val="auto"/>
              </w:rPr>
              <w:t>Pauline van der Meer Mohr</w:t>
            </w:r>
            <w:r>
              <w:rPr>
                <w:rFonts w:ascii="Arial" w:cs="Arial" w:eastAsia="Arial" w:hAnsi="Arial"/>
                <w:sz w:val="12"/>
                <w:szCs w:val="12"/>
                <w:color w:val="auto"/>
              </w:rPr>
              <w:t>(1)</w:t>
            </w:r>
          </w:p>
        </w:tc>
        <w:tc>
          <w:tcPr>
            <w:tcW w:w="3040" w:type="dxa"/>
            <w:vAlign w:val="bottom"/>
          </w:tcPr>
          <w:p>
            <w:pPr>
              <w:jc w:val="right"/>
              <w:ind w:right="55"/>
              <w:spacing w:after="0"/>
              <w:rPr>
                <w:sz w:val="20"/>
                <w:szCs w:val="20"/>
                <w:color w:val="auto"/>
              </w:rPr>
            </w:pPr>
            <w:r>
              <w:rPr>
                <w:rFonts w:ascii="Arial" w:cs="Arial" w:eastAsia="Arial" w:hAnsi="Arial"/>
                <w:sz w:val="18"/>
                <w:szCs w:val="18"/>
                <w:color w:val="auto"/>
              </w:rPr>
              <w:t>150,000</w:t>
            </w: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200,003</w:t>
            </w:r>
          </w:p>
        </w:tc>
        <w:tc>
          <w:tcPr>
            <w:tcW w:w="146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350,003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wp:posOffset>
            </wp:positionV>
            <wp:extent cx="6995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540" w:right="20" w:hanging="424"/>
        <w:spacing w:after="0" w:line="247" w:lineRule="auto"/>
        <w:tabs>
          <w:tab w:leader="none" w:pos="540"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Fees earned by Ms. van der Meer Mohr were paid in Euros. Such amounts were converted into Euros using the monthly conversion rate in effect when each payment was made.</w:t>
      </w:r>
    </w:p>
    <w:p>
      <w:pPr>
        <w:jc w:val="both"/>
        <w:ind w:left="540" w:right="20" w:hanging="424"/>
        <w:spacing w:after="0" w:line="250" w:lineRule="auto"/>
        <w:tabs>
          <w:tab w:leader="none" w:pos="540"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grant date fair value of the specific award granted to the Non-Employee Director. RSU awards granted in 2021 vested on March 2, 2022. For information regarding assumptions used in determining the amounts reflected in the table above, please refer to Note 13 to the Company’s Consolidated Financial Statements contained in the Original Filing. The number of unvested RSUs held by each of the Non-Employee Directors, as of December 31, 2021, were as follows: Mr. Cornwell; 14,331, Ms. Dillon, 14,331; Mr. Dimick, 14,331; Ms. Higgins, 14,331; Mr. Kilts, 14,331; Mr. Korman, 14,331; Mr. Mark, 14,331; Mr. Parrish, 14,331;</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86"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540" w:right="20"/>
        <w:spacing w:after="0" w:line="251" w:lineRule="auto"/>
        <w:rPr>
          <w:sz w:val="20"/>
          <w:szCs w:val="20"/>
          <w:color w:val="auto"/>
        </w:rPr>
      </w:pPr>
      <w:r>
        <w:rPr>
          <w:rFonts w:ascii="Arial" w:cs="Arial" w:eastAsia="Arial" w:hAnsi="Arial"/>
          <w:sz w:val="16"/>
          <w:szCs w:val="16"/>
          <w:i w:val="1"/>
          <w:iCs w:val="1"/>
          <w:color w:val="auto"/>
        </w:rPr>
        <w:t>Mr. Read, 14,331; and Ms. van der Meer Mohr, 14,331. Amounts include all accrued and unvested whole share DEUs that vest only to the extent and at the same time the underlying award on which they are issued vest. The aggregate number of shares subject to stock options held by the Non-Employee Directors, as of December 31, 2021, were as follows: Ms. Dillon, 24,780; Mr. Dimick, 24,780; Ms. Higgins, 31,403; Mr. Korman, 30,770; Mr. Mark, 12,260; Mr. Parrish, 24,780; and Ms. van der Meer Mohr, 13,949.</w:t>
      </w:r>
    </w:p>
    <w:p>
      <w:pPr>
        <w:spacing w:after="0" w:line="2" w:lineRule="exact"/>
        <w:rPr>
          <w:sz w:val="20"/>
          <w:szCs w:val="20"/>
          <w:color w:val="auto"/>
        </w:rPr>
      </w:pPr>
    </w:p>
    <w:p>
      <w:pPr>
        <w:ind w:left="540" w:hanging="424"/>
        <w:spacing w:after="0"/>
        <w:tabs>
          <w:tab w:leader="none" w:pos="540" w:val="left"/>
        </w:tabs>
        <w:numPr>
          <w:ilvl w:val="0"/>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represent charitable contributions made in 2021 under our matching gift program.</w:t>
      </w:r>
    </w:p>
    <w:p>
      <w:pPr>
        <w:spacing w:after="0" w:line="221" w:lineRule="exact"/>
        <w:rPr>
          <w:sz w:val="20"/>
          <w:szCs w:val="20"/>
          <w:color w:val="auto"/>
        </w:rPr>
      </w:pPr>
    </w:p>
    <w:p>
      <w:pPr>
        <w:jc w:val="both"/>
        <w:ind w:left="120" w:right="20"/>
        <w:spacing w:after="0" w:line="251" w:lineRule="auto"/>
        <w:rPr>
          <w:sz w:val="20"/>
          <w:szCs w:val="20"/>
          <w:color w:val="auto"/>
        </w:rPr>
      </w:pPr>
      <w:r>
        <w:rPr>
          <w:rFonts w:ascii="Arial" w:cs="Arial" w:eastAsia="Arial" w:hAnsi="Arial"/>
          <w:sz w:val="16"/>
          <w:szCs w:val="16"/>
          <w:color w:val="auto"/>
        </w:rPr>
        <w:t>Viatris’ compensation philosophy for Non-Employee Directors is designed to attract and retain Directors with the experience necessary to represent the Company and oversee executive management. On an annual basis, the Compensation Committee considers market data for our Compensation Peer Group and input received from the Compensation Committee’s consultant regarding market practices for Director compensation. Any changes to Director compensation are approved by the Compensation Committee and the independent Directors.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 Structure for 2022</w:t>
      </w:r>
    </w:p>
    <w:p>
      <w:pPr>
        <w:spacing w:after="0" w:line="128"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In March 2022, the Compensation Committee and the independent Directors approved the following Non-Employee Director compensation structure effective as of January 2022:</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80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Element of Compensation</w:t>
            </w:r>
          </w:p>
        </w:tc>
        <w:tc>
          <w:tcPr>
            <w:tcW w:w="1220" w:type="dxa"/>
            <w:vAlign w:val="bottom"/>
            <w:shd w:val="clear" w:color="auto" w:fill="732282"/>
          </w:tcPr>
          <w:p>
            <w:pPr>
              <w:jc w:val="right"/>
              <w:ind w:right="141"/>
              <w:spacing w:after="0"/>
              <w:rPr>
                <w:sz w:val="20"/>
                <w:szCs w:val="20"/>
                <w:color w:val="auto"/>
              </w:rPr>
            </w:pPr>
            <w:r>
              <w:rPr>
                <w:rFonts w:ascii="Arial" w:cs="Arial" w:eastAsia="Arial" w:hAnsi="Arial"/>
                <w:sz w:val="14"/>
                <w:szCs w:val="14"/>
                <w:b w:val="1"/>
                <w:bCs w:val="1"/>
                <w:color w:val="FFFFFF"/>
              </w:rPr>
              <w:t>Amount</w:t>
            </w:r>
          </w:p>
        </w:tc>
      </w:tr>
      <w:tr>
        <w:trPr>
          <w:trHeight w:val="189"/>
        </w:trPr>
        <w:tc>
          <w:tcPr>
            <w:tcW w:w="9800" w:type="dxa"/>
            <w:vAlign w:val="bottom"/>
            <w:shd w:val="clear" w:color="auto" w:fill="E5E5E5"/>
          </w:tcPr>
          <w:p>
            <w:pPr>
              <w:ind w:left="60"/>
              <w:spacing w:after="0"/>
              <w:rPr>
                <w:sz w:val="20"/>
                <w:szCs w:val="20"/>
                <w:color w:val="auto"/>
              </w:rPr>
            </w:pPr>
            <w:r>
              <w:rPr>
                <w:rFonts w:ascii="Arial" w:cs="Arial" w:eastAsia="Arial" w:hAnsi="Arial"/>
                <w:sz w:val="16"/>
                <w:szCs w:val="16"/>
                <w:color w:val="auto"/>
              </w:rPr>
              <w:t>Board Member Retainer</w:t>
            </w:r>
          </w:p>
        </w:tc>
        <w:tc>
          <w:tcPr>
            <w:tcW w:w="122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$150,000</w:t>
            </w:r>
          </w:p>
        </w:tc>
      </w:tr>
      <w:tr>
        <w:trPr>
          <w:trHeight w:val="189"/>
        </w:trPr>
        <w:tc>
          <w:tcPr>
            <w:tcW w:w="9800" w:type="dxa"/>
            <w:vAlign w:val="bottom"/>
          </w:tcPr>
          <w:p>
            <w:pPr>
              <w:ind w:left="60"/>
              <w:spacing w:after="0"/>
              <w:rPr>
                <w:sz w:val="20"/>
                <w:szCs w:val="20"/>
                <w:color w:val="auto"/>
              </w:rPr>
            </w:pPr>
            <w:r>
              <w:rPr>
                <w:rFonts w:ascii="Arial" w:cs="Arial" w:eastAsia="Arial" w:hAnsi="Arial"/>
                <w:sz w:val="16"/>
                <w:szCs w:val="16"/>
                <w:color w:val="auto"/>
              </w:rPr>
              <w:t>Committee Chair Fee</w:t>
            </w:r>
          </w:p>
        </w:tc>
        <w:tc>
          <w:tcPr>
            <w:tcW w:w="1220" w:type="dxa"/>
            <w:vAlign w:val="bottom"/>
          </w:tcPr>
          <w:p>
            <w:pPr>
              <w:jc w:val="right"/>
              <w:ind w:right="141"/>
              <w:spacing w:after="0"/>
              <w:rPr>
                <w:sz w:val="20"/>
                <w:szCs w:val="20"/>
                <w:color w:val="auto"/>
              </w:rPr>
            </w:pPr>
            <w:r>
              <w:rPr>
                <w:rFonts w:ascii="Arial" w:cs="Arial" w:eastAsia="Arial" w:hAnsi="Arial"/>
                <w:sz w:val="16"/>
                <w:szCs w:val="16"/>
                <w:color w:val="auto"/>
              </w:rPr>
              <w:t>$25,000</w:t>
            </w:r>
          </w:p>
        </w:tc>
      </w:tr>
      <w:tr>
        <w:trPr>
          <w:trHeight w:val="189"/>
        </w:trPr>
        <w:tc>
          <w:tcPr>
            <w:tcW w:w="9800" w:type="dxa"/>
            <w:vAlign w:val="bottom"/>
            <w:shd w:val="clear" w:color="auto" w:fill="E5E5E5"/>
          </w:tcPr>
          <w:p>
            <w:pPr>
              <w:ind w:left="60"/>
              <w:spacing w:after="0"/>
              <w:rPr>
                <w:sz w:val="20"/>
                <w:szCs w:val="20"/>
                <w:color w:val="auto"/>
              </w:rPr>
            </w:pPr>
            <w:r>
              <w:rPr>
                <w:rFonts w:ascii="Arial" w:cs="Arial" w:eastAsia="Arial" w:hAnsi="Arial"/>
                <w:sz w:val="16"/>
                <w:szCs w:val="16"/>
                <w:color w:val="auto"/>
              </w:rPr>
              <w:t>Executive Committee Member Fee</w:t>
            </w:r>
          </w:p>
        </w:tc>
        <w:tc>
          <w:tcPr>
            <w:tcW w:w="122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$25,000</w:t>
            </w:r>
          </w:p>
        </w:tc>
      </w:tr>
      <w:tr>
        <w:trPr>
          <w:trHeight w:val="189"/>
        </w:trPr>
        <w:tc>
          <w:tcPr>
            <w:tcW w:w="9800" w:type="dxa"/>
            <w:vAlign w:val="bottom"/>
          </w:tcPr>
          <w:p>
            <w:pPr>
              <w:ind w:left="60"/>
              <w:spacing w:after="0"/>
              <w:rPr>
                <w:sz w:val="20"/>
                <w:szCs w:val="20"/>
                <w:color w:val="auto"/>
              </w:rPr>
            </w:pPr>
            <w:r>
              <w:rPr>
                <w:rFonts w:ascii="Arial" w:cs="Arial" w:eastAsia="Arial" w:hAnsi="Arial"/>
                <w:sz w:val="16"/>
                <w:szCs w:val="16"/>
                <w:color w:val="auto"/>
              </w:rPr>
              <w:t>Lead Independent Director Compensation</w:t>
            </w:r>
          </w:p>
        </w:tc>
        <w:tc>
          <w:tcPr>
            <w:tcW w:w="1220" w:type="dxa"/>
            <w:vAlign w:val="bottom"/>
          </w:tcPr>
          <w:p>
            <w:pPr>
              <w:jc w:val="right"/>
              <w:ind w:right="141"/>
              <w:spacing w:after="0"/>
              <w:rPr>
                <w:sz w:val="20"/>
                <w:szCs w:val="20"/>
                <w:color w:val="auto"/>
              </w:rPr>
            </w:pPr>
            <w:r>
              <w:rPr>
                <w:rFonts w:ascii="Arial" w:cs="Arial" w:eastAsia="Arial" w:hAnsi="Arial"/>
                <w:sz w:val="16"/>
                <w:szCs w:val="16"/>
                <w:color w:val="auto"/>
              </w:rPr>
              <w:t>$50,000</w:t>
            </w:r>
          </w:p>
        </w:tc>
      </w:tr>
      <w:tr>
        <w:trPr>
          <w:trHeight w:val="189"/>
        </w:trPr>
        <w:tc>
          <w:tcPr>
            <w:tcW w:w="980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color w:val="auto"/>
              </w:rPr>
              <w:t>Annual Equity Grant Value (RSUs)</w:t>
            </w:r>
          </w:p>
        </w:tc>
        <w:tc>
          <w:tcPr>
            <w:tcW w:w="1220" w:type="dxa"/>
            <w:vAlign w:val="bottom"/>
            <w:tcBorders>
              <w:bottom w:val="single" w:sz="8" w:color="732282"/>
            </w:tcBorders>
            <w:shd w:val="clear" w:color="auto" w:fill="E5E5E5"/>
          </w:tcPr>
          <w:p>
            <w:pPr>
              <w:jc w:val="right"/>
              <w:ind w:right="141"/>
              <w:spacing w:after="0"/>
              <w:rPr>
                <w:sz w:val="20"/>
                <w:szCs w:val="20"/>
                <w:color w:val="auto"/>
              </w:rPr>
            </w:pPr>
            <w:r>
              <w:rPr>
                <w:rFonts w:ascii="Arial" w:cs="Arial" w:eastAsia="Arial" w:hAnsi="Arial"/>
                <w:sz w:val="16"/>
                <w:szCs w:val="16"/>
                <w:color w:val="auto"/>
              </w:rPr>
              <w:t>$200,000</w:t>
            </w:r>
          </w:p>
        </w:tc>
      </w:tr>
    </w:tbl>
    <w:p>
      <w:pPr>
        <w:spacing w:after="0" w:line="218"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6"/>
          <w:szCs w:val="16"/>
          <w:color w:val="auto"/>
        </w:rPr>
        <w:t>Non-Employee Directors are also eligible to receive matching charitable contributions under the Company’s Director Matching Gift Program. Under this program, to the extent Non-Employee Directors choose to make charitable contributions to qualifying charitable organizations, the Company matches those contributions dollar-for-dollar up to an annual limit of $20,000 per person per calendar year. Legacy Mylan directors also are eligible to receive tax-equalization payments for incremental tax liabilities, if any, incurred as a result of attendance at Mylan board meetings held outside the U.S. prior to the Combination.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Share Ownership Guidelines</w:t>
      </w:r>
    </w:p>
    <w:p>
      <w:pPr>
        <w:spacing w:after="0" w:line="128"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6"/>
          <w:szCs w:val="16"/>
          <w:color w:val="auto"/>
        </w:rPr>
        <w:t>Effective January 1, 2021, the Board adopted revised share ownership guidelines for Non-Employee Directors, requiring each to hold common stock valued at five times the amount of their annual cash retainer, excluding any cash retainer paid for committee service. Each Non-Employee Director has five years from his or her start date to attain compliance. These guidelines further demonstrate alignment of Viatris Directors’ interests with shareholders’ interests for the duration of their Board service. Common stock actually owned by the Non-Employee Director as well as restricted shares and unvested RSUs (including corresponding DEUs) count toward compliance with these requirements.</w:t>
      </w:r>
    </w:p>
    <w:p>
      <w:pPr>
        <w:spacing w:after="0" w:line="2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color w:val="auto"/>
        </w:rPr>
        <w:t>Security Ownership of Certain Beneficial Owners and Management and Related Stockholder Matters</w:t>
      </w:r>
    </w:p>
    <w:p>
      <w:pPr>
        <w:spacing w:after="0" w:line="128"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Certain information concerning securities authorized for issuance under equity compensation plans is contained in the discussion entitled “Equity Compensation Plan Information” in Item 12 of Part III of the Original Filing.</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86"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Security Ownership of Directors, Nominees and Executive Officers</w:t>
      </w:r>
    </w:p>
    <w:p>
      <w:pPr>
        <w:spacing w:after="0" w:line="128"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The following table sets forth information regarding the beneficial ownership of common stock of Viatris Inc. as of April 25, 2022 by (i) each Viatris Director, (ii) each NEO, and (iii) all Directors and executive officers of Viatris Inc. as a group (based on 1,212,301,241 shares of common stock of Viatris Inc. outstanding as of such date). For purposes of this table, and in accordance with the rules of the SEC, shares are considered “beneficially owned” if the person, directly or indirectly, has sole or shared voting or investment power over such shares. A person also is considered to beneficially own shares that he or she has the right to acquire within 60 days of April 25, 2022. To Viatris’ knowledge, the persons in the following table have sole voting and investment power, either directly or through one or more entities controlled by such person, with respect to all the shares shown as beneficially owned by them, unless otherwise indicated in the footnotes below. The address for each beneficial owner listed in the table below is c/o Viatris Inc., 1000 Mylan Boulevard, Canonsburg, PA, 15317. As noted above, each Non-Employee Director has five years from his or her start date to attain compliance with our Stock Ownership Guidelines. In addition, each of our covered employees has five years to achieve minimum ownership requirements, as discussed in more detail in the Compensation Discussion &amp; Analysis section of this document.</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80" w:type="dxa"/>
            <w:vAlign w:val="bottom"/>
            <w:shd w:val="clear" w:color="auto" w:fill="303030"/>
          </w:tcPr>
          <w:p>
            <w:pPr>
              <w:spacing w:after="0"/>
              <w:rPr>
                <w:sz w:val="14"/>
                <w:szCs w:val="14"/>
                <w:color w:val="auto"/>
              </w:rPr>
            </w:pPr>
          </w:p>
        </w:tc>
        <w:tc>
          <w:tcPr>
            <w:tcW w:w="2500" w:type="dxa"/>
            <w:vAlign w:val="bottom"/>
            <w:shd w:val="clear" w:color="auto" w:fill="303030"/>
          </w:tcPr>
          <w:p>
            <w:pPr>
              <w:spacing w:after="0"/>
              <w:rPr>
                <w:sz w:val="14"/>
                <w:szCs w:val="14"/>
                <w:color w:val="auto"/>
              </w:rPr>
            </w:pPr>
          </w:p>
        </w:tc>
        <w:tc>
          <w:tcPr>
            <w:tcW w:w="1580" w:type="dxa"/>
            <w:vAlign w:val="bottom"/>
            <w:shd w:val="clear" w:color="auto" w:fill="303030"/>
          </w:tcPr>
          <w:p>
            <w:pPr>
              <w:jc w:val="right"/>
              <w:ind w:right="114"/>
              <w:spacing w:after="0"/>
              <w:rPr>
                <w:sz w:val="20"/>
                <w:szCs w:val="20"/>
                <w:color w:val="auto"/>
              </w:rPr>
            </w:pPr>
            <w:r>
              <w:rPr>
                <w:rFonts w:ascii="Arial" w:cs="Arial" w:eastAsia="Arial" w:hAnsi="Arial"/>
                <w:sz w:val="14"/>
                <w:szCs w:val="14"/>
                <w:b w:val="1"/>
                <w:bCs w:val="1"/>
                <w:color w:val="FFFFFF"/>
              </w:rPr>
              <w:t>Options</w:t>
            </w:r>
          </w:p>
        </w:tc>
        <w:tc>
          <w:tcPr>
            <w:tcW w:w="960" w:type="dxa"/>
            <w:vAlign w:val="bottom"/>
            <w:shd w:val="clear" w:color="auto" w:fill="303030"/>
          </w:tcPr>
          <w:p>
            <w:pPr>
              <w:spacing w:after="0"/>
              <w:rPr>
                <w:sz w:val="14"/>
                <w:szCs w:val="14"/>
                <w:color w:val="auto"/>
              </w:rPr>
            </w:pPr>
          </w:p>
        </w:tc>
      </w:tr>
      <w:tr>
        <w:trPr>
          <w:trHeight w:val="162"/>
        </w:trPr>
        <w:tc>
          <w:tcPr>
            <w:tcW w:w="5980" w:type="dxa"/>
            <w:vAlign w:val="bottom"/>
            <w:shd w:val="clear" w:color="auto" w:fill="303030"/>
          </w:tcPr>
          <w:p>
            <w:pPr>
              <w:spacing w:after="0"/>
              <w:rPr>
                <w:sz w:val="14"/>
                <w:szCs w:val="14"/>
                <w:color w:val="auto"/>
              </w:rPr>
            </w:pPr>
          </w:p>
        </w:tc>
        <w:tc>
          <w:tcPr>
            <w:tcW w:w="2500" w:type="dxa"/>
            <w:vAlign w:val="bottom"/>
            <w:shd w:val="clear" w:color="auto" w:fill="303030"/>
          </w:tcPr>
          <w:p>
            <w:pPr>
              <w:jc w:val="right"/>
              <w:ind w:right="374"/>
              <w:spacing w:after="0"/>
              <w:rPr>
                <w:sz w:val="20"/>
                <w:szCs w:val="20"/>
                <w:color w:val="auto"/>
              </w:rPr>
            </w:pPr>
            <w:r>
              <w:rPr>
                <w:rFonts w:ascii="Arial" w:cs="Arial" w:eastAsia="Arial" w:hAnsi="Arial"/>
                <w:sz w:val="14"/>
                <w:szCs w:val="14"/>
                <w:b w:val="1"/>
                <w:bCs w:val="1"/>
                <w:color w:val="FFFFFF"/>
              </w:rPr>
              <w:t>Amount and</w:t>
            </w:r>
          </w:p>
        </w:tc>
        <w:tc>
          <w:tcPr>
            <w:tcW w:w="1580" w:type="dxa"/>
            <w:vAlign w:val="bottom"/>
            <w:shd w:val="clear" w:color="auto" w:fill="303030"/>
          </w:tcPr>
          <w:p>
            <w:pPr>
              <w:jc w:val="right"/>
              <w:ind w:right="114"/>
              <w:spacing w:after="0"/>
              <w:rPr>
                <w:sz w:val="20"/>
                <w:szCs w:val="20"/>
                <w:color w:val="auto"/>
              </w:rPr>
            </w:pPr>
            <w:r>
              <w:rPr>
                <w:rFonts w:ascii="Arial" w:cs="Arial" w:eastAsia="Arial" w:hAnsi="Arial"/>
                <w:sz w:val="14"/>
                <w:szCs w:val="14"/>
                <w:b w:val="1"/>
                <w:bCs w:val="1"/>
                <w:color w:val="FFFFFF"/>
              </w:rPr>
              <w:t>Exercisable and</w:t>
            </w:r>
          </w:p>
        </w:tc>
        <w:tc>
          <w:tcPr>
            <w:tcW w:w="960" w:type="dxa"/>
            <w:vAlign w:val="bottom"/>
            <w:shd w:val="clear" w:color="auto" w:fill="303030"/>
          </w:tcPr>
          <w:p>
            <w:pPr>
              <w:spacing w:after="0"/>
              <w:rPr>
                <w:sz w:val="14"/>
                <w:szCs w:val="14"/>
                <w:color w:val="auto"/>
              </w:rPr>
            </w:pPr>
          </w:p>
        </w:tc>
      </w:tr>
      <w:tr>
        <w:trPr>
          <w:trHeight w:val="162"/>
        </w:trPr>
        <w:tc>
          <w:tcPr>
            <w:tcW w:w="5980" w:type="dxa"/>
            <w:vAlign w:val="bottom"/>
            <w:shd w:val="clear" w:color="auto" w:fill="303030"/>
          </w:tcPr>
          <w:p>
            <w:pPr>
              <w:spacing w:after="0"/>
              <w:rPr>
                <w:sz w:val="14"/>
                <w:szCs w:val="14"/>
                <w:color w:val="auto"/>
              </w:rPr>
            </w:pPr>
          </w:p>
        </w:tc>
        <w:tc>
          <w:tcPr>
            <w:tcW w:w="2500" w:type="dxa"/>
            <w:vAlign w:val="bottom"/>
            <w:shd w:val="clear" w:color="auto" w:fill="303030"/>
          </w:tcPr>
          <w:p>
            <w:pPr>
              <w:jc w:val="right"/>
              <w:ind w:right="374"/>
              <w:spacing w:after="0"/>
              <w:rPr>
                <w:sz w:val="20"/>
                <w:szCs w:val="20"/>
                <w:color w:val="auto"/>
              </w:rPr>
            </w:pPr>
            <w:r>
              <w:rPr>
                <w:rFonts w:ascii="Arial" w:cs="Arial" w:eastAsia="Arial" w:hAnsi="Arial"/>
                <w:sz w:val="14"/>
                <w:szCs w:val="14"/>
                <w:b w:val="1"/>
                <w:bCs w:val="1"/>
                <w:color w:val="FFFFFF"/>
              </w:rPr>
              <w:t>Nature of</w:t>
            </w:r>
          </w:p>
        </w:tc>
        <w:tc>
          <w:tcPr>
            <w:tcW w:w="1580" w:type="dxa"/>
            <w:vAlign w:val="bottom"/>
            <w:shd w:val="clear" w:color="auto" w:fill="303030"/>
          </w:tcPr>
          <w:p>
            <w:pPr>
              <w:jc w:val="right"/>
              <w:ind w:right="114"/>
              <w:spacing w:after="0"/>
              <w:rPr>
                <w:sz w:val="20"/>
                <w:szCs w:val="20"/>
                <w:color w:val="auto"/>
              </w:rPr>
            </w:pPr>
            <w:r>
              <w:rPr>
                <w:rFonts w:ascii="Arial" w:cs="Arial" w:eastAsia="Arial" w:hAnsi="Arial"/>
                <w:sz w:val="14"/>
                <w:szCs w:val="14"/>
                <w:b w:val="1"/>
                <w:bCs w:val="1"/>
                <w:color w:val="FFFFFF"/>
              </w:rPr>
              <w:t>Restricted</w:t>
            </w:r>
          </w:p>
        </w:tc>
        <w:tc>
          <w:tcPr>
            <w:tcW w:w="960" w:type="dxa"/>
            <w:vAlign w:val="bottom"/>
            <w:shd w:val="clear" w:color="auto" w:fill="303030"/>
          </w:tcPr>
          <w:p>
            <w:pPr>
              <w:spacing w:after="0"/>
              <w:rPr>
                <w:sz w:val="14"/>
                <w:szCs w:val="14"/>
                <w:color w:val="auto"/>
              </w:rPr>
            </w:pPr>
          </w:p>
        </w:tc>
      </w:tr>
      <w:tr>
        <w:trPr>
          <w:trHeight w:val="162"/>
        </w:trPr>
        <w:tc>
          <w:tcPr>
            <w:tcW w:w="5980" w:type="dxa"/>
            <w:vAlign w:val="bottom"/>
            <w:shd w:val="clear" w:color="auto" w:fill="303030"/>
          </w:tcPr>
          <w:p>
            <w:pPr>
              <w:spacing w:after="0"/>
              <w:rPr>
                <w:sz w:val="14"/>
                <w:szCs w:val="14"/>
                <w:color w:val="auto"/>
              </w:rPr>
            </w:pPr>
          </w:p>
        </w:tc>
        <w:tc>
          <w:tcPr>
            <w:tcW w:w="2500" w:type="dxa"/>
            <w:vAlign w:val="bottom"/>
            <w:shd w:val="clear" w:color="auto" w:fill="303030"/>
          </w:tcPr>
          <w:p>
            <w:pPr>
              <w:jc w:val="right"/>
              <w:ind w:right="374"/>
              <w:spacing w:after="0"/>
              <w:rPr>
                <w:sz w:val="20"/>
                <w:szCs w:val="20"/>
                <w:color w:val="auto"/>
              </w:rPr>
            </w:pPr>
            <w:r>
              <w:rPr>
                <w:rFonts w:ascii="Arial" w:cs="Arial" w:eastAsia="Arial" w:hAnsi="Arial"/>
                <w:sz w:val="14"/>
                <w:szCs w:val="14"/>
                <w:b w:val="1"/>
                <w:bCs w:val="1"/>
                <w:color w:val="FFFFFF"/>
              </w:rPr>
              <w:t>Beneficial</w:t>
            </w:r>
          </w:p>
        </w:tc>
        <w:tc>
          <w:tcPr>
            <w:tcW w:w="1580" w:type="dxa"/>
            <w:vAlign w:val="bottom"/>
            <w:shd w:val="clear" w:color="auto" w:fill="303030"/>
          </w:tcPr>
          <w:p>
            <w:pPr>
              <w:jc w:val="right"/>
              <w:ind w:right="114"/>
              <w:spacing w:after="0"/>
              <w:rPr>
                <w:sz w:val="20"/>
                <w:szCs w:val="20"/>
                <w:color w:val="auto"/>
              </w:rPr>
            </w:pPr>
            <w:r>
              <w:rPr>
                <w:rFonts w:ascii="Arial" w:cs="Arial" w:eastAsia="Arial" w:hAnsi="Arial"/>
                <w:sz w:val="14"/>
                <w:szCs w:val="14"/>
                <w:b w:val="1"/>
                <w:bCs w:val="1"/>
                <w:color w:val="FFFFFF"/>
              </w:rPr>
              <w:t>Shares Vesting</w:t>
            </w:r>
          </w:p>
        </w:tc>
        <w:tc>
          <w:tcPr>
            <w:tcW w:w="960" w:type="dxa"/>
            <w:vAlign w:val="bottom"/>
            <w:shd w:val="clear" w:color="auto" w:fill="303030"/>
          </w:tcPr>
          <w:p>
            <w:pPr>
              <w:jc w:val="right"/>
              <w:ind w:right="132"/>
              <w:spacing w:after="0"/>
              <w:rPr>
                <w:sz w:val="20"/>
                <w:szCs w:val="20"/>
                <w:color w:val="auto"/>
              </w:rPr>
            </w:pPr>
            <w:r>
              <w:rPr>
                <w:rFonts w:ascii="Arial" w:cs="Arial" w:eastAsia="Arial" w:hAnsi="Arial"/>
                <w:sz w:val="14"/>
                <w:szCs w:val="14"/>
                <w:b w:val="1"/>
                <w:bCs w:val="1"/>
                <w:color w:val="FFFFFF"/>
              </w:rPr>
              <w:t>Percent</w:t>
            </w:r>
          </w:p>
        </w:tc>
      </w:tr>
      <w:tr>
        <w:trPr>
          <w:trHeight w:val="175"/>
        </w:trPr>
        <w:tc>
          <w:tcPr>
            <w:tcW w:w="5980" w:type="dxa"/>
            <w:vAlign w:val="bottom"/>
            <w:shd w:val="clear" w:color="auto" w:fill="303030"/>
          </w:tcPr>
          <w:p>
            <w:pPr>
              <w:ind w:left="60"/>
              <w:spacing w:after="0"/>
              <w:rPr>
                <w:sz w:val="20"/>
                <w:szCs w:val="20"/>
                <w:color w:val="auto"/>
              </w:rPr>
            </w:pPr>
            <w:r>
              <w:rPr>
                <w:rFonts w:ascii="Arial" w:cs="Arial" w:eastAsia="Arial" w:hAnsi="Arial"/>
                <w:sz w:val="14"/>
                <w:szCs w:val="14"/>
                <w:b w:val="1"/>
                <w:bCs w:val="1"/>
                <w:color w:val="FFFFFF"/>
              </w:rPr>
              <w:t>Name of Beneficial Owner</w:t>
            </w:r>
          </w:p>
        </w:tc>
        <w:tc>
          <w:tcPr>
            <w:tcW w:w="2500" w:type="dxa"/>
            <w:vAlign w:val="bottom"/>
            <w:shd w:val="clear" w:color="auto" w:fill="303030"/>
          </w:tcPr>
          <w:p>
            <w:pPr>
              <w:jc w:val="right"/>
              <w:ind w:right="374"/>
              <w:spacing w:after="0"/>
              <w:rPr>
                <w:sz w:val="20"/>
                <w:szCs w:val="20"/>
                <w:color w:val="auto"/>
              </w:rPr>
            </w:pPr>
            <w:r>
              <w:rPr>
                <w:rFonts w:ascii="Arial" w:cs="Arial" w:eastAsia="Arial" w:hAnsi="Arial"/>
                <w:sz w:val="14"/>
                <w:szCs w:val="14"/>
                <w:b w:val="1"/>
                <w:bCs w:val="1"/>
                <w:color w:val="FFFFFF"/>
              </w:rPr>
              <w:t>Ownership</w:t>
            </w:r>
          </w:p>
        </w:tc>
        <w:tc>
          <w:tcPr>
            <w:tcW w:w="1580" w:type="dxa"/>
            <w:vAlign w:val="bottom"/>
            <w:shd w:val="clear" w:color="auto" w:fill="303030"/>
          </w:tcPr>
          <w:p>
            <w:pPr>
              <w:jc w:val="right"/>
              <w:ind w:right="114"/>
              <w:spacing w:after="0"/>
              <w:rPr>
                <w:sz w:val="20"/>
                <w:szCs w:val="20"/>
                <w:color w:val="auto"/>
              </w:rPr>
            </w:pPr>
            <w:r>
              <w:rPr>
                <w:rFonts w:ascii="Arial" w:cs="Arial" w:eastAsia="Arial" w:hAnsi="Arial"/>
                <w:sz w:val="14"/>
                <w:szCs w:val="14"/>
                <w:b w:val="1"/>
                <w:bCs w:val="1"/>
                <w:color w:val="FFFFFF"/>
              </w:rPr>
              <w:t>within 60 days</w:t>
            </w:r>
          </w:p>
        </w:tc>
        <w:tc>
          <w:tcPr>
            <w:tcW w:w="960" w:type="dxa"/>
            <w:vAlign w:val="bottom"/>
            <w:shd w:val="clear" w:color="auto" w:fill="303030"/>
          </w:tcPr>
          <w:p>
            <w:pPr>
              <w:jc w:val="right"/>
              <w:ind w:right="132"/>
              <w:spacing w:after="0"/>
              <w:rPr>
                <w:sz w:val="20"/>
                <w:szCs w:val="20"/>
                <w:color w:val="auto"/>
              </w:rPr>
            </w:pPr>
            <w:r>
              <w:rPr>
                <w:rFonts w:ascii="Arial" w:cs="Arial" w:eastAsia="Arial" w:hAnsi="Arial"/>
                <w:sz w:val="14"/>
                <w:szCs w:val="14"/>
                <w:b w:val="1"/>
                <w:bCs w:val="1"/>
                <w:color w:val="FFFFFF"/>
              </w:rPr>
              <w:t>of Class</w:t>
            </w:r>
          </w:p>
        </w:tc>
      </w:tr>
      <w:tr>
        <w:trPr>
          <w:trHeight w:val="203"/>
        </w:trPr>
        <w:tc>
          <w:tcPr>
            <w:tcW w:w="59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W. Don Cornwell</w:t>
            </w:r>
          </w:p>
        </w:tc>
        <w:tc>
          <w:tcPr>
            <w:tcW w:w="2500" w:type="dxa"/>
            <w:vAlign w:val="bottom"/>
            <w:shd w:val="clear" w:color="auto" w:fill="E5E5E5"/>
          </w:tcPr>
          <w:p>
            <w:pPr>
              <w:jc w:val="right"/>
              <w:ind w:right="374"/>
              <w:spacing w:after="0" w:line="202" w:lineRule="exact"/>
              <w:rPr>
                <w:sz w:val="20"/>
                <w:szCs w:val="20"/>
                <w:color w:val="auto"/>
              </w:rPr>
            </w:pPr>
            <w:r>
              <w:rPr>
                <w:rFonts w:ascii="Arial" w:cs="Arial" w:eastAsia="Arial" w:hAnsi="Arial"/>
                <w:sz w:val="18"/>
                <w:szCs w:val="18"/>
                <w:color w:val="auto"/>
              </w:rPr>
              <w:t>22,197</w:t>
            </w:r>
          </w:p>
        </w:tc>
        <w:tc>
          <w:tcPr>
            <w:tcW w:w="158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5980" w:type="dxa"/>
            <w:vAlign w:val="bottom"/>
          </w:tcPr>
          <w:p>
            <w:pPr>
              <w:ind w:left="60"/>
              <w:spacing w:after="0" w:line="202" w:lineRule="exact"/>
              <w:rPr>
                <w:sz w:val="20"/>
                <w:szCs w:val="20"/>
                <w:color w:val="auto"/>
              </w:rPr>
            </w:pPr>
            <w:r>
              <w:rPr>
                <w:rFonts w:ascii="Arial" w:cs="Arial" w:eastAsia="Arial" w:hAnsi="Arial"/>
                <w:sz w:val="18"/>
                <w:szCs w:val="18"/>
                <w:color w:val="auto"/>
              </w:rPr>
              <w:t>Robert J. Coury</w:t>
            </w:r>
          </w:p>
        </w:tc>
        <w:tc>
          <w:tcPr>
            <w:tcW w:w="2500" w:type="dxa"/>
            <w:vAlign w:val="bottom"/>
          </w:tcPr>
          <w:p>
            <w:pPr>
              <w:jc w:val="right"/>
              <w:ind w:right="374"/>
              <w:spacing w:after="0" w:line="202" w:lineRule="exact"/>
              <w:rPr>
                <w:sz w:val="20"/>
                <w:szCs w:val="20"/>
                <w:color w:val="auto"/>
              </w:rPr>
            </w:pPr>
            <w:r>
              <w:rPr>
                <w:rFonts w:ascii="Arial" w:cs="Arial" w:eastAsia="Arial" w:hAnsi="Arial"/>
                <w:sz w:val="18"/>
                <w:szCs w:val="18"/>
                <w:color w:val="auto"/>
              </w:rPr>
              <w:t>1,061,659</w:t>
            </w:r>
          </w:p>
        </w:tc>
        <w:tc>
          <w:tcPr>
            <w:tcW w:w="15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208,199</w:t>
            </w:r>
          </w:p>
        </w:tc>
        <w:tc>
          <w:tcPr>
            <w:tcW w:w="9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59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JoEllen Lyons Dillon</w:t>
            </w:r>
          </w:p>
        </w:tc>
        <w:tc>
          <w:tcPr>
            <w:tcW w:w="2500" w:type="dxa"/>
            <w:vAlign w:val="bottom"/>
            <w:shd w:val="clear" w:color="auto" w:fill="E5E5E5"/>
          </w:tcPr>
          <w:p>
            <w:pPr>
              <w:jc w:val="right"/>
              <w:ind w:right="214"/>
              <w:spacing w:after="0" w:line="202" w:lineRule="exact"/>
              <w:rPr>
                <w:sz w:val="20"/>
                <w:szCs w:val="20"/>
                <w:color w:val="auto"/>
              </w:rPr>
            </w:pPr>
            <w:r>
              <w:rPr>
                <w:rFonts w:ascii="Arial" w:cs="Arial" w:eastAsia="Arial" w:hAnsi="Arial"/>
                <w:sz w:val="18"/>
                <w:szCs w:val="18"/>
                <w:color w:val="auto"/>
              </w:rPr>
              <w:t>39,564</w:t>
            </w:r>
            <w:r>
              <w:rPr>
                <w:rFonts w:ascii="Arial" w:cs="Arial" w:eastAsia="Arial" w:hAnsi="Arial"/>
                <w:sz w:val="12"/>
                <w:szCs w:val="12"/>
                <w:color w:val="auto"/>
              </w:rPr>
              <w:t>(1)</w:t>
            </w:r>
          </w:p>
        </w:tc>
        <w:tc>
          <w:tcPr>
            <w:tcW w:w="158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24,780</w:t>
            </w:r>
          </w:p>
        </w:tc>
        <w:tc>
          <w:tcPr>
            <w:tcW w:w="96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5980" w:type="dxa"/>
            <w:vAlign w:val="bottom"/>
          </w:tcPr>
          <w:p>
            <w:pPr>
              <w:ind w:left="60"/>
              <w:spacing w:after="0" w:line="202" w:lineRule="exact"/>
              <w:rPr>
                <w:sz w:val="20"/>
                <w:szCs w:val="20"/>
                <w:color w:val="auto"/>
              </w:rPr>
            </w:pPr>
            <w:r>
              <w:rPr>
                <w:rFonts w:ascii="Arial" w:cs="Arial" w:eastAsia="Arial" w:hAnsi="Arial"/>
                <w:sz w:val="18"/>
                <w:szCs w:val="18"/>
                <w:color w:val="auto"/>
              </w:rPr>
              <w:t>Neil Dimick</w:t>
            </w:r>
          </w:p>
        </w:tc>
        <w:tc>
          <w:tcPr>
            <w:tcW w:w="2500" w:type="dxa"/>
            <w:vAlign w:val="bottom"/>
          </w:tcPr>
          <w:p>
            <w:pPr>
              <w:jc w:val="right"/>
              <w:ind w:right="374"/>
              <w:spacing w:after="0" w:line="202" w:lineRule="exact"/>
              <w:rPr>
                <w:sz w:val="20"/>
                <w:szCs w:val="20"/>
                <w:color w:val="auto"/>
              </w:rPr>
            </w:pPr>
            <w:r>
              <w:rPr>
                <w:rFonts w:ascii="Arial" w:cs="Arial" w:eastAsia="Arial" w:hAnsi="Arial"/>
                <w:sz w:val="18"/>
                <w:szCs w:val="18"/>
                <w:color w:val="auto"/>
              </w:rPr>
              <w:t>75,200</w:t>
            </w:r>
          </w:p>
        </w:tc>
        <w:tc>
          <w:tcPr>
            <w:tcW w:w="15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24,780</w:t>
            </w:r>
          </w:p>
        </w:tc>
        <w:tc>
          <w:tcPr>
            <w:tcW w:w="9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59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Michael Goettler</w:t>
            </w:r>
          </w:p>
        </w:tc>
        <w:tc>
          <w:tcPr>
            <w:tcW w:w="2500" w:type="dxa"/>
            <w:vAlign w:val="bottom"/>
            <w:shd w:val="clear" w:color="auto" w:fill="E5E5E5"/>
          </w:tcPr>
          <w:p>
            <w:pPr>
              <w:jc w:val="right"/>
              <w:ind w:right="374"/>
              <w:spacing w:after="0" w:line="202" w:lineRule="exact"/>
              <w:rPr>
                <w:sz w:val="20"/>
                <w:szCs w:val="20"/>
                <w:color w:val="auto"/>
              </w:rPr>
            </w:pPr>
            <w:r>
              <w:rPr>
                <w:rFonts w:ascii="Arial" w:cs="Arial" w:eastAsia="Arial" w:hAnsi="Arial"/>
                <w:sz w:val="18"/>
                <w:szCs w:val="18"/>
                <w:color w:val="auto"/>
              </w:rPr>
              <w:t>137,155</w:t>
            </w:r>
          </w:p>
        </w:tc>
        <w:tc>
          <w:tcPr>
            <w:tcW w:w="158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5980" w:type="dxa"/>
            <w:vAlign w:val="bottom"/>
          </w:tcPr>
          <w:p>
            <w:pPr>
              <w:ind w:left="60"/>
              <w:spacing w:after="0" w:line="202" w:lineRule="exact"/>
              <w:rPr>
                <w:sz w:val="20"/>
                <w:szCs w:val="20"/>
                <w:color w:val="auto"/>
              </w:rPr>
            </w:pPr>
            <w:r>
              <w:rPr>
                <w:rFonts w:ascii="Arial" w:cs="Arial" w:eastAsia="Arial" w:hAnsi="Arial"/>
                <w:sz w:val="18"/>
                <w:szCs w:val="18"/>
                <w:color w:val="auto"/>
              </w:rPr>
              <w:t>Melina Higgins</w:t>
            </w:r>
          </w:p>
        </w:tc>
        <w:tc>
          <w:tcPr>
            <w:tcW w:w="250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137,068</w:t>
            </w:r>
            <w:r>
              <w:rPr>
                <w:rFonts w:ascii="Arial" w:cs="Arial" w:eastAsia="Arial" w:hAnsi="Arial"/>
                <w:sz w:val="12"/>
                <w:szCs w:val="12"/>
                <w:color w:val="auto"/>
              </w:rPr>
              <w:t>(2)</w:t>
            </w:r>
          </w:p>
        </w:tc>
        <w:tc>
          <w:tcPr>
            <w:tcW w:w="15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31,403</w:t>
            </w:r>
          </w:p>
        </w:tc>
        <w:tc>
          <w:tcPr>
            <w:tcW w:w="9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59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James M. Kilts</w:t>
            </w:r>
          </w:p>
        </w:tc>
        <w:tc>
          <w:tcPr>
            <w:tcW w:w="2500" w:type="dxa"/>
            <w:vAlign w:val="bottom"/>
            <w:shd w:val="clear" w:color="auto" w:fill="E5E5E5"/>
          </w:tcPr>
          <w:p>
            <w:pPr>
              <w:jc w:val="right"/>
              <w:ind w:right="374"/>
              <w:spacing w:after="0" w:line="202" w:lineRule="exact"/>
              <w:rPr>
                <w:sz w:val="20"/>
                <w:szCs w:val="20"/>
                <w:color w:val="auto"/>
              </w:rPr>
            </w:pPr>
            <w:r>
              <w:rPr>
                <w:rFonts w:ascii="Arial" w:cs="Arial" w:eastAsia="Arial" w:hAnsi="Arial"/>
                <w:sz w:val="18"/>
                <w:szCs w:val="18"/>
                <w:color w:val="auto"/>
              </w:rPr>
              <w:t>79,402</w:t>
            </w:r>
          </w:p>
        </w:tc>
        <w:tc>
          <w:tcPr>
            <w:tcW w:w="158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5980" w:type="dxa"/>
            <w:vAlign w:val="bottom"/>
          </w:tcPr>
          <w:p>
            <w:pPr>
              <w:ind w:left="60"/>
              <w:spacing w:after="0" w:line="202" w:lineRule="exact"/>
              <w:rPr>
                <w:sz w:val="20"/>
                <w:szCs w:val="20"/>
                <w:color w:val="auto"/>
              </w:rPr>
            </w:pPr>
            <w:r>
              <w:rPr>
                <w:rFonts w:ascii="Arial" w:cs="Arial" w:eastAsia="Arial" w:hAnsi="Arial"/>
                <w:sz w:val="18"/>
                <w:szCs w:val="18"/>
                <w:color w:val="auto"/>
              </w:rPr>
              <w:t>Harry A. Korman</w:t>
            </w:r>
          </w:p>
        </w:tc>
        <w:tc>
          <w:tcPr>
            <w:tcW w:w="2500" w:type="dxa"/>
            <w:vAlign w:val="bottom"/>
          </w:tcPr>
          <w:p>
            <w:pPr>
              <w:jc w:val="right"/>
              <w:ind w:right="374"/>
              <w:spacing w:after="0" w:line="202" w:lineRule="exact"/>
              <w:rPr>
                <w:sz w:val="20"/>
                <w:szCs w:val="20"/>
                <w:color w:val="auto"/>
              </w:rPr>
            </w:pPr>
            <w:r>
              <w:rPr>
                <w:rFonts w:ascii="Arial" w:cs="Arial" w:eastAsia="Arial" w:hAnsi="Arial"/>
                <w:sz w:val="18"/>
                <w:szCs w:val="18"/>
                <w:color w:val="auto"/>
              </w:rPr>
              <w:t>50,638</w:t>
            </w:r>
          </w:p>
        </w:tc>
        <w:tc>
          <w:tcPr>
            <w:tcW w:w="15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26,504</w:t>
            </w:r>
          </w:p>
        </w:tc>
        <w:tc>
          <w:tcPr>
            <w:tcW w:w="9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59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Rajiv Malik</w:t>
            </w:r>
          </w:p>
        </w:tc>
        <w:tc>
          <w:tcPr>
            <w:tcW w:w="2500" w:type="dxa"/>
            <w:vAlign w:val="bottom"/>
            <w:shd w:val="clear" w:color="auto" w:fill="E5E5E5"/>
          </w:tcPr>
          <w:p>
            <w:pPr>
              <w:jc w:val="right"/>
              <w:ind w:right="214"/>
              <w:spacing w:after="0" w:line="202" w:lineRule="exact"/>
              <w:rPr>
                <w:sz w:val="20"/>
                <w:szCs w:val="20"/>
                <w:color w:val="auto"/>
              </w:rPr>
            </w:pPr>
            <w:r>
              <w:rPr>
                <w:rFonts w:ascii="Arial" w:cs="Arial" w:eastAsia="Arial" w:hAnsi="Arial"/>
                <w:sz w:val="18"/>
                <w:szCs w:val="18"/>
                <w:color w:val="auto"/>
              </w:rPr>
              <w:t>881,315</w:t>
            </w:r>
            <w:r>
              <w:rPr>
                <w:rFonts w:ascii="Arial" w:cs="Arial" w:eastAsia="Arial" w:hAnsi="Arial"/>
                <w:sz w:val="12"/>
                <w:szCs w:val="12"/>
                <w:color w:val="auto"/>
              </w:rPr>
              <w:t>(3)</w:t>
            </w:r>
          </w:p>
        </w:tc>
        <w:tc>
          <w:tcPr>
            <w:tcW w:w="158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380,002</w:t>
            </w:r>
          </w:p>
        </w:tc>
        <w:tc>
          <w:tcPr>
            <w:tcW w:w="96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5980" w:type="dxa"/>
            <w:vAlign w:val="bottom"/>
          </w:tcPr>
          <w:p>
            <w:pPr>
              <w:ind w:left="60"/>
              <w:spacing w:after="0" w:line="202" w:lineRule="exact"/>
              <w:rPr>
                <w:sz w:val="20"/>
                <w:szCs w:val="20"/>
                <w:color w:val="auto"/>
              </w:rPr>
            </w:pPr>
            <w:r>
              <w:rPr>
                <w:rFonts w:ascii="Arial" w:cs="Arial" w:eastAsia="Arial" w:hAnsi="Arial"/>
                <w:sz w:val="18"/>
                <w:szCs w:val="18"/>
                <w:color w:val="auto"/>
              </w:rPr>
              <w:t>Richard A. Mark</w:t>
            </w:r>
          </w:p>
        </w:tc>
        <w:tc>
          <w:tcPr>
            <w:tcW w:w="2500" w:type="dxa"/>
            <w:vAlign w:val="bottom"/>
          </w:tcPr>
          <w:p>
            <w:pPr>
              <w:jc w:val="right"/>
              <w:ind w:right="374"/>
              <w:spacing w:after="0" w:line="202" w:lineRule="exact"/>
              <w:rPr>
                <w:sz w:val="20"/>
                <w:szCs w:val="20"/>
                <w:color w:val="auto"/>
              </w:rPr>
            </w:pPr>
            <w:r>
              <w:rPr>
                <w:rFonts w:ascii="Arial" w:cs="Arial" w:eastAsia="Arial" w:hAnsi="Arial"/>
                <w:sz w:val="18"/>
                <w:szCs w:val="18"/>
                <w:color w:val="auto"/>
              </w:rPr>
              <w:t>33,165</w:t>
            </w:r>
          </w:p>
        </w:tc>
        <w:tc>
          <w:tcPr>
            <w:tcW w:w="15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12,260</w:t>
            </w:r>
          </w:p>
        </w:tc>
        <w:tc>
          <w:tcPr>
            <w:tcW w:w="9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59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Anthony Mauro</w:t>
            </w:r>
          </w:p>
        </w:tc>
        <w:tc>
          <w:tcPr>
            <w:tcW w:w="2500" w:type="dxa"/>
            <w:vAlign w:val="bottom"/>
            <w:shd w:val="clear" w:color="auto" w:fill="E5E5E5"/>
          </w:tcPr>
          <w:p>
            <w:pPr>
              <w:jc w:val="right"/>
              <w:ind w:right="214"/>
              <w:spacing w:after="0" w:line="202" w:lineRule="exact"/>
              <w:rPr>
                <w:sz w:val="20"/>
                <w:szCs w:val="20"/>
                <w:color w:val="auto"/>
              </w:rPr>
            </w:pPr>
            <w:r>
              <w:rPr>
                <w:rFonts w:ascii="Arial" w:cs="Arial" w:eastAsia="Arial" w:hAnsi="Arial"/>
                <w:sz w:val="18"/>
                <w:szCs w:val="18"/>
                <w:color w:val="auto"/>
              </w:rPr>
              <w:t>240,865</w:t>
            </w:r>
            <w:r>
              <w:rPr>
                <w:rFonts w:ascii="Arial" w:cs="Arial" w:eastAsia="Arial" w:hAnsi="Arial"/>
                <w:sz w:val="12"/>
                <w:szCs w:val="12"/>
                <w:color w:val="auto"/>
              </w:rPr>
              <w:t>(4)</w:t>
            </w:r>
          </w:p>
        </w:tc>
        <w:tc>
          <w:tcPr>
            <w:tcW w:w="158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172,024</w:t>
            </w:r>
          </w:p>
        </w:tc>
        <w:tc>
          <w:tcPr>
            <w:tcW w:w="96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5980" w:type="dxa"/>
            <w:vAlign w:val="bottom"/>
          </w:tcPr>
          <w:p>
            <w:pPr>
              <w:ind w:left="60"/>
              <w:spacing w:after="0" w:line="202" w:lineRule="exact"/>
              <w:rPr>
                <w:sz w:val="20"/>
                <w:szCs w:val="20"/>
                <w:color w:val="auto"/>
              </w:rPr>
            </w:pPr>
            <w:r>
              <w:rPr>
                <w:rFonts w:ascii="Arial" w:cs="Arial" w:eastAsia="Arial" w:hAnsi="Arial"/>
                <w:sz w:val="18"/>
                <w:szCs w:val="18"/>
                <w:color w:val="auto"/>
              </w:rPr>
              <w:t>Sanjeev Narula</w:t>
            </w:r>
          </w:p>
        </w:tc>
        <w:tc>
          <w:tcPr>
            <w:tcW w:w="2500" w:type="dxa"/>
            <w:vAlign w:val="bottom"/>
          </w:tcPr>
          <w:p>
            <w:pPr>
              <w:jc w:val="right"/>
              <w:ind w:right="374"/>
              <w:spacing w:after="0" w:line="202" w:lineRule="exact"/>
              <w:rPr>
                <w:sz w:val="20"/>
                <w:szCs w:val="20"/>
                <w:color w:val="auto"/>
              </w:rPr>
            </w:pPr>
            <w:r>
              <w:rPr>
                <w:rFonts w:ascii="Arial" w:cs="Arial" w:eastAsia="Arial" w:hAnsi="Arial"/>
                <w:sz w:val="18"/>
                <w:szCs w:val="18"/>
                <w:color w:val="auto"/>
              </w:rPr>
              <w:t>22,378</w:t>
            </w:r>
          </w:p>
        </w:tc>
        <w:tc>
          <w:tcPr>
            <w:tcW w:w="15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59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Mark W. Parrish</w:t>
            </w:r>
          </w:p>
        </w:tc>
        <w:tc>
          <w:tcPr>
            <w:tcW w:w="2500" w:type="dxa"/>
            <w:vAlign w:val="bottom"/>
            <w:shd w:val="clear" w:color="auto" w:fill="E5E5E5"/>
          </w:tcPr>
          <w:p>
            <w:pPr>
              <w:jc w:val="right"/>
              <w:ind w:right="374"/>
              <w:spacing w:after="0" w:line="202" w:lineRule="exact"/>
              <w:rPr>
                <w:sz w:val="20"/>
                <w:szCs w:val="20"/>
                <w:color w:val="auto"/>
              </w:rPr>
            </w:pPr>
            <w:r>
              <w:rPr>
                <w:rFonts w:ascii="Arial" w:cs="Arial" w:eastAsia="Arial" w:hAnsi="Arial"/>
                <w:sz w:val="18"/>
                <w:szCs w:val="18"/>
                <w:color w:val="auto"/>
              </w:rPr>
              <w:t>82,250</w:t>
            </w:r>
          </w:p>
        </w:tc>
        <w:tc>
          <w:tcPr>
            <w:tcW w:w="158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24,780</w:t>
            </w:r>
          </w:p>
        </w:tc>
        <w:tc>
          <w:tcPr>
            <w:tcW w:w="96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5980" w:type="dxa"/>
            <w:vAlign w:val="bottom"/>
          </w:tcPr>
          <w:p>
            <w:pPr>
              <w:ind w:left="60"/>
              <w:spacing w:after="0" w:line="202" w:lineRule="exact"/>
              <w:rPr>
                <w:sz w:val="20"/>
                <w:szCs w:val="20"/>
                <w:color w:val="auto"/>
              </w:rPr>
            </w:pPr>
            <w:r>
              <w:rPr>
                <w:rFonts w:ascii="Arial" w:cs="Arial" w:eastAsia="Arial" w:hAnsi="Arial"/>
                <w:sz w:val="18"/>
                <w:szCs w:val="18"/>
                <w:color w:val="auto"/>
              </w:rPr>
              <w:t>Ian Read</w:t>
            </w:r>
          </w:p>
        </w:tc>
        <w:tc>
          <w:tcPr>
            <w:tcW w:w="2500" w:type="dxa"/>
            <w:vAlign w:val="bottom"/>
          </w:tcPr>
          <w:p>
            <w:pPr>
              <w:jc w:val="right"/>
              <w:ind w:right="374"/>
              <w:spacing w:after="0" w:line="202" w:lineRule="exact"/>
              <w:rPr>
                <w:sz w:val="20"/>
                <w:szCs w:val="20"/>
                <w:color w:val="auto"/>
              </w:rPr>
            </w:pPr>
            <w:r>
              <w:rPr>
                <w:rFonts w:ascii="Arial" w:cs="Arial" w:eastAsia="Arial" w:hAnsi="Arial"/>
                <w:sz w:val="18"/>
                <w:szCs w:val="18"/>
                <w:color w:val="auto"/>
              </w:rPr>
              <w:t>14,497</w:t>
            </w:r>
          </w:p>
        </w:tc>
        <w:tc>
          <w:tcPr>
            <w:tcW w:w="15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59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Pauline van der Meer Mohr</w:t>
            </w:r>
          </w:p>
        </w:tc>
        <w:tc>
          <w:tcPr>
            <w:tcW w:w="2500" w:type="dxa"/>
            <w:vAlign w:val="bottom"/>
            <w:shd w:val="clear" w:color="auto" w:fill="E5E5E5"/>
          </w:tcPr>
          <w:p>
            <w:pPr>
              <w:jc w:val="right"/>
              <w:ind w:right="374"/>
              <w:spacing w:after="0" w:line="202" w:lineRule="exact"/>
              <w:rPr>
                <w:sz w:val="20"/>
                <w:szCs w:val="20"/>
                <w:color w:val="auto"/>
              </w:rPr>
            </w:pPr>
            <w:r>
              <w:rPr>
                <w:rFonts w:ascii="Arial" w:cs="Arial" w:eastAsia="Arial" w:hAnsi="Arial"/>
                <w:sz w:val="18"/>
                <w:szCs w:val="18"/>
                <w:color w:val="auto"/>
              </w:rPr>
              <w:t>29,974</w:t>
            </w:r>
          </w:p>
        </w:tc>
        <w:tc>
          <w:tcPr>
            <w:tcW w:w="158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13,949</w:t>
            </w:r>
          </w:p>
        </w:tc>
        <w:tc>
          <w:tcPr>
            <w:tcW w:w="96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17"/>
        </w:trPr>
        <w:tc>
          <w:tcPr>
            <w:tcW w:w="5980" w:type="dxa"/>
            <w:vAlign w:val="bottom"/>
          </w:tcPr>
          <w:p>
            <w:pPr>
              <w:ind w:left="60"/>
              <w:spacing w:after="0"/>
              <w:rPr>
                <w:sz w:val="20"/>
                <w:szCs w:val="20"/>
                <w:color w:val="auto"/>
              </w:rPr>
            </w:pPr>
            <w:r>
              <w:rPr>
                <w:rFonts w:ascii="Arial" w:cs="Arial" w:eastAsia="Arial" w:hAnsi="Arial"/>
                <w:sz w:val="18"/>
                <w:szCs w:val="18"/>
                <w:color w:val="auto"/>
              </w:rPr>
              <w:t>All directors and executive officers as a group (20 persons)</w:t>
            </w:r>
          </w:p>
        </w:tc>
        <w:tc>
          <w:tcPr>
            <w:tcW w:w="2500" w:type="dxa"/>
            <w:vAlign w:val="bottom"/>
          </w:tcPr>
          <w:p>
            <w:pPr>
              <w:jc w:val="right"/>
              <w:ind w:right="214"/>
              <w:spacing w:after="0"/>
              <w:rPr>
                <w:sz w:val="20"/>
                <w:szCs w:val="20"/>
                <w:color w:val="auto"/>
              </w:rPr>
            </w:pPr>
            <w:r>
              <w:rPr>
                <w:rFonts w:ascii="Arial" w:cs="Arial" w:eastAsia="Arial" w:hAnsi="Arial"/>
                <w:sz w:val="18"/>
                <w:szCs w:val="18"/>
                <w:color w:val="auto"/>
              </w:rPr>
              <w:t>3,085,085</w:t>
            </w:r>
            <w:r>
              <w:rPr>
                <w:rFonts w:ascii="Arial" w:cs="Arial" w:eastAsia="Arial" w:hAnsi="Arial"/>
                <w:sz w:val="12"/>
                <w:szCs w:val="12"/>
                <w:color w:val="auto"/>
              </w:rPr>
              <w:t>(5)</w:t>
            </w:r>
          </w:p>
        </w:tc>
        <w:tc>
          <w:tcPr>
            <w:tcW w:w="1580" w:type="dxa"/>
            <w:vAlign w:val="bottom"/>
          </w:tcPr>
          <w:p>
            <w:pPr>
              <w:jc w:val="right"/>
              <w:ind w:right="114"/>
              <w:spacing w:after="0"/>
              <w:rPr>
                <w:sz w:val="20"/>
                <w:szCs w:val="20"/>
                <w:color w:val="auto"/>
              </w:rPr>
            </w:pPr>
            <w:r>
              <w:rPr>
                <w:rFonts w:ascii="Arial" w:cs="Arial" w:eastAsia="Arial" w:hAnsi="Arial"/>
                <w:sz w:val="18"/>
                <w:szCs w:val="18"/>
                <w:color w:val="auto"/>
              </w:rPr>
              <w:t>1,037,763</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wp:posOffset>
            </wp:positionV>
            <wp:extent cx="6995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ind w:left="540" w:hanging="424"/>
        <w:spacing w:after="0"/>
        <w:tabs>
          <w:tab w:leader="none" w:pos="540" w:val="left"/>
        </w:tabs>
        <w:numPr>
          <w:ilvl w:val="0"/>
          <w:numId w:val="60"/>
        </w:numPr>
        <w:rPr>
          <w:rFonts w:ascii="Arial" w:cs="Arial" w:eastAsia="Arial" w:hAnsi="Arial"/>
          <w:sz w:val="16"/>
          <w:szCs w:val="16"/>
          <w:i w:val="1"/>
          <w:iCs w:val="1"/>
          <w:color w:val="auto"/>
        </w:rPr>
      </w:pPr>
      <w:r>
        <w:rPr>
          <w:rFonts w:ascii="Arial" w:cs="Arial" w:eastAsia="Arial" w:hAnsi="Arial"/>
          <w:sz w:val="16"/>
          <w:szCs w:val="16"/>
          <w:i w:val="1"/>
          <w:iCs w:val="1"/>
          <w:color w:val="auto"/>
        </w:rPr>
        <w:t>Less than 1%.</w:t>
      </w:r>
    </w:p>
    <w:p>
      <w:pPr>
        <w:spacing w:after="0" w:line="6" w:lineRule="exact"/>
        <w:rPr>
          <w:sz w:val="20"/>
          <w:szCs w:val="20"/>
          <w:color w:val="auto"/>
        </w:rPr>
      </w:pPr>
    </w:p>
    <w:p>
      <w:pPr>
        <w:ind w:left="540" w:hanging="424"/>
        <w:spacing w:after="0"/>
        <w:tabs>
          <w:tab w:leader="none" w:pos="540" w:val="left"/>
        </w:tabs>
        <w:numPr>
          <w:ilvl w:val="0"/>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Includes 18 shares of common stock held by Ms. Dillon’s spouse.</w:t>
      </w:r>
    </w:p>
    <w:p>
      <w:pPr>
        <w:spacing w:after="0" w:line="5" w:lineRule="exact"/>
        <w:rPr>
          <w:rFonts w:ascii="Arial" w:cs="Arial" w:eastAsia="Arial" w:hAnsi="Arial"/>
          <w:sz w:val="16"/>
          <w:szCs w:val="16"/>
          <w:i w:val="1"/>
          <w:iCs w:val="1"/>
          <w:color w:val="auto"/>
        </w:rPr>
      </w:pPr>
    </w:p>
    <w:p>
      <w:pPr>
        <w:ind w:left="540" w:hanging="424"/>
        <w:spacing w:after="0"/>
        <w:tabs>
          <w:tab w:leader="none" w:pos="540" w:val="left"/>
        </w:tabs>
        <w:numPr>
          <w:ilvl w:val="0"/>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Includes 74,000 shares of common stock held by Ms. Higgins’ spouse.</w:t>
      </w:r>
    </w:p>
    <w:p>
      <w:pPr>
        <w:spacing w:after="0" w:line="5" w:lineRule="exact"/>
        <w:rPr>
          <w:rFonts w:ascii="Arial" w:cs="Arial" w:eastAsia="Arial" w:hAnsi="Arial"/>
          <w:sz w:val="16"/>
          <w:szCs w:val="16"/>
          <w:i w:val="1"/>
          <w:iCs w:val="1"/>
          <w:color w:val="auto"/>
        </w:rPr>
      </w:pPr>
    </w:p>
    <w:p>
      <w:pPr>
        <w:ind w:left="540" w:hanging="424"/>
        <w:spacing w:after="0"/>
        <w:tabs>
          <w:tab w:leader="none" w:pos="540" w:val="left"/>
        </w:tabs>
        <w:numPr>
          <w:ilvl w:val="0"/>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Includes 460,319 shares held in an irrevocable trust for the benefit of Mr. Malik’s spouse and children.</w:t>
      </w:r>
    </w:p>
    <w:p>
      <w:pPr>
        <w:spacing w:after="0" w:line="5" w:lineRule="exact"/>
        <w:rPr>
          <w:rFonts w:ascii="Arial" w:cs="Arial" w:eastAsia="Arial" w:hAnsi="Arial"/>
          <w:sz w:val="16"/>
          <w:szCs w:val="16"/>
          <w:i w:val="1"/>
          <w:iCs w:val="1"/>
          <w:color w:val="auto"/>
        </w:rPr>
      </w:pPr>
    </w:p>
    <w:p>
      <w:pPr>
        <w:ind w:left="540" w:hanging="424"/>
        <w:spacing w:after="0"/>
        <w:tabs>
          <w:tab w:leader="none" w:pos="540" w:val="left"/>
        </w:tabs>
        <w:numPr>
          <w:ilvl w:val="0"/>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Includes 5,574 shares held in Mr. Mauro’s 401(k) account.</w:t>
      </w:r>
    </w:p>
    <w:p>
      <w:pPr>
        <w:spacing w:after="0" w:line="5" w:lineRule="exact"/>
        <w:rPr>
          <w:rFonts w:ascii="Arial" w:cs="Arial" w:eastAsia="Arial" w:hAnsi="Arial"/>
          <w:sz w:val="16"/>
          <w:szCs w:val="16"/>
          <w:i w:val="1"/>
          <w:iCs w:val="1"/>
          <w:color w:val="auto"/>
        </w:rPr>
      </w:pPr>
    </w:p>
    <w:p>
      <w:pPr>
        <w:ind w:left="540" w:hanging="424"/>
        <w:spacing w:after="0"/>
        <w:tabs>
          <w:tab w:leader="none" w:pos="540" w:val="left"/>
        </w:tabs>
        <w:numPr>
          <w:ilvl w:val="0"/>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Includes the 15 individuals set forth above as well as Messrs. Campbell, Cuneo, Ni, Roman and Taddese.</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86"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0"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auto"/>
        </w:rPr>
        <w:t>The following table lists the names and addresses of shareholders known to management to own beneficially more than five percent of the shares of common stock of Viatris as of April 25, 2022 (based on 1,212,301,241 shares of common stock of Viatris Inc. outstanding as of such date):</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20" w:type="dxa"/>
            <w:vAlign w:val="bottom"/>
            <w:shd w:val="clear" w:color="auto" w:fill="732282"/>
          </w:tcPr>
          <w:p>
            <w:pPr>
              <w:spacing w:after="0"/>
              <w:rPr>
                <w:sz w:val="14"/>
                <w:szCs w:val="14"/>
                <w:color w:val="auto"/>
              </w:rPr>
            </w:pPr>
          </w:p>
        </w:tc>
        <w:tc>
          <w:tcPr>
            <w:tcW w:w="3900" w:type="dxa"/>
            <w:vAlign w:val="bottom"/>
            <w:shd w:val="clear" w:color="auto" w:fill="732282"/>
          </w:tcPr>
          <w:p>
            <w:pPr>
              <w:jc w:val="right"/>
              <w:ind w:right="262"/>
              <w:spacing w:after="0"/>
              <w:rPr>
                <w:sz w:val="20"/>
                <w:szCs w:val="20"/>
                <w:color w:val="auto"/>
              </w:rPr>
            </w:pPr>
            <w:r>
              <w:rPr>
                <w:rFonts w:ascii="Arial" w:cs="Arial" w:eastAsia="Arial" w:hAnsi="Arial"/>
                <w:sz w:val="14"/>
                <w:szCs w:val="14"/>
                <w:b w:val="1"/>
                <w:bCs w:val="1"/>
                <w:color w:val="FFFFFF"/>
              </w:rPr>
              <w:t>Amount and</w:t>
            </w:r>
          </w:p>
        </w:tc>
        <w:tc>
          <w:tcPr>
            <w:tcW w:w="1100" w:type="dxa"/>
            <w:vAlign w:val="bottom"/>
            <w:shd w:val="clear" w:color="auto" w:fill="732282"/>
          </w:tcPr>
          <w:p>
            <w:pPr>
              <w:spacing w:after="0"/>
              <w:rPr>
                <w:sz w:val="14"/>
                <w:szCs w:val="14"/>
                <w:color w:val="auto"/>
              </w:rPr>
            </w:pPr>
          </w:p>
        </w:tc>
      </w:tr>
      <w:tr>
        <w:trPr>
          <w:trHeight w:val="162"/>
        </w:trPr>
        <w:tc>
          <w:tcPr>
            <w:tcW w:w="6020" w:type="dxa"/>
            <w:vAlign w:val="bottom"/>
            <w:shd w:val="clear" w:color="auto" w:fill="732282"/>
          </w:tcPr>
          <w:p>
            <w:pPr>
              <w:spacing w:after="0"/>
              <w:rPr>
                <w:sz w:val="14"/>
                <w:szCs w:val="14"/>
                <w:color w:val="auto"/>
              </w:rPr>
            </w:pPr>
          </w:p>
        </w:tc>
        <w:tc>
          <w:tcPr>
            <w:tcW w:w="3900" w:type="dxa"/>
            <w:vAlign w:val="bottom"/>
            <w:shd w:val="clear" w:color="auto" w:fill="732282"/>
          </w:tcPr>
          <w:p>
            <w:pPr>
              <w:jc w:val="right"/>
              <w:ind w:right="262"/>
              <w:spacing w:after="0"/>
              <w:rPr>
                <w:sz w:val="20"/>
                <w:szCs w:val="20"/>
                <w:color w:val="auto"/>
              </w:rPr>
            </w:pPr>
            <w:r>
              <w:rPr>
                <w:rFonts w:ascii="Arial" w:cs="Arial" w:eastAsia="Arial" w:hAnsi="Arial"/>
                <w:sz w:val="14"/>
                <w:szCs w:val="14"/>
                <w:b w:val="1"/>
                <w:bCs w:val="1"/>
                <w:color w:val="FFFFFF"/>
              </w:rPr>
              <w:t>Nature of</w:t>
            </w:r>
          </w:p>
        </w:tc>
        <w:tc>
          <w:tcPr>
            <w:tcW w:w="1100" w:type="dxa"/>
            <w:vAlign w:val="bottom"/>
            <w:shd w:val="clear" w:color="auto" w:fill="732282"/>
          </w:tcPr>
          <w:p>
            <w:pPr>
              <w:spacing w:after="0"/>
              <w:rPr>
                <w:sz w:val="14"/>
                <w:szCs w:val="14"/>
                <w:color w:val="auto"/>
              </w:rPr>
            </w:pPr>
          </w:p>
        </w:tc>
      </w:tr>
      <w:tr>
        <w:trPr>
          <w:trHeight w:val="162"/>
        </w:trPr>
        <w:tc>
          <w:tcPr>
            <w:tcW w:w="6020" w:type="dxa"/>
            <w:vAlign w:val="bottom"/>
            <w:shd w:val="clear" w:color="auto" w:fill="732282"/>
          </w:tcPr>
          <w:p>
            <w:pPr>
              <w:spacing w:after="0"/>
              <w:rPr>
                <w:sz w:val="14"/>
                <w:szCs w:val="14"/>
                <w:color w:val="auto"/>
              </w:rPr>
            </w:pPr>
          </w:p>
        </w:tc>
        <w:tc>
          <w:tcPr>
            <w:tcW w:w="3900" w:type="dxa"/>
            <w:vAlign w:val="bottom"/>
            <w:shd w:val="clear" w:color="auto" w:fill="732282"/>
          </w:tcPr>
          <w:p>
            <w:pPr>
              <w:jc w:val="right"/>
              <w:ind w:right="262"/>
              <w:spacing w:after="0"/>
              <w:rPr>
                <w:sz w:val="20"/>
                <w:szCs w:val="20"/>
                <w:color w:val="auto"/>
              </w:rPr>
            </w:pPr>
            <w:r>
              <w:rPr>
                <w:rFonts w:ascii="Arial" w:cs="Arial" w:eastAsia="Arial" w:hAnsi="Arial"/>
                <w:sz w:val="14"/>
                <w:szCs w:val="14"/>
                <w:b w:val="1"/>
                <w:bCs w:val="1"/>
                <w:color w:val="FFFFFF"/>
              </w:rPr>
              <w:t>Beneficial</w:t>
            </w:r>
          </w:p>
        </w:tc>
        <w:tc>
          <w:tcPr>
            <w:tcW w:w="1100" w:type="dxa"/>
            <w:vAlign w:val="bottom"/>
            <w:shd w:val="clear" w:color="auto" w:fill="732282"/>
          </w:tcPr>
          <w:p>
            <w:pPr>
              <w:jc w:val="right"/>
              <w:ind w:right="139"/>
              <w:spacing w:after="0"/>
              <w:rPr>
                <w:sz w:val="20"/>
                <w:szCs w:val="20"/>
                <w:color w:val="auto"/>
              </w:rPr>
            </w:pPr>
            <w:r>
              <w:rPr>
                <w:rFonts w:ascii="Arial" w:cs="Arial" w:eastAsia="Arial" w:hAnsi="Arial"/>
                <w:sz w:val="14"/>
                <w:szCs w:val="14"/>
                <w:b w:val="1"/>
                <w:bCs w:val="1"/>
                <w:color w:val="FFFFFF"/>
              </w:rPr>
              <w:t>Percent of</w:t>
            </w:r>
          </w:p>
        </w:tc>
      </w:tr>
      <w:tr>
        <w:trPr>
          <w:trHeight w:val="175"/>
        </w:trPr>
        <w:tc>
          <w:tcPr>
            <w:tcW w:w="602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Name and Address of Beneficial Owner</w:t>
            </w:r>
          </w:p>
        </w:tc>
        <w:tc>
          <w:tcPr>
            <w:tcW w:w="3900" w:type="dxa"/>
            <w:vAlign w:val="bottom"/>
            <w:shd w:val="clear" w:color="auto" w:fill="732282"/>
          </w:tcPr>
          <w:p>
            <w:pPr>
              <w:jc w:val="right"/>
              <w:ind w:right="262"/>
              <w:spacing w:after="0"/>
              <w:rPr>
                <w:sz w:val="20"/>
                <w:szCs w:val="20"/>
                <w:color w:val="auto"/>
              </w:rPr>
            </w:pPr>
            <w:r>
              <w:rPr>
                <w:rFonts w:ascii="Arial" w:cs="Arial" w:eastAsia="Arial" w:hAnsi="Arial"/>
                <w:sz w:val="14"/>
                <w:szCs w:val="14"/>
                <w:b w:val="1"/>
                <w:bCs w:val="1"/>
                <w:color w:val="FFFFFF"/>
              </w:rPr>
              <w:t>Ownership</w:t>
            </w:r>
          </w:p>
        </w:tc>
        <w:tc>
          <w:tcPr>
            <w:tcW w:w="1100" w:type="dxa"/>
            <w:vAlign w:val="bottom"/>
            <w:shd w:val="clear" w:color="auto" w:fill="732282"/>
          </w:tcPr>
          <w:p>
            <w:pPr>
              <w:jc w:val="right"/>
              <w:ind w:right="139"/>
              <w:spacing w:after="0"/>
              <w:rPr>
                <w:sz w:val="20"/>
                <w:szCs w:val="20"/>
                <w:color w:val="auto"/>
              </w:rPr>
            </w:pPr>
            <w:r>
              <w:rPr>
                <w:rFonts w:ascii="Arial" w:cs="Arial" w:eastAsia="Arial" w:hAnsi="Arial"/>
                <w:sz w:val="14"/>
                <w:szCs w:val="14"/>
                <w:b w:val="1"/>
                <w:bCs w:val="1"/>
                <w:color w:val="FFFFFF"/>
              </w:rPr>
              <w:t>Class</w:t>
            </w:r>
          </w:p>
        </w:tc>
      </w:tr>
      <w:tr>
        <w:trPr>
          <w:trHeight w:val="202"/>
        </w:trPr>
        <w:tc>
          <w:tcPr>
            <w:tcW w:w="6020" w:type="dxa"/>
            <w:vAlign w:val="bottom"/>
            <w:shd w:val="clear" w:color="auto" w:fill="E5E5E5"/>
          </w:tcPr>
          <w:p>
            <w:pPr>
              <w:ind w:left="80"/>
              <w:spacing w:after="0" w:line="201" w:lineRule="exact"/>
              <w:rPr>
                <w:sz w:val="20"/>
                <w:szCs w:val="20"/>
                <w:color w:val="auto"/>
              </w:rPr>
            </w:pPr>
            <w:r>
              <w:rPr>
                <w:rFonts w:ascii="Arial" w:cs="Arial" w:eastAsia="Arial" w:hAnsi="Arial"/>
                <w:sz w:val="18"/>
                <w:szCs w:val="18"/>
                <w:color w:val="auto"/>
              </w:rPr>
              <w:t>The Vanguard Group,</w:t>
            </w:r>
          </w:p>
        </w:tc>
        <w:tc>
          <w:tcPr>
            <w:tcW w:w="390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r>
      <w:tr>
        <w:trPr>
          <w:trHeight w:val="217"/>
        </w:trPr>
        <w:tc>
          <w:tcPr>
            <w:tcW w:w="6020" w:type="dxa"/>
            <w:vAlign w:val="bottom"/>
            <w:shd w:val="clear" w:color="auto" w:fill="E5E5E5"/>
          </w:tcPr>
          <w:p>
            <w:pPr>
              <w:ind w:left="80"/>
              <w:spacing w:after="0"/>
              <w:rPr>
                <w:sz w:val="20"/>
                <w:szCs w:val="20"/>
                <w:color w:val="auto"/>
              </w:rPr>
            </w:pPr>
            <w:r>
              <w:rPr>
                <w:rFonts w:ascii="Arial" w:cs="Arial" w:eastAsia="Arial" w:hAnsi="Arial"/>
                <w:sz w:val="18"/>
                <w:szCs w:val="18"/>
                <w:color w:val="auto"/>
              </w:rPr>
              <w:t>100 Vanguard Blvd., Malvern, PA 19355</w:t>
            </w:r>
          </w:p>
        </w:tc>
        <w:tc>
          <w:tcPr>
            <w:tcW w:w="3900" w:type="dxa"/>
            <w:vAlign w:val="bottom"/>
            <w:shd w:val="clear" w:color="auto" w:fill="E5E5E5"/>
          </w:tcPr>
          <w:p>
            <w:pPr>
              <w:jc w:val="right"/>
              <w:ind w:right="102"/>
              <w:spacing w:after="0"/>
              <w:rPr>
                <w:sz w:val="20"/>
                <w:szCs w:val="20"/>
                <w:color w:val="auto"/>
              </w:rPr>
            </w:pPr>
            <w:r>
              <w:rPr>
                <w:rFonts w:ascii="Arial" w:cs="Arial" w:eastAsia="Arial" w:hAnsi="Arial"/>
                <w:sz w:val="18"/>
                <w:szCs w:val="18"/>
                <w:color w:val="auto"/>
              </w:rPr>
              <w:t>131,074,042</w:t>
            </w:r>
            <w:r>
              <w:rPr>
                <w:rFonts w:ascii="Arial" w:cs="Arial" w:eastAsia="Arial" w:hAnsi="Arial"/>
                <w:sz w:val="12"/>
                <w:szCs w:val="12"/>
                <w:color w:val="auto"/>
              </w:rPr>
              <w:t>(1)</w:t>
            </w:r>
          </w:p>
        </w:tc>
        <w:tc>
          <w:tcPr>
            <w:tcW w:w="1100" w:type="dxa"/>
            <w:vAlign w:val="bottom"/>
            <w:shd w:val="clear" w:color="auto" w:fill="E5E5E5"/>
          </w:tcPr>
          <w:p>
            <w:pPr>
              <w:jc w:val="right"/>
              <w:ind w:right="139"/>
              <w:spacing w:after="0"/>
              <w:rPr>
                <w:sz w:val="20"/>
                <w:szCs w:val="20"/>
                <w:color w:val="auto"/>
              </w:rPr>
            </w:pPr>
            <w:r>
              <w:rPr>
                <w:rFonts w:ascii="Arial" w:cs="Arial" w:eastAsia="Arial" w:hAnsi="Arial"/>
                <w:sz w:val="18"/>
                <w:szCs w:val="18"/>
                <w:color w:val="auto"/>
              </w:rPr>
              <w:t>10.81%</w:t>
            </w:r>
          </w:p>
        </w:tc>
      </w:tr>
      <w:tr>
        <w:trPr>
          <w:trHeight w:val="202"/>
        </w:trPr>
        <w:tc>
          <w:tcPr>
            <w:tcW w:w="6020" w:type="dxa"/>
            <w:vAlign w:val="bottom"/>
          </w:tcPr>
          <w:p>
            <w:pPr>
              <w:ind w:left="80"/>
              <w:spacing w:after="0" w:line="201" w:lineRule="exact"/>
              <w:rPr>
                <w:sz w:val="20"/>
                <w:szCs w:val="20"/>
                <w:color w:val="auto"/>
              </w:rPr>
            </w:pPr>
            <w:r>
              <w:rPr>
                <w:rFonts w:ascii="Arial" w:cs="Arial" w:eastAsia="Arial" w:hAnsi="Arial"/>
                <w:sz w:val="18"/>
                <w:szCs w:val="18"/>
                <w:color w:val="auto"/>
              </w:rPr>
              <w:t>BlackRock, Inc.,</w:t>
            </w:r>
          </w:p>
        </w:tc>
        <w:tc>
          <w:tcPr>
            <w:tcW w:w="39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7"/>
        </w:trPr>
        <w:tc>
          <w:tcPr>
            <w:tcW w:w="6020" w:type="dxa"/>
            <w:vAlign w:val="bottom"/>
            <w:tcBorders>
              <w:bottom w:val="single" w:sz="8" w:color="732282"/>
            </w:tcBorders>
          </w:tcPr>
          <w:p>
            <w:pPr>
              <w:ind w:left="80"/>
              <w:spacing w:after="0"/>
              <w:rPr>
                <w:sz w:val="20"/>
                <w:szCs w:val="20"/>
                <w:color w:val="auto"/>
              </w:rPr>
            </w:pPr>
            <w:r>
              <w:rPr>
                <w:rFonts w:ascii="Arial" w:cs="Arial" w:eastAsia="Arial" w:hAnsi="Arial"/>
                <w:sz w:val="18"/>
                <w:szCs w:val="18"/>
                <w:color w:val="auto"/>
              </w:rPr>
              <w:t>55 East 52nd Street, New York, NY 10055</w:t>
            </w:r>
          </w:p>
        </w:tc>
        <w:tc>
          <w:tcPr>
            <w:tcW w:w="3900" w:type="dxa"/>
            <w:vAlign w:val="bottom"/>
            <w:tcBorders>
              <w:bottom w:val="single" w:sz="8" w:color="732282"/>
            </w:tcBorders>
          </w:tcPr>
          <w:p>
            <w:pPr>
              <w:jc w:val="right"/>
              <w:ind w:right="102"/>
              <w:spacing w:after="0"/>
              <w:rPr>
                <w:sz w:val="20"/>
                <w:szCs w:val="20"/>
                <w:color w:val="auto"/>
              </w:rPr>
            </w:pPr>
            <w:r>
              <w:rPr>
                <w:rFonts w:ascii="Arial" w:cs="Arial" w:eastAsia="Arial" w:hAnsi="Arial"/>
                <w:sz w:val="18"/>
                <w:szCs w:val="18"/>
                <w:color w:val="auto"/>
              </w:rPr>
              <w:t>86,554,658</w:t>
            </w:r>
            <w:r>
              <w:rPr>
                <w:rFonts w:ascii="Arial" w:cs="Arial" w:eastAsia="Arial" w:hAnsi="Arial"/>
                <w:sz w:val="12"/>
                <w:szCs w:val="12"/>
                <w:color w:val="auto"/>
              </w:rPr>
              <w:t>(2)</w:t>
            </w:r>
          </w:p>
        </w:tc>
        <w:tc>
          <w:tcPr>
            <w:tcW w:w="1100" w:type="dxa"/>
            <w:vAlign w:val="bottom"/>
            <w:tcBorders>
              <w:bottom w:val="single" w:sz="8" w:color="732282"/>
            </w:tcBorders>
          </w:tcPr>
          <w:p>
            <w:pPr>
              <w:jc w:val="right"/>
              <w:ind w:right="139"/>
              <w:spacing w:after="0"/>
              <w:rPr>
                <w:sz w:val="20"/>
                <w:szCs w:val="20"/>
                <w:color w:val="auto"/>
              </w:rPr>
            </w:pPr>
            <w:r>
              <w:rPr>
                <w:rFonts w:ascii="Arial" w:cs="Arial" w:eastAsia="Arial" w:hAnsi="Arial"/>
                <w:sz w:val="18"/>
                <w:szCs w:val="18"/>
                <w:color w:val="auto"/>
              </w:rPr>
              <w:t>7.14%</w:t>
            </w:r>
          </w:p>
        </w:tc>
      </w:tr>
    </w:tbl>
    <w:p>
      <w:pPr>
        <w:spacing w:after="0" w:line="134" w:lineRule="exact"/>
        <w:rPr>
          <w:sz w:val="20"/>
          <w:szCs w:val="20"/>
          <w:color w:val="auto"/>
        </w:rPr>
      </w:pPr>
    </w:p>
    <w:p>
      <w:pPr>
        <w:jc w:val="both"/>
        <w:ind w:left="540" w:hanging="424"/>
        <w:spacing w:after="0" w:line="253" w:lineRule="auto"/>
        <w:tabs>
          <w:tab w:leader="none" w:pos="540" w:val="left"/>
        </w:tabs>
        <w:numPr>
          <w:ilvl w:val="0"/>
          <w:numId w:val="62"/>
        </w:numPr>
        <w:rPr>
          <w:rFonts w:ascii="Arial" w:cs="Arial" w:eastAsia="Arial" w:hAnsi="Arial"/>
          <w:sz w:val="16"/>
          <w:szCs w:val="16"/>
          <w:i w:val="1"/>
          <w:iCs w:val="1"/>
          <w:color w:val="auto"/>
        </w:rPr>
      </w:pPr>
      <w:r>
        <w:rPr>
          <w:rFonts w:ascii="Arial" w:cs="Arial" w:eastAsia="Arial" w:hAnsi="Arial"/>
          <w:sz w:val="16"/>
          <w:szCs w:val="16"/>
          <w:i w:val="1"/>
          <w:iCs w:val="1"/>
          <w:color w:val="auto"/>
        </w:rPr>
        <w:t>Based on the Schedule 13G filed by The Vanguard Group with the SEC on February 10, 2022, The Vanguard Group has sole voting power over 0 shares of common stock, shared voting power over 1,934,699 shares of common stock, sole dispositive power over 126,099,047 shares of common stock and shared dispositive power over 4,974,995 shares of common stock.</w:t>
      </w:r>
    </w:p>
    <w:p>
      <w:pPr>
        <w:spacing w:after="0" w:line="1" w:lineRule="exact"/>
        <w:rPr>
          <w:rFonts w:ascii="Arial" w:cs="Arial" w:eastAsia="Arial" w:hAnsi="Arial"/>
          <w:sz w:val="16"/>
          <w:szCs w:val="16"/>
          <w:i w:val="1"/>
          <w:iCs w:val="1"/>
          <w:color w:val="auto"/>
        </w:rPr>
      </w:pPr>
    </w:p>
    <w:p>
      <w:pPr>
        <w:jc w:val="both"/>
        <w:ind w:left="540" w:right="20" w:hanging="424"/>
        <w:spacing w:after="0" w:line="253" w:lineRule="auto"/>
        <w:tabs>
          <w:tab w:leader="none" w:pos="540" w:val="left"/>
        </w:tabs>
        <w:numPr>
          <w:ilvl w:val="0"/>
          <w:numId w:val="62"/>
        </w:numPr>
        <w:rPr>
          <w:rFonts w:ascii="Arial" w:cs="Arial" w:eastAsia="Arial" w:hAnsi="Arial"/>
          <w:sz w:val="16"/>
          <w:szCs w:val="16"/>
          <w:i w:val="1"/>
          <w:iCs w:val="1"/>
          <w:color w:val="auto"/>
        </w:rPr>
      </w:pPr>
      <w:r>
        <w:rPr>
          <w:rFonts w:ascii="Arial" w:cs="Arial" w:eastAsia="Arial" w:hAnsi="Arial"/>
          <w:sz w:val="16"/>
          <w:szCs w:val="16"/>
          <w:i w:val="1"/>
          <w:iCs w:val="1"/>
          <w:color w:val="auto"/>
        </w:rPr>
        <w:t>Based on the Schedule 13G/A filed by BlackRock, Inc. with the SEC on February 3, 2022, BlackRock, Inc. has sole voting power over 76,993,236 shares of common stock, shared voting power over 0 shares of common stock, sole dispositive power over 86,554,658 shares of common stock and shared dispositive power over 0 shares of common stock.</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86"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128" w:lineRule="exact"/>
        <w:rPr>
          <w:sz w:val="20"/>
          <w:szCs w:val="20"/>
          <w:color w:val="auto"/>
        </w:rPr>
      </w:pPr>
    </w:p>
    <w:p>
      <w:pPr>
        <w:jc w:val="both"/>
        <w:ind w:left="120" w:right="20"/>
        <w:spacing w:after="0" w:line="251" w:lineRule="auto"/>
        <w:rPr>
          <w:sz w:val="20"/>
          <w:szCs w:val="20"/>
          <w:color w:val="auto"/>
        </w:rPr>
      </w:pPr>
      <w:r>
        <w:rPr>
          <w:rFonts w:ascii="Arial" w:cs="Arial" w:eastAsia="Arial" w:hAnsi="Arial"/>
          <w:sz w:val="16"/>
          <w:szCs w:val="16"/>
          <w:color w:val="auto"/>
        </w:rPr>
        <w:t>Based on a review of any transactions between Viatris and its Directors and executive officers, their immediate family members, and their affiliated entities, Viatris has determined that since the beginning of 2021, it was or is to be a participant in the following transactions in which the amount involved exceeds $120,000 and in which any of Viatris’ Directors, executive officers, or greater than five percent shareholders, or any of their immediate family members, had or will have a direct or indirect material interest:</w:t>
      </w:r>
    </w:p>
    <w:p>
      <w:pPr>
        <w:spacing w:after="0" w:line="94"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The Coury Firm LLC (together with its predecessors, “TCF”) provides certain services to Viatris and its subsidiaries pursuant to a contract between Mylan Inc., a subsidiary of Viatris, and TCF. The principals of TCF are brothers and a son of Robert J. Coury, Executive Chairman, and TCF is beneficially owned by brothers and trusts on behalf of brothers and children of Mr. Coury. TCF is in the business of providing strategic corporate benefits advice and services, among others. Since approximately 1995, TCF and, in the past, other affiliated entities of TCF, served as the broker in connection with several of Mylan’s and, since the closing of the Combination, Viatris’ employee benefit programs. Commencing on September 1, 2020, the parties extended their agreement through December 31, 2023 on substantially the same terms as their prior arrangement, which included a fixed base fee of $37,500 per month to be paid by Mylan to TCF, corresponding to the term of agreements negotiated with certain benefit plan carriers and capping payments over that time period. However, where required by law, TCF will continue to receive commissions directly from certain other benefit plan carriers, and in 2021 and early 2022, received payments totaling approximately $285,000 in commissions for these services directly from the insurance carriers (including payments for 2020 business paid in 2021).</w:t>
      </w:r>
    </w:p>
    <w:p>
      <w:pPr>
        <w:spacing w:after="0" w:line="97" w:lineRule="exact"/>
        <w:rPr>
          <w:sz w:val="20"/>
          <w:szCs w:val="20"/>
          <w:color w:val="auto"/>
        </w:rPr>
      </w:pPr>
    </w:p>
    <w:p>
      <w:pPr>
        <w:jc w:val="both"/>
        <w:ind w:left="120"/>
        <w:spacing w:after="0" w:line="250" w:lineRule="auto"/>
        <w:rPr>
          <w:sz w:val="20"/>
          <w:szCs w:val="20"/>
          <w:color w:val="auto"/>
        </w:rPr>
      </w:pPr>
      <w:r>
        <w:rPr>
          <w:rFonts w:ascii="Arial" w:cs="Arial" w:eastAsia="Arial" w:hAnsi="Arial"/>
          <w:sz w:val="16"/>
          <w:szCs w:val="16"/>
          <w:color w:val="auto"/>
        </w:rPr>
        <w:t>Angela Campbell, Mr. Campbell’s spouse and herself a related person of Viatris, held roles of increasing responsibility at Mylan Inc. since June 2007 and is currently serving as Head of Operations Strategic Initiatives at Viatris. Ms. Campbell earned approximately $340,000 in compensation from Viatris in 2021 (consisting of base salary, an annual short-term incentive bonus, amounts realized from the exercise or vesting of long-term incentive awards and miscellaneous other benefits) and her compensation in 2022 is expected to be approximately $360,000 (consisting of base salary, an annual short-term incentive bonus, amounts realized from the exercise or vesting of long-term incentive awards and miscellaneous other benefits).</w:t>
      </w:r>
    </w:p>
    <w:p>
      <w:pPr>
        <w:spacing w:after="0" w:line="95"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6"/>
          <w:szCs w:val="16"/>
          <w:color w:val="auto"/>
        </w:rPr>
        <w:t>Mr. Malik is an executive officer of the Company and was party to an employment agreement with Mylan Inc., which contained standard indemnification provisions, and is currently party to a standard indemnification agreement with the Company. The Company has made payments to counsel to Mr. Malik of approximately $1.2 million from January 1, 2021 through April 25, 2022 for services provided to Mr. Malik in connection with certain previously disclosed drug pricing matters. The Company anticipates making additional payments of approximately $1.2 million in 2022 for ongoing services to be provided to Mr. Malik in connection with such matters. Viatris anticipates additional payment, repayment or advancement of these and other expenses during the pendency of these matters and anticipates that it will make payments for any such claims.</w:t>
      </w:r>
    </w:p>
    <w:p>
      <w:pPr>
        <w:spacing w:after="0" w:line="97" w:lineRule="exact"/>
        <w:rPr>
          <w:sz w:val="20"/>
          <w:szCs w:val="20"/>
          <w:color w:val="auto"/>
        </w:rPr>
      </w:pPr>
    </w:p>
    <w:p>
      <w:pPr>
        <w:jc w:val="both"/>
        <w:ind w:left="120"/>
        <w:spacing w:after="0" w:line="249" w:lineRule="auto"/>
        <w:rPr>
          <w:sz w:val="20"/>
          <w:szCs w:val="20"/>
          <w:color w:val="auto"/>
        </w:rPr>
      </w:pPr>
      <w:r>
        <w:rPr>
          <w:rFonts w:ascii="Arial" w:cs="Arial" w:eastAsia="Arial" w:hAnsi="Arial"/>
          <w:sz w:val="16"/>
          <w:szCs w:val="16"/>
          <w:color w:val="auto"/>
        </w:rPr>
        <w:t>Viatris has a written related party transactions policy that establishes guidelines for reviewing and approving, as appropriate, transactions involving any Director, nominee for Director, Section 16 Officer, person known by the Company to be the beneficial owner of more than 5% of any class of the Company’s voting securities, or person known by the Company to be an immediate family member of any such person in which (1) the amount involved will or may be expected to exceed $100,000; (2) Viatris or an affiliate of Viatris is or will be a participant; and (3) any related party has or will have a direct or indirect material interest. The Board also annually reviews certain relationships and related party transactions as part of its assessment of each Director’s independence.</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86"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8" w:lineRule="exact"/>
        <w:rPr>
          <w:sz w:val="20"/>
          <w:szCs w:val="20"/>
          <w:color w:val="auto"/>
        </w:rPr>
      </w:pPr>
    </w:p>
    <w:p>
      <w:pPr>
        <w:jc w:val="both"/>
        <w:ind w:left="120"/>
        <w:spacing w:after="0" w:line="246" w:lineRule="auto"/>
        <w:rPr>
          <w:sz w:val="20"/>
          <w:szCs w:val="20"/>
          <w:color w:val="auto"/>
        </w:rPr>
      </w:pPr>
      <w:r>
        <w:rPr>
          <w:rFonts w:ascii="Arial" w:cs="Arial" w:eastAsia="Arial" w:hAnsi="Arial"/>
          <w:sz w:val="16"/>
          <w:szCs w:val="16"/>
          <w:color w:val="auto"/>
        </w:rPr>
        <w:t>Viatris’ Board has determined that Mr. Cornwell, Ms. Dillon, Mr. Dimick, Ms. Higgins, Mr. Kilts, Mr. Korman, Mr. Mark, Mr. Parrish, and Ms. van der Meer Mohr are independent Directors under the applicable NASDAQ listing rules. In making these determinations, the Board considered, with respect to Mr. Cornwell’s independence, that Mr. Cornwell’s son is a partner of PJT Partners (“PJT”), which served as a financial advisor to Mylan in connection with the Combination; PJT also served as Viatris’ financial advisor in connection with the Biocon Biologics Transaction. Mr. Cornwell’s son was not involved in PJT’s work related to either the Combination or the Biocon Biologics Transaction. With respect to Mr. Korman’s independence, the Board considered</w:t>
      </w:r>
    </w:p>
    <w:p>
      <w:pPr>
        <w:spacing w:after="0" w:line="2" w:lineRule="exact"/>
        <w:rPr>
          <w:sz w:val="20"/>
          <w:szCs w:val="20"/>
          <w:color w:val="auto"/>
        </w:rPr>
      </w:pPr>
    </w:p>
    <w:p>
      <w:pPr>
        <w:jc w:val="both"/>
        <w:ind w:left="120" w:right="20" w:hanging="4"/>
        <w:spacing w:after="0" w:line="250" w:lineRule="auto"/>
        <w:tabs>
          <w:tab w:leader="none" w:pos="373" w:val="left"/>
        </w:tabs>
        <w:numPr>
          <w:ilvl w:val="0"/>
          <w:numId w:val="63"/>
        </w:numPr>
        <w:rPr>
          <w:rFonts w:ascii="Arial" w:cs="Arial" w:eastAsia="Arial" w:hAnsi="Arial"/>
          <w:sz w:val="16"/>
          <w:szCs w:val="16"/>
          <w:color w:val="auto"/>
        </w:rPr>
      </w:pPr>
      <w:r>
        <w:rPr>
          <w:rFonts w:ascii="Arial" w:cs="Arial" w:eastAsia="Arial" w:hAnsi="Arial"/>
          <w:sz w:val="16"/>
          <w:szCs w:val="16"/>
          <w:color w:val="auto"/>
        </w:rPr>
        <w:t>Mr. Korman’s past employment by Mylan Inc. from 1996 through July 2014 and his prior consulting services for Mylan Inc. from July 2014 to July 1, 2015 and (b) that Mr. Korman’s son had a paid internship with a Mylan subsidiary during the summer of 2019. With respect to Mr. Mark, the Board considered his prior service as a partner at Deloitte, Viatris’ independent registered public accounting firm. The Board determined that any such past arrangements, transactions or relationships would not interfere with the exercise of independent judgment by Mr. Cornwell, Mr. Korman or Mr. Mark in carrying out his respective responsibilities as a Director of Viatris.</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Messrs. Coury, Goettler, Malik, and Read are not independent Directors under applicable NASDAQ listing rules.</w:t>
      </w:r>
    </w:p>
    <w:p>
      <w:pPr>
        <w:spacing w:after="0" w:line="34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8"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In connection with the Combination, on November 19, 2020, the Audit Committee dismissed KPMG LLP as the Company’s independent registered public accounting firm and appointed Deloitte to serve in that role going forward. Mylan is the accounting acquirer in the Combination, and Deloitte had served as Mylan’s independent registered public accounting firm since 1976. As a result, the fees described below for 2020 relate to fees paid by Mylan to Deloitte prior to the Combination and fees paid by Viatris to Deloitte following the closing of the Combination on November 16, 2020. Deloitte has audited Viatris’ financial statements for the fiscal years ended December 31, 2021 and 2020. No relationships exist with Deloitte other than the usual relationship between such a firm and its client. Details about the nature of the services provided by, and fees Viatris and Mylan paid to, Deloitte and affiliated firms for such services during 2021 and 2020 are set forth below.</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240" w:type="dxa"/>
            <w:vAlign w:val="bottom"/>
            <w:shd w:val="clear" w:color="auto" w:fill="732282"/>
          </w:tcPr>
          <w:p>
            <w:pPr>
              <w:spacing w:after="0"/>
              <w:rPr>
                <w:sz w:val="14"/>
                <w:szCs w:val="14"/>
                <w:color w:val="auto"/>
              </w:rPr>
            </w:pPr>
          </w:p>
        </w:tc>
        <w:tc>
          <w:tcPr>
            <w:tcW w:w="220" w:type="dxa"/>
            <w:vAlign w:val="bottom"/>
            <w:shd w:val="clear" w:color="auto" w:fill="732282"/>
          </w:tcPr>
          <w:p>
            <w:pPr>
              <w:spacing w:after="0"/>
              <w:rPr>
                <w:sz w:val="14"/>
                <w:szCs w:val="14"/>
                <w:color w:val="auto"/>
              </w:rPr>
            </w:pPr>
          </w:p>
        </w:tc>
        <w:tc>
          <w:tcPr>
            <w:tcW w:w="1560" w:type="dxa"/>
            <w:vAlign w:val="bottom"/>
            <w:gridSpan w:val="4"/>
            <w:shd w:val="clear" w:color="auto" w:fill="732282"/>
          </w:tcPr>
          <w:p>
            <w:pPr>
              <w:jc w:val="right"/>
              <w:ind w:right="520"/>
              <w:spacing w:after="0"/>
              <w:rPr>
                <w:sz w:val="20"/>
                <w:szCs w:val="20"/>
                <w:color w:val="auto"/>
              </w:rPr>
            </w:pPr>
            <w:r>
              <w:rPr>
                <w:rFonts w:ascii="Arial" w:cs="Arial" w:eastAsia="Arial" w:hAnsi="Arial"/>
                <w:sz w:val="14"/>
                <w:szCs w:val="14"/>
                <w:b w:val="1"/>
                <w:bCs w:val="1"/>
                <w:color w:val="FFFFFF"/>
              </w:rPr>
              <w:t>In Millions</w:t>
            </w:r>
          </w:p>
        </w:tc>
      </w:tr>
      <w:tr>
        <w:trPr>
          <w:trHeight w:val="162"/>
        </w:trPr>
        <w:tc>
          <w:tcPr>
            <w:tcW w:w="9240" w:type="dxa"/>
            <w:vAlign w:val="bottom"/>
            <w:shd w:val="clear" w:color="auto" w:fill="732282"/>
          </w:tcPr>
          <w:p>
            <w:pPr>
              <w:spacing w:after="0"/>
              <w:rPr>
                <w:sz w:val="14"/>
                <w:szCs w:val="14"/>
                <w:color w:val="auto"/>
              </w:rPr>
            </w:pPr>
          </w:p>
        </w:tc>
        <w:tc>
          <w:tcPr>
            <w:tcW w:w="1000" w:type="dxa"/>
            <w:vAlign w:val="bottom"/>
            <w:gridSpan w:val="3"/>
            <w:shd w:val="clear" w:color="auto" w:fill="732282"/>
          </w:tcPr>
          <w:p>
            <w:pPr>
              <w:jc w:val="right"/>
              <w:ind w:right="160"/>
              <w:spacing w:after="0"/>
              <w:rPr>
                <w:sz w:val="20"/>
                <w:szCs w:val="20"/>
                <w:color w:val="auto"/>
              </w:rPr>
            </w:pPr>
            <w:r>
              <w:rPr>
                <w:rFonts w:ascii="Arial" w:cs="Arial" w:eastAsia="Arial" w:hAnsi="Arial"/>
                <w:sz w:val="14"/>
                <w:szCs w:val="14"/>
                <w:b w:val="1"/>
                <w:bCs w:val="1"/>
                <w:color w:val="FFFFFF"/>
              </w:rPr>
              <w:t>2021</w:t>
            </w:r>
          </w:p>
        </w:tc>
        <w:tc>
          <w:tcPr>
            <w:tcW w:w="780" w:type="dxa"/>
            <w:vAlign w:val="bottom"/>
            <w:gridSpan w:val="2"/>
            <w:shd w:val="clear" w:color="auto" w:fill="732282"/>
          </w:tcPr>
          <w:p>
            <w:pPr>
              <w:jc w:val="right"/>
              <w:ind w:right="120"/>
              <w:spacing w:after="0"/>
              <w:rPr>
                <w:sz w:val="20"/>
                <w:szCs w:val="20"/>
                <w:color w:val="auto"/>
              </w:rPr>
            </w:pPr>
            <w:r>
              <w:rPr>
                <w:rFonts w:ascii="Arial" w:cs="Arial" w:eastAsia="Arial" w:hAnsi="Arial"/>
                <w:sz w:val="14"/>
                <w:szCs w:val="14"/>
                <w:b w:val="1"/>
                <w:bCs w:val="1"/>
                <w:color w:val="FFFFFF"/>
              </w:rPr>
              <w:t>2020</w:t>
            </w:r>
          </w:p>
        </w:tc>
      </w:tr>
      <w:tr>
        <w:trPr>
          <w:trHeight w:val="189"/>
        </w:trPr>
        <w:tc>
          <w:tcPr>
            <w:tcW w:w="9240" w:type="dxa"/>
            <w:vAlign w:val="bottom"/>
            <w:shd w:val="clear" w:color="auto" w:fill="E5E5E5"/>
          </w:tcPr>
          <w:p>
            <w:pPr>
              <w:ind w:left="160"/>
              <w:spacing w:after="0" w:line="189" w:lineRule="exact"/>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84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$12.29</w:t>
            </w:r>
          </w:p>
        </w:tc>
        <w:tc>
          <w:tcPr>
            <w:tcW w:w="16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$11.93</w:t>
            </w:r>
          </w:p>
        </w:tc>
      </w:tr>
      <w:tr>
        <w:trPr>
          <w:trHeight w:val="189"/>
        </w:trPr>
        <w:tc>
          <w:tcPr>
            <w:tcW w:w="9240" w:type="dxa"/>
            <w:vAlign w:val="bottom"/>
          </w:tcPr>
          <w:p>
            <w:pPr>
              <w:ind w:left="160"/>
              <w:spacing w:after="0" w:line="189" w:lineRule="exact"/>
              <w:rPr>
                <w:sz w:val="20"/>
                <w:szCs w:val="20"/>
                <w:color w:val="auto"/>
              </w:rPr>
            </w:pPr>
            <w:r>
              <w:rPr>
                <w:rFonts w:ascii="Arial" w:cs="Arial" w:eastAsia="Arial" w:hAnsi="Arial"/>
                <w:sz w:val="16"/>
                <w:szCs w:val="16"/>
                <w:color w:val="auto"/>
              </w:rPr>
              <w:t>Audit Related Fees</w:t>
            </w:r>
            <w:r>
              <w:rPr>
                <w:rFonts w:ascii="Arial" w:cs="Arial" w:eastAsia="Arial" w:hAnsi="Arial"/>
                <w:sz w:val="21"/>
                <w:szCs w:val="21"/>
                <w:color w:val="auto"/>
                <w:vertAlign w:val="superscript"/>
              </w:rPr>
              <w:t>(2)</w:t>
            </w: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0.19</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0.21</w:t>
            </w:r>
          </w:p>
        </w:tc>
      </w:tr>
      <w:tr>
        <w:trPr>
          <w:trHeight w:val="189"/>
        </w:trPr>
        <w:tc>
          <w:tcPr>
            <w:tcW w:w="9240" w:type="dxa"/>
            <w:vAlign w:val="bottom"/>
            <w:shd w:val="clear" w:color="auto" w:fill="E5E5E5"/>
          </w:tcPr>
          <w:p>
            <w:pPr>
              <w:ind w:left="180"/>
              <w:spacing w:after="0" w:line="189" w:lineRule="exact"/>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(3)</w:t>
            </w:r>
          </w:p>
        </w:tc>
        <w:tc>
          <w:tcPr>
            <w:tcW w:w="1000" w:type="dxa"/>
            <w:vAlign w:val="bottom"/>
            <w:gridSpan w:val="3"/>
            <w:shd w:val="clear" w:color="auto" w:fill="E5E5E5"/>
          </w:tcPr>
          <w:p>
            <w:pPr>
              <w:jc w:val="right"/>
              <w:ind w:right="160"/>
              <w:spacing w:after="0"/>
              <w:rPr>
                <w:sz w:val="20"/>
                <w:szCs w:val="20"/>
                <w:color w:val="auto"/>
              </w:rPr>
            </w:pPr>
            <w:r>
              <w:rPr>
                <w:rFonts w:ascii="Arial" w:cs="Arial" w:eastAsia="Arial" w:hAnsi="Arial"/>
                <w:sz w:val="16"/>
                <w:szCs w:val="16"/>
                <w:color w:val="auto"/>
              </w:rPr>
              <w:t>0.27</w:t>
            </w:r>
          </w:p>
        </w:tc>
        <w:tc>
          <w:tcPr>
            <w:tcW w:w="78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2.38</w:t>
            </w:r>
          </w:p>
        </w:tc>
      </w:tr>
      <w:tr>
        <w:trPr>
          <w:trHeight w:val="189"/>
        </w:trPr>
        <w:tc>
          <w:tcPr>
            <w:tcW w:w="9240" w:type="dxa"/>
            <w:vAlign w:val="bottom"/>
          </w:tcPr>
          <w:p>
            <w:pPr>
              <w:ind w:left="160"/>
              <w:spacing w:after="0" w:line="189" w:lineRule="exact"/>
              <w:rPr>
                <w:sz w:val="20"/>
                <w:szCs w:val="20"/>
                <w:color w:val="auto"/>
              </w:rPr>
            </w:pPr>
            <w:r>
              <w:rPr>
                <w:rFonts w:ascii="Arial" w:cs="Arial" w:eastAsia="Arial" w:hAnsi="Arial"/>
                <w:sz w:val="16"/>
                <w:szCs w:val="16"/>
                <w:color w:val="auto"/>
              </w:rPr>
              <w:t>All Other Fees</w:t>
            </w:r>
            <w:r>
              <w:rPr>
                <w:rFonts w:ascii="Arial" w:cs="Arial" w:eastAsia="Arial" w:hAnsi="Arial"/>
                <w:sz w:val="21"/>
                <w:szCs w:val="21"/>
                <w:color w:val="auto"/>
                <w:vertAlign w:val="superscript"/>
              </w:rPr>
              <w:t>(4)</w:t>
            </w:r>
          </w:p>
        </w:tc>
        <w:tc>
          <w:tcPr>
            <w:tcW w:w="2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0.10</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23"/>
        </w:trPr>
        <w:tc>
          <w:tcPr>
            <w:tcW w:w="9240" w:type="dxa"/>
            <w:vAlign w:val="bottom"/>
            <w:tcBorders>
              <w:bottom w:val="single" w:sz="8" w:color="E5E5E5"/>
            </w:tcBorders>
            <w:shd w:val="clear" w:color="auto" w:fill="E5E5E5"/>
          </w:tcPr>
          <w:p>
            <w:pPr>
              <w:ind w:left="180"/>
              <w:spacing w:after="0"/>
              <w:rPr>
                <w:sz w:val="20"/>
                <w:szCs w:val="20"/>
                <w:color w:val="auto"/>
              </w:rPr>
            </w:pPr>
            <w:r>
              <w:rPr>
                <w:rFonts w:ascii="Arial" w:cs="Arial" w:eastAsia="Arial" w:hAnsi="Arial"/>
                <w:sz w:val="16"/>
                <w:szCs w:val="16"/>
                <w:b w:val="1"/>
                <w:bCs w:val="1"/>
                <w:color w:val="auto"/>
              </w:rPr>
              <w:t>Total Fees</w:t>
            </w:r>
          </w:p>
        </w:tc>
        <w:tc>
          <w:tcPr>
            <w:tcW w:w="220" w:type="dxa"/>
            <w:vAlign w:val="bottom"/>
            <w:tcBorders>
              <w:bottom w:val="single" w:sz="8" w:color="E5E5E5"/>
            </w:tcBorders>
            <w:shd w:val="clear" w:color="auto" w:fill="E5E5E5"/>
          </w:tcPr>
          <w:p>
            <w:pPr>
              <w:spacing w:after="0"/>
              <w:rPr>
                <w:sz w:val="19"/>
                <w:szCs w:val="19"/>
                <w:color w:val="auto"/>
              </w:rPr>
            </w:pPr>
          </w:p>
        </w:tc>
        <w:tc>
          <w:tcPr>
            <w:tcW w:w="6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$12.85</w:t>
            </w:r>
          </w:p>
        </w:tc>
        <w:tc>
          <w:tcPr>
            <w:tcW w:w="160" w:type="dxa"/>
            <w:vAlign w:val="bottom"/>
            <w:tcBorders>
              <w:bottom w:val="single" w:sz="8" w:color="E5E5E5"/>
            </w:tcBorders>
            <w:shd w:val="clear" w:color="auto" w:fill="E5E5E5"/>
          </w:tcPr>
          <w:p>
            <w:pPr>
              <w:spacing w:after="0"/>
              <w:rPr>
                <w:sz w:val="19"/>
                <w:szCs w:val="19"/>
                <w:color w:val="auto"/>
              </w:rPr>
            </w:pPr>
          </w:p>
        </w:tc>
        <w:tc>
          <w:tcPr>
            <w:tcW w:w="780" w:type="dxa"/>
            <w:vAlign w:val="bottom"/>
            <w:tcBorders>
              <w:bottom w:val="single" w:sz="8" w:color="E5E5E5"/>
            </w:tcBorders>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$14.52</w:t>
            </w:r>
          </w:p>
        </w:tc>
      </w:tr>
      <w:tr>
        <w:trPr>
          <w:trHeight w:val="20"/>
        </w:trPr>
        <w:tc>
          <w:tcPr>
            <w:tcW w:w="9240" w:type="dxa"/>
            <w:vAlign w:val="bottom"/>
            <w:shd w:val="clear" w:color="auto" w:fill="732282"/>
          </w:tcPr>
          <w:p>
            <w:pPr>
              <w:spacing w:after="0" w:line="20" w:lineRule="exact"/>
              <w:rPr>
                <w:sz w:val="1"/>
                <w:szCs w:val="1"/>
                <w:color w:val="auto"/>
              </w:rPr>
            </w:pPr>
          </w:p>
        </w:tc>
        <w:tc>
          <w:tcPr>
            <w:tcW w:w="220" w:type="dxa"/>
            <w:vAlign w:val="bottom"/>
            <w:shd w:val="clear" w:color="auto" w:fill="732282"/>
          </w:tcPr>
          <w:p>
            <w:pPr>
              <w:spacing w:after="0" w:line="20" w:lineRule="exact"/>
              <w:rPr>
                <w:sz w:val="1"/>
                <w:szCs w:val="1"/>
                <w:color w:val="auto"/>
              </w:rPr>
            </w:pPr>
          </w:p>
        </w:tc>
        <w:tc>
          <w:tcPr>
            <w:tcW w:w="620" w:type="dxa"/>
            <w:vAlign w:val="bottom"/>
            <w:shd w:val="clear" w:color="auto" w:fill="732282"/>
          </w:tcPr>
          <w:p>
            <w:pPr>
              <w:spacing w:after="0" w:line="20" w:lineRule="exact"/>
              <w:rPr>
                <w:sz w:val="1"/>
                <w:szCs w:val="1"/>
                <w:color w:val="auto"/>
              </w:rPr>
            </w:pPr>
          </w:p>
        </w:tc>
        <w:tc>
          <w:tcPr>
            <w:tcW w:w="160" w:type="dxa"/>
            <w:vAlign w:val="bottom"/>
            <w:shd w:val="clear" w:color="auto" w:fill="732282"/>
          </w:tcPr>
          <w:p>
            <w:pPr>
              <w:spacing w:after="0" w:line="20" w:lineRule="exact"/>
              <w:rPr>
                <w:sz w:val="1"/>
                <w:szCs w:val="1"/>
                <w:color w:val="auto"/>
              </w:rPr>
            </w:pPr>
          </w:p>
        </w:tc>
        <w:tc>
          <w:tcPr>
            <w:tcW w:w="660" w:type="dxa"/>
            <w:vAlign w:val="bottom"/>
            <w:shd w:val="clear" w:color="auto" w:fill="732282"/>
          </w:tcPr>
          <w:p>
            <w:pPr>
              <w:spacing w:after="0" w:line="20" w:lineRule="exact"/>
              <w:rPr>
                <w:sz w:val="1"/>
                <w:szCs w:val="1"/>
                <w:color w:val="auto"/>
              </w:rPr>
            </w:pPr>
          </w:p>
        </w:tc>
        <w:tc>
          <w:tcPr>
            <w:tcW w:w="120" w:type="dxa"/>
            <w:vAlign w:val="bottom"/>
            <w:shd w:val="clear" w:color="auto" w:fill="732282"/>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162560</wp:posOffset>
            </wp:positionV>
            <wp:extent cx="7715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76" w:lineRule="exact"/>
        <w:rPr>
          <w:sz w:val="20"/>
          <w:szCs w:val="20"/>
          <w:color w:val="auto"/>
        </w:rPr>
      </w:pPr>
    </w:p>
    <w:p>
      <w:pPr>
        <w:jc w:val="both"/>
        <w:ind w:left="540" w:right="20" w:hanging="424"/>
        <w:spacing w:after="0" w:line="251" w:lineRule="auto"/>
        <w:tabs>
          <w:tab w:leader="none" w:pos="540"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fees for professional services provided for the audit of the Company’s annual consolidated financial statements, the audit of the Company’s internal control over financial reporting, as required by Section 404 of the Sarbanes-Oxley Act of 2002, reviews of the Company’s quarterly condensed consolidated financial statements, audit services provided in connection with other statutory or regulatory filings, and accounting, reporting and disclosure matters.</w:t>
      </w:r>
    </w:p>
    <w:p>
      <w:pPr>
        <w:spacing w:after="0" w:line="2" w:lineRule="exact"/>
        <w:rPr>
          <w:rFonts w:ascii="Arial" w:cs="Arial" w:eastAsia="Arial" w:hAnsi="Arial"/>
          <w:sz w:val="16"/>
          <w:szCs w:val="16"/>
          <w:i w:val="1"/>
          <w:iCs w:val="1"/>
          <w:color w:val="auto"/>
        </w:rPr>
      </w:pPr>
    </w:p>
    <w:p>
      <w:pPr>
        <w:jc w:val="both"/>
        <w:ind w:left="540" w:right="20" w:hanging="424"/>
        <w:spacing w:after="0" w:line="253" w:lineRule="auto"/>
        <w:tabs>
          <w:tab w:leader="none" w:pos="540"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fees for assurance services related to the audit of the Company’s annual consolidated financial statements, including statutory audits of certain of the Company’s subsidiaries, the audit of the Company’s employee benefit plans, comfort letters, certain SEC filings and other agreed-upon procedures.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86"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 w:hanging="424"/>
        <w:spacing w:after="0" w:line="256" w:lineRule="auto"/>
        <w:tabs>
          <w:tab w:leader="none" w:pos="540" w:val="left"/>
        </w:tabs>
        <w:numPr>
          <w:ilvl w:val="0"/>
          <w:numId w:val="65"/>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fees primarily related to tax return preparation, tax planning and tax compliance support services, as well as fees related to tax advice provided in connection with the Combination.</w:t>
      </w:r>
    </w:p>
    <w:p>
      <w:pPr>
        <w:spacing w:after="0" w:line="1" w:lineRule="exact"/>
        <w:rPr>
          <w:rFonts w:ascii="Arial" w:cs="Arial" w:eastAsia="Arial" w:hAnsi="Arial"/>
          <w:sz w:val="16"/>
          <w:szCs w:val="16"/>
          <w:i w:val="1"/>
          <w:iCs w:val="1"/>
          <w:color w:val="auto"/>
        </w:rPr>
      </w:pPr>
    </w:p>
    <w:p>
      <w:pPr>
        <w:ind w:left="540" w:hanging="424"/>
        <w:spacing w:after="0"/>
        <w:tabs>
          <w:tab w:leader="none" w:pos="540" w:val="left"/>
        </w:tabs>
        <w:numPr>
          <w:ilvl w:val="0"/>
          <w:numId w:val="65"/>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fees related primarily to advisory services.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 Pre-Approval Policy</w:t>
      </w:r>
    </w:p>
    <w:p>
      <w:pPr>
        <w:spacing w:after="0" w:line="128" w:lineRule="exact"/>
        <w:rPr>
          <w:sz w:val="20"/>
          <w:szCs w:val="20"/>
          <w:color w:val="auto"/>
        </w:rPr>
      </w:pPr>
    </w:p>
    <w:p>
      <w:pPr>
        <w:jc w:val="both"/>
        <w:ind w:left="120"/>
        <w:spacing w:after="0" w:line="250" w:lineRule="auto"/>
        <w:rPr>
          <w:sz w:val="20"/>
          <w:szCs w:val="20"/>
          <w:color w:val="auto"/>
        </w:rPr>
      </w:pPr>
      <w:r>
        <w:rPr>
          <w:rFonts w:ascii="Arial" w:cs="Arial" w:eastAsia="Arial" w:hAnsi="Arial"/>
          <w:sz w:val="16"/>
          <w:szCs w:val="16"/>
          <w:color w:val="auto"/>
        </w:rPr>
        <w:t>The Audit Committee has a policy regarding pre-approval of audit, audit-related, tax and other services that the independent registered public accounting firm may perform for Viatris. Under the policy, the Committee must review and pre-approve on an individual basis any requests for audit, audit-related, tax and other services not covered by certain services pre-approved by the Committee up to certain amounts. All services performed by Deloitte during 2021 and 2020 were pre-approved by the Audit Committee or, with respect to periods prior to November 16, 2020, the Mylan Audit Committee in accordance with their respective pre-approval policies.</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86"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IV</w:t>
      </w:r>
    </w:p>
    <w:p>
      <w:pPr>
        <w:spacing w:after="0" w:line="239"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61" w:lineRule="exact"/>
        <w:rPr>
          <w:sz w:val="20"/>
          <w:szCs w:val="20"/>
          <w:color w:val="auto"/>
        </w:rPr>
      </w:pPr>
    </w:p>
    <w:p>
      <w:pPr>
        <w:ind w:left="120"/>
        <w:spacing w:after="0"/>
        <w:tabs>
          <w:tab w:leader="none" w:pos="980" w:val="left"/>
        </w:tabs>
        <w:rPr>
          <w:rFonts w:ascii="Arial" w:cs="Arial" w:eastAsia="Arial" w:hAnsi="Arial"/>
          <w:sz w:val="17"/>
          <w:szCs w:val="17"/>
          <w:u w:val="single" w:color="auto"/>
          <w:color w:val="0000EE"/>
        </w:rPr>
      </w:pPr>
      <w:r>
        <w:rPr>
          <w:rFonts w:ascii="Arial" w:cs="Arial" w:eastAsia="Arial" w:hAnsi="Arial"/>
          <w:sz w:val="18"/>
          <w:szCs w:val="18"/>
          <w:color w:val="auto"/>
        </w:rPr>
        <w:t>31.1</w:t>
      </w:r>
      <w:r>
        <w:rPr>
          <w:sz w:val="20"/>
          <w:szCs w:val="20"/>
          <w:color w:val="auto"/>
        </w:rPr>
        <w:tab/>
      </w:r>
      <w:hyperlink w:anchor="page64">
        <w:r>
          <w:rPr>
            <w:rFonts w:ascii="Arial" w:cs="Arial" w:eastAsia="Arial" w:hAnsi="Arial"/>
            <w:sz w:val="17"/>
            <w:szCs w:val="17"/>
            <w:u w:val="single" w:color="auto"/>
            <w:color w:val="0000EE"/>
          </w:rPr>
          <w:t>Certification of Principal Executive Officer pursuant to Section 302 of the Sarbanes-Oxley Act of 2002.</w:t>
        </w:r>
      </w:hyperlink>
    </w:p>
    <w:p>
      <w:pPr>
        <w:spacing w:after="0" w:line="104" w:lineRule="exact"/>
        <w:rPr>
          <w:sz w:val="20"/>
          <w:szCs w:val="20"/>
          <w:color w:val="auto"/>
        </w:rPr>
      </w:pPr>
    </w:p>
    <w:p>
      <w:pPr>
        <w:ind w:left="120"/>
        <w:spacing w:after="0"/>
        <w:tabs>
          <w:tab w:leader="none" w:pos="980" w:val="left"/>
        </w:tabs>
        <w:rPr>
          <w:rFonts w:ascii="Arial" w:cs="Arial" w:eastAsia="Arial" w:hAnsi="Arial"/>
          <w:sz w:val="17"/>
          <w:szCs w:val="17"/>
          <w:u w:val="single" w:color="auto"/>
          <w:color w:val="0000EE"/>
        </w:rPr>
      </w:pPr>
      <w:r>
        <w:rPr>
          <w:rFonts w:ascii="Arial" w:cs="Arial" w:eastAsia="Arial" w:hAnsi="Arial"/>
          <w:sz w:val="18"/>
          <w:szCs w:val="18"/>
          <w:color w:val="auto"/>
        </w:rPr>
        <w:t>31.2</w:t>
      </w:r>
      <w:r>
        <w:rPr>
          <w:sz w:val="20"/>
          <w:szCs w:val="20"/>
          <w:color w:val="auto"/>
        </w:rPr>
        <w:tab/>
      </w:r>
      <w:hyperlink w:anchor="page65">
        <w:r>
          <w:rPr>
            <w:rFonts w:ascii="Arial" w:cs="Arial" w:eastAsia="Arial" w:hAnsi="Arial"/>
            <w:sz w:val="17"/>
            <w:szCs w:val="17"/>
            <w:u w:val="single" w:color="auto"/>
            <w:color w:val="0000EE"/>
          </w:rPr>
          <w:t>Certification of Principal Financial Officer pursuant to Section 302 of the Sarbanes-Oxley Act of 2002.</w:t>
        </w:r>
      </w:hyperlink>
    </w:p>
    <w:p>
      <w:pPr>
        <w:spacing w:after="0" w:line="104" w:lineRule="exact"/>
        <w:rPr>
          <w:sz w:val="20"/>
          <w:szCs w:val="20"/>
          <w:color w:val="auto"/>
        </w:rPr>
      </w:pPr>
    </w:p>
    <w:p>
      <w:pPr>
        <w:ind w:left="1000" w:hanging="884"/>
        <w:spacing w:after="0" w:line="246"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Cover Page Interactive Data File—the cover page interactive data file does not appear in the Interactive Data File because its XBRL tags are embedded within the Inline XBRL document (included in Exhibit 101).</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0"/>
          </w:cols>
          <w:pgMar w:left="320" w:top="486" w:right="5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SIGNATURE</w:t>
      </w:r>
    </w:p>
    <w:p>
      <w:pPr>
        <w:spacing w:after="0" w:line="133" w:lineRule="exact"/>
        <w:rPr>
          <w:sz w:val="20"/>
          <w:szCs w:val="20"/>
          <w:color w:val="auto"/>
        </w:rPr>
      </w:pPr>
    </w:p>
    <w:p>
      <w:pPr>
        <w:ind w:left="120"/>
        <w:spacing w:after="0" w:line="26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01" w:lineRule="exact"/>
        <w:rPr>
          <w:sz w:val="20"/>
          <w:szCs w:val="20"/>
          <w:color w:val="auto"/>
        </w:rPr>
      </w:pPr>
    </w:p>
    <w:p>
      <w:pPr>
        <w:ind w:left="120"/>
        <w:spacing w:after="0"/>
        <w:tabs>
          <w:tab w:leader="none" w:pos="5720" w:val="left"/>
        </w:tabs>
        <w:rPr>
          <w:sz w:val="20"/>
          <w:szCs w:val="20"/>
          <w:color w:val="auto"/>
        </w:rPr>
      </w:pPr>
      <w:r>
        <w:rPr>
          <w:rFonts w:ascii="Arial" w:cs="Arial" w:eastAsia="Arial" w:hAnsi="Arial"/>
          <w:sz w:val="16"/>
          <w:szCs w:val="16"/>
          <w:color w:val="auto"/>
        </w:rPr>
        <w:t>Date: April 29, 2022</w:t>
      </w:r>
      <w:r>
        <w:rPr>
          <w:sz w:val="20"/>
          <w:szCs w:val="20"/>
          <w:color w:val="auto"/>
        </w:rPr>
        <w:tab/>
      </w:r>
      <w:r>
        <w:rPr>
          <w:rFonts w:ascii="Arial" w:cs="Arial" w:eastAsia="Arial" w:hAnsi="Arial"/>
          <w:sz w:val="16"/>
          <w:szCs w:val="16"/>
          <w:color w:val="auto"/>
        </w:rPr>
        <w:t>VIATRIS INC.</w:t>
      </w:r>
    </w:p>
    <w:p>
      <w:pPr>
        <w:spacing w:after="0" w:line="113" w:lineRule="exact"/>
        <w:rPr>
          <w:sz w:val="20"/>
          <w:szCs w:val="20"/>
          <w:color w:val="auto"/>
        </w:rPr>
      </w:pPr>
    </w:p>
    <w:p>
      <w:pPr>
        <w:ind w:left="5740"/>
        <w:spacing w:after="0"/>
        <w:tabs>
          <w:tab w:leader="none" w:pos="6260" w:val="left"/>
          <w:tab w:leader="none" w:pos="66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w:t>
        <w:tab/>
        <w:t>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1905</wp:posOffset>
            </wp:positionV>
            <wp:extent cx="30772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2"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Sanjeev Narula</w:t>
      </w:r>
    </w:p>
    <w:p>
      <w:pPr>
        <w:spacing w:after="0" w:line="5"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ind w:left="6280"/>
        <w:spacing w:after="0"/>
        <w:rPr>
          <w:sz w:val="20"/>
          <w:szCs w:val="20"/>
          <w:color w:val="auto"/>
        </w:rPr>
      </w:pPr>
      <w:r>
        <w:rPr>
          <w:rFonts w:ascii="Arial" w:cs="Arial" w:eastAsia="Arial" w:hAnsi="Arial"/>
          <w:sz w:val="16"/>
          <w:szCs w:val="16"/>
          <w:i w:val="1"/>
          <w:iCs w:val="1"/>
          <w:color w:val="auto"/>
        </w:rPr>
        <w:t>(Principal Financial Officer)</w:t>
      </w: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86"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Appendix A</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Reconciliations of Non-GAAP Financial Measures (Unaudited)</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28"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Adjusted EBITDA for purposes of the 2021 annual compensation awards is derived from Viatris’ financial statements in the same manner as Viatris’ publicly reported adjusted EBITDA for 2021 (“As reported”), except that the calculation for the incentive program utilized budgeted foreign exchange rates (“Adjusted for Currency Impact”).</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820" w:type="dxa"/>
            <w:vAlign w:val="bottom"/>
          </w:tcPr>
          <w:p>
            <w:pPr>
              <w:spacing w:after="0"/>
              <w:rPr>
                <w:sz w:val="15"/>
                <w:szCs w:val="15"/>
                <w:color w:val="auto"/>
              </w:rPr>
            </w:pPr>
          </w:p>
        </w:tc>
        <w:tc>
          <w:tcPr>
            <w:tcW w:w="1560" w:type="dxa"/>
            <w:vAlign w:val="bottom"/>
            <w:tcBorders>
              <w:bottom w:val="single" w:sz="8" w:color="732282"/>
            </w:tcBorders>
          </w:tcPr>
          <w:p>
            <w:pPr>
              <w:spacing w:after="0"/>
              <w:rPr>
                <w:sz w:val="15"/>
                <w:szCs w:val="15"/>
                <w:color w:val="auto"/>
              </w:rPr>
            </w:pPr>
          </w:p>
        </w:tc>
        <w:tc>
          <w:tcPr>
            <w:tcW w:w="1640" w:type="dxa"/>
            <w:vAlign w:val="bottom"/>
            <w:tcBorders>
              <w:bottom w:val="single" w:sz="8" w:color="732282"/>
            </w:tcBorders>
          </w:tcPr>
          <w:p>
            <w:pPr>
              <w:jc w:val="right"/>
              <w:ind w:right="141"/>
              <w:spacing w:after="0"/>
              <w:rPr>
                <w:sz w:val="20"/>
                <w:szCs w:val="20"/>
                <w:color w:val="auto"/>
              </w:rPr>
            </w:pPr>
            <w:r>
              <w:rPr>
                <w:rFonts w:ascii="Arial" w:cs="Arial" w:eastAsia="Arial" w:hAnsi="Arial"/>
                <w:sz w:val="14"/>
                <w:szCs w:val="14"/>
                <w:b w:val="1"/>
                <w:bCs w:val="1"/>
                <w:color w:val="732282"/>
              </w:rPr>
              <w:t>December 31, 2021</w:t>
            </w:r>
          </w:p>
        </w:tc>
      </w:tr>
      <w:tr>
        <w:trPr>
          <w:trHeight w:val="142"/>
        </w:trPr>
        <w:tc>
          <w:tcPr>
            <w:tcW w:w="78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jc w:val="right"/>
              <w:ind w:right="141"/>
              <w:spacing w:after="0" w:line="143" w:lineRule="exact"/>
              <w:rPr>
                <w:sz w:val="20"/>
                <w:szCs w:val="20"/>
                <w:color w:val="auto"/>
              </w:rPr>
            </w:pPr>
            <w:r>
              <w:rPr>
                <w:rFonts w:ascii="Arial" w:cs="Arial" w:eastAsia="Arial" w:hAnsi="Arial"/>
                <w:sz w:val="14"/>
                <w:szCs w:val="14"/>
                <w:b w:val="1"/>
                <w:bCs w:val="1"/>
                <w:color w:val="732282"/>
              </w:rPr>
              <w:t>Adjusted for</w:t>
            </w:r>
          </w:p>
        </w:tc>
      </w:tr>
      <w:tr>
        <w:trPr>
          <w:trHeight w:val="175"/>
        </w:trPr>
        <w:tc>
          <w:tcPr>
            <w:tcW w:w="7820" w:type="dxa"/>
            <w:vAlign w:val="bottom"/>
            <w:tcBorders>
              <w:bottom w:val="single" w:sz="8" w:color="732282"/>
            </w:tcBorders>
          </w:tcPr>
          <w:p>
            <w:pPr>
              <w:ind w:left="60"/>
              <w:spacing w:after="0"/>
              <w:rPr>
                <w:sz w:val="20"/>
                <w:szCs w:val="20"/>
                <w:color w:val="auto"/>
              </w:rPr>
            </w:pPr>
            <w:r>
              <w:rPr>
                <w:rFonts w:ascii="Arial" w:cs="Arial" w:eastAsia="Arial" w:hAnsi="Arial"/>
                <w:sz w:val="14"/>
                <w:szCs w:val="14"/>
                <w:b w:val="1"/>
                <w:bCs w:val="1"/>
                <w:color w:val="732282"/>
              </w:rPr>
              <w:t>(in millions)</w:t>
            </w:r>
          </w:p>
        </w:tc>
        <w:tc>
          <w:tcPr>
            <w:tcW w:w="1560" w:type="dxa"/>
            <w:vAlign w:val="bottom"/>
            <w:tcBorders>
              <w:bottom w:val="single" w:sz="8" w:color="732282"/>
            </w:tcBorders>
          </w:tcPr>
          <w:p>
            <w:pPr>
              <w:jc w:val="right"/>
              <w:ind w:right="80"/>
              <w:spacing w:after="0"/>
              <w:rPr>
                <w:sz w:val="20"/>
                <w:szCs w:val="20"/>
                <w:color w:val="auto"/>
              </w:rPr>
            </w:pPr>
            <w:r>
              <w:rPr>
                <w:rFonts w:ascii="Arial" w:cs="Arial" w:eastAsia="Arial" w:hAnsi="Arial"/>
                <w:sz w:val="14"/>
                <w:szCs w:val="14"/>
                <w:b w:val="1"/>
                <w:bCs w:val="1"/>
                <w:color w:val="732282"/>
              </w:rPr>
              <w:t>As Reported</w:t>
            </w:r>
          </w:p>
        </w:tc>
        <w:tc>
          <w:tcPr>
            <w:tcW w:w="1640" w:type="dxa"/>
            <w:vAlign w:val="bottom"/>
            <w:tcBorders>
              <w:bottom w:val="single" w:sz="8" w:color="732282"/>
            </w:tcBorders>
          </w:tcPr>
          <w:p>
            <w:pPr>
              <w:jc w:val="right"/>
              <w:ind w:right="141"/>
              <w:spacing w:after="0"/>
              <w:rPr>
                <w:sz w:val="20"/>
                <w:szCs w:val="20"/>
                <w:color w:val="auto"/>
              </w:rPr>
            </w:pPr>
            <w:r>
              <w:rPr>
                <w:rFonts w:ascii="Arial" w:cs="Arial" w:eastAsia="Arial" w:hAnsi="Arial"/>
                <w:sz w:val="14"/>
                <w:szCs w:val="14"/>
                <w:b w:val="1"/>
                <w:bCs w:val="1"/>
                <w:color w:val="732282"/>
              </w:rPr>
              <w:t>Currency Impact</w:t>
            </w:r>
          </w:p>
        </w:tc>
      </w:tr>
      <w:tr>
        <w:trPr>
          <w:trHeight w:val="183"/>
        </w:trPr>
        <w:tc>
          <w:tcPr>
            <w:tcW w:w="7820" w:type="dxa"/>
            <w:vAlign w:val="bottom"/>
            <w:shd w:val="clear" w:color="auto" w:fill="E5E5E5"/>
          </w:tcPr>
          <w:p>
            <w:pPr>
              <w:ind w:left="60"/>
              <w:spacing w:after="0" w:line="183" w:lineRule="exact"/>
              <w:rPr>
                <w:sz w:val="20"/>
                <w:szCs w:val="20"/>
                <w:color w:val="auto"/>
              </w:rPr>
            </w:pPr>
            <w:r>
              <w:rPr>
                <w:rFonts w:ascii="Arial" w:cs="Arial" w:eastAsia="Arial" w:hAnsi="Arial"/>
                <w:sz w:val="16"/>
                <w:szCs w:val="16"/>
                <w:color w:val="auto"/>
              </w:rPr>
              <w:t>U.S. GAAP net loss</w:t>
            </w:r>
          </w:p>
        </w:tc>
        <w:tc>
          <w:tcPr>
            <w:tcW w:w="1560" w:type="dxa"/>
            <w:vAlign w:val="bottom"/>
            <w:shd w:val="clear" w:color="auto" w:fill="E5E5E5"/>
          </w:tcPr>
          <w:p>
            <w:pPr>
              <w:jc w:val="right"/>
              <w:ind w:right="20"/>
              <w:spacing w:after="0" w:line="183" w:lineRule="exact"/>
              <w:rPr>
                <w:sz w:val="20"/>
                <w:szCs w:val="20"/>
                <w:color w:val="auto"/>
              </w:rPr>
            </w:pPr>
            <w:r>
              <w:rPr>
                <w:rFonts w:ascii="Arial" w:cs="Arial" w:eastAsia="Arial" w:hAnsi="Arial"/>
                <w:sz w:val="16"/>
                <w:szCs w:val="16"/>
                <w:color w:val="auto"/>
              </w:rPr>
              <w:t>$(1,269.1)</w:t>
            </w:r>
          </w:p>
        </w:tc>
        <w:tc>
          <w:tcPr>
            <w:tcW w:w="1640" w:type="dxa"/>
            <w:vAlign w:val="bottom"/>
            <w:shd w:val="clear" w:color="auto" w:fill="E5E5E5"/>
          </w:tcPr>
          <w:p>
            <w:pPr>
              <w:jc w:val="right"/>
              <w:ind w:right="81"/>
              <w:spacing w:after="0" w:line="183" w:lineRule="exact"/>
              <w:rPr>
                <w:sz w:val="20"/>
                <w:szCs w:val="20"/>
                <w:color w:val="auto"/>
              </w:rPr>
            </w:pPr>
            <w:r>
              <w:rPr>
                <w:rFonts w:ascii="Arial" w:cs="Arial" w:eastAsia="Arial" w:hAnsi="Arial"/>
                <w:sz w:val="16"/>
                <w:szCs w:val="16"/>
                <w:color w:val="auto"/>
              </w:rPr>
              <w:t>$(1,271.0)</w:t>
            </w:r>
          </w:p>
        </w:tc>
      </w:tr>
      <w:tr>
        <w:trPr>
          <w:trHeight w:val="189"/>
        </w:trPr>
        <w:tc>
          <w:tcPr>
            <w:tcW w:w="7820" w:type="dxa"/>
            <w:vAlign w:val="bottom"/>
          </w:tcPr>
          <w:p>
            <w:pPr>
              <w:ind w:left="60"/>
              <w:spacing w:after="0"/>
              <w:rPr>
                <w:sz w:val="20"/>
                <w:szCs w:val="20"/>
                <w:color w:val="auto"/>
              </w:rPr>
            </w:pPr>
            <w:r>
              <w:rPr>
                <w:rFonts w:ascii="Arial" w:cs="Arial" w:eastAsia="Arial" w:hAnsi="Arial"/>
                <w:sz w:val="16"/>
                <w:szCs w:val="16"/>
                <w:color w:val="auto"/>
              </w:rPr>
              <w:t>Add / (deduct) adjustments:</w:t>
            </w:r>
          </w:p>
        </w:tc>
        <w:tc>
          <w:tcPr>
            <w:tcW w:w="156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9"/>
        </w:trPr>
        <w:tc>
          <w:tcPr>
            <w:tcW w:w="7820" w:type="dxa"/>
            <w:vAlign w:val="bottom"/>
            <w:shd w:val="clear" w:color="auto" w:fill="E5E5E5"/>
          </w:tcPr>
          <w:p>
            <w:pPr>
              <w:ind w:left="320"/>
              <w:spacing w:after="0"/>
              <w:rPr>
                <w:sz w:val="20"/>
                <w:szCs w:val="20"/>
                <w:color w:val="auto"/>
              </w:rPr>
            </w:pPr>
            <w:r>
              <w:rPr>
                <w:rFonts w:ascii="Arial" w:cs="Arial" w:eastAsia="Arial" w:hAnsi="Arial"/>
                <w:sz w:val="16"/>
                <w:szCs w:val="16"/>
                <w:color w:val="auto"/>
              </w:rPr>
              <w:t>Net contribution attributable to equity method investments</w:t>
            </w:r>
          </w:p>
        </w:tc>
        <w:tc>
          <w:tcPr>
            <w:tcW w:w="156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61.9</w:t>
            </w:r>
          </w:p>
        </w:tc>
        <w:tc>
          <w:tcPr>
            <w:tcW w:w="164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61.9</w:t>
            </w:r>
          </w:p>
        </w:tc>
      </w:tr>
      <w:tr>
        <w:trPr>
          <w:trHeight w:val="189"/>
        </w:trPr>
        <w:tc>
          <w:tcPr>
            <w:tcW w:w="7820" w:type="dxa"/>
            <w:vAlign w:val="bottom"/>
          </w:tcPr>
          <w:p>
            <w:pPr>
              <w:ind w:left="320"/>
              <w:spacing w:after="0"/>
              <w:rPr>
                <w:sz w:val="20"/>
                <w:szCs w:val="20"/>
                <w:color w:val="auto"/>
              </w:rPr>
            </w:pPr>
            <w:r>
              <w:rPr>
                <w:rFonts w:ascii="Arial" w:cs="Arial" w:eastAsia="Arial" w:hAnsi="Arial"/>
                <w:sz w:val="16"/>
                <w:szCs w:val="16"/>
                <w:color w:val="auto"/>
              </w:rPr>
              <w:t>Income tax provision (benefit)</w:t>
            </w:r>
          </w:p>
        </w:tc>
        <w:tc>
          <w:tcPr>
            <w:tcW w:w="1560" w:type="dxa"/>
            <w:vAlign w:val="bottom"/>
          </w:tcPr>
          <w:p>
            <w:pPr>
              <w:jc w:val="right"/>
              <w:ind w:right="80"/>
              <w:spacing w:after="0"/>
              <w:rPr>
                <w:sz w:val="20"/>
                <w:szCs w:val="20"/>
                <w:color w:val="auto"/>
              </w:rPr>
            </w:pPr>
            <w:r>
              <w:rPr>
                <w:rFonts w:ascii="Arial" w:cs="Arial" w:eastAsia="Arial" w:hAnsi="Arial"/>
                <w:sz w:val="16"/>
                <w:szCs w:val="16"/>
                <w:color w:val="auto"/>
              </w:rPr>
              <w:t>604.7</w:t>
            </w:r>
          </w:p>
        </w:tc>
        <w:tc>
          <w:tcPr>
            <w:tcW w:w="1640" w:type="dxa"/>
            <w:vAlign w:val="bottom"/>
          </w:tcPr>
          <w:p>
            <w:pPr>
              <w:jc w:val="right"/>
              <w:ind w:right="141"/>
              <w:spacing w:after="0"/>
              <w:rPr>
                <w:sz w:val="20"/>
                <w:szCs w:val="20"/>
                <w:color w:val="auto"/>
              </w:rPr>
            </w:pPr>
            <w:r>
              <w:rPr>
                <w:rFonts w:ascii="Arial" w:cs="Arial" w:eastAsia="Arial" w:hAnsi="Arial"/>
                <w:sz w:val="16"/>
                <w:szCs w:val="16"/>
                <w:color w:val="auto"/>
              </w:rPr>
              <w:t>603.2</w:t>
            </w:r>
          </w:p>
        </w:tc>
      </w:tr>
      <w:tr>
        <w:trPr>
          <w:trHeight w:val="189"/>
        </w:trPr>
        <w:tc>
          <w:tcPr>
            <w:tcW w:w="7820" w:type="dxa"/>
            <w:vAlign w:val="bottom"/>
            <w:shd w:val="clear" w:color="auto" w:fill="E5E5E5"/>
          </w:tcPr>
          <w:p>
            <w:pPr>
              <w:ind w:left="320"/>
              <w:spacing w:after="0" w:line="189" w:lineRule="exact"/>
              <w:rPr>
                <w:sz w:val="20"/>
                <w:szCs w:val="20"/>
                <w:color w:val="auto"/>
              </w:rPr>
            </w:pPr>
            <w:r>
              <w:rPr>
                <w:rFonts w:ascii="Arial" w:cs="Arial" w:eastAsia="Arial" w:hAnsi="Arial"/>
                <w:sz w:val="16"/>
                <w:szCs w:val="16"/>
                <w:color w:val="auto"/>
              </w:rPr>
              <w:t>Interest expense</w:t>
            </w:r>
            <w:r>
              <w:rPr>
                <w:rFonts w:ascii="Arial" w:cs="Arial" w:eastAsia="Arial" w:hAnsi="Arial"/>
                <w:sz w:val="21"/>
                <w:szCs w:val="21"/>
                <w:color w:val="auto"/>
                <w:vertAlign w:val="superscript"/>
              </w:rPr>
              <w:t>(a)</w:t>
            </w:r>
          </w:p>
        </w:tc>
        <w:tc>
          <w:tcPr>
            <w:tcW w:w="156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636.2</w:t>
            </w:r>
          </w:p>
        </w:tc>
        <w:tc>
          <w:tcPr>
            <w:tcW w:w="164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636.3</w:t>
            </w:r>
          </w:p>
        </w:tc>
      </w:tr>
      <w:tr>
        <w:trPr>
          <w:trHeight w:val="189"/>
        </w:trPr>
        <w:tc>
          <w:tcPr>
            <w:tcW w:w="7820" w:type="dxa"/>
            <w:vAlign w:val="bottom"/>
          </w:tcPr>
          <w:p>
            <w:pPr>
              <w:ind w:left="320"/>
              <w:spacing w:after="0" w:line="189" w:lineRule="exact"/>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(b)</w:t>
            </w:r>
          </w:p>
        </w:tc>
        <w:tc>
          <w:tcPr>
            <w:tcW w:w="1560" w:type="dxa"/>
            <w:vAlign w:val="bottom"/>
          </w:tcPr>
          <w:p>
            <w:pPr>
              <w:jc w:val="right"/>
              <w:ind w:right="80"/>
              <w:spacing w:after="0"/>
              <w:rPr>
                <w:sz w:val="20"/>
                <w:szCs w:val="20"/>
                <w:color w:val="auto"/>
              </w:rPr>
            </w:pPr>
            <w:r>
              <w:rPr>
                <w:rFonts w:ascii="Arial" w:cs="Arial" w:eastAsia="Arial" w:hAnsi="Arial"/>
                <w:sz w:val="16"/>
                <w:szCs w:val="16"/>
                <w:color w:val="auto"/>
              </w:rPr>
              <w:t>4,506.5</w:t>
            </w:r>
          </w:p>
        </w:tc>
        <w:tc>
          <w:tcPr>
            <w:tcW w:w="1640" w:type="dxa"/>
            <w:vAlign w:val="bottom"/>
          </w:tcPr>
          <w:p>
            <w:pPr>
              <w:jc w:val="right"/>
              <w:ind w:right="141"/>
              <w:spacing w:after="0"/>
              <w:rPr>
                <w:sz w:val="20"/>
                <w:szCs w:val="20"/>
                <w:color w:val="auto"/>
              </w:rPr>
            </w:pPr>
            <w:r>
              <w:rPr>
                <w:rFonts w:ascii="Arial" w:cs="Arial" w:eastAsia="Arial" w:hAnsi="Arial"/>
                <w:sz w:val="16"/>
                <w:szCs w:val="16"/>
                <w:color w:val="auto"/>
              </w:rPr>
              <w:t>4,502.7</w:t>
            </w:r>
          </w:p>
        </w:tc>
      </w:tr>
      <w:tr>
        <w:trPr>
          <w:trHeight w:val="189"/>
        </w:trPr>
        <w:tc>
          <w:tcPr>
            <w:tcW w:w="7820" w:type="dxa"/>
            <w:vAlign w:val="bottom"/>
            <w:shd w:val="clear" w:color="auto" w:fill="E5E5E5"/>
          </w:tcPr>
          <w:p>
            <w:pPr>
              <w:ind w:left="60"/>
              <w:spacing w:after="0"/>
              <w:rPr>
                <w:sz w:val="20"/>
                <w:szCs w:val="20"/>
                <w:color w:val="auto"/>
              </w:rPr>
            </w:pPr>
            <w:r>
              <w:rPr>
                <w:rFonts w:ascii="Arial" w:cs="Arial" w:eastAsia="Arial" w:hAnsi="Arial"/>
                <w:sz w:val="16"/>
                <w:szCs w:val="16"/>
                <w:color w:val="auto"/>
              </w:rPr>
              <w:t>EBITDA</w:t>
            </w:r>
          </w:p>
        </w:tc>
        <w:tc>
          <w:tcPr>
            <w:tcW w:w="156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$4,540.2</w:t>
            </w:r>
          </w:p>
        </w:tc>
        <w:tc>
          <w:tcPr>
            <w:tcW w:w="164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$4,533.1</w:t>
            </w:r>
          </w:p>
        </w:tc>
      </w:tr>
      <w:tr>
        <w:trPr>
          <w:trHeight w:val="189"/>
        </w:trPr>
        <w:tc>
          <w:tcPr>
            <w:tcW w:w="7820" w:type="dxa"/>
            <w:vAlign w:val="bottom"/>
          </w:tcPr>
          <w:p>
            <w:pPr>
              <w:ind w:left="60"/>
              <w:spacing w:after="0"/>
              <w:rPr>
                <w:sz w:val="20"/>
                <w:szCs w:val="20"/>
                <w:color w:val="auto"/>
              </w:rPr>
            </w:pPr>
            <w:r>
              <w:rPr>
                <w:rFonts w:ascii="Arial" w:cs="Arial" w:eastAsia="Arial" w:hAnsi="Arial"/>
                <w:sz w:val="16"/>
                <w:szCs w:val="16"/>
                <w:color w:val="auto"/>
              </w:rPr>
              <w:t>Add adjustments:</w:t>
            </w:r>
          </w:p>
        </w:tc>
        <w:tc>
          <w:tcPr>
            <w:tcW w:w="156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9"/>
        </w:trPr>
        <w:tc>
          <w:tcPr>
            <w:tcW w:w="7820" w:type="dxa"/>
            <w:vAlign w:val="bottom"/>
            <w:shd w:val="clear" w:color="auto" w:fill="E5E5E5"/>
          </w:tcPr>
          <w:p>
            <w:pPr>
              <w:ind w:left="320"/>
              <w:spacing w:after="0"/>
              <w:rPr>
                <w:sz w:val="20"/>
                <w:szCs w:val="20"/>
                <w:color w:val="auto"/>
              </w:rPr>
            </w:pPr>
            <w:r>
              <w:rPr>
                <w:rFonts w:ascii="Arial" w:cs="Arial" w:eastAsia="Arial" w:hAnsi="Arial"/>
                <w:sz w:val="16"/>
                <w:szCs w:val="16"/>
                <w:color w:val="auto"/>
              </w:rPr>
              <w:t>Share-based compensation expense</w:t>
            </w:r>
          </w:p>
        </w:tc>
        <w:tc>
          <w:tcPr>
            <w:tcW w:w="156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111.2</w:t>
            </w:r>
          </w:p>
        </w:tc>
        <w:tc>
          <w:tcPr>
            <w:tcW w:w="164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111.2</w:t>
            </w:r>
          </w:p>
        </w:tc>
      </w:tr>
      <w:tr>
        <w:trPr>
          <w:trHeight w:val="189"/>
        </w:trPr>
        <w:tc>
          <w:tcPr>
            <w:tcW w:w="7820" w:type="dxa"/>
            <w:vAlign w:val="bottom"/>
          </w:tcPr>
          <w:p>
            <w:pPr>
              <w:ind w:left="320"/>
              <w:spacing w:after="0"/>
              <w:rPr>
                <w:sz w:val="20"/>
                <w:szCs w:val="20"/>
                <w:color w:val="auto"/>
              </w:rPr>
            </w:pPr>
            <w:r>
              <w:rPr>
                <w:rFonts w:ascii="Arial" w:cs="Arial" w:eastAsia="Arial" w:hAnsi="Arial"/>
                <w:sz w:val="16"/>
                <w:szCs w:val="16"/>
                <w:color w:val="auto"/>
              </w:rPr>
              <w:t>Litigation settlements and other contingencies, net</w:t>
            </w:r>
          </w:p>
        </w:tc>
        <w:tc>
          <w:tcPr>
            <w:tcW w:w="1560" w:type="dxa"/>
            <w:vAlign w:val="bottom"/>
          </w:tcPr>
          <w:p>
            <w:pPr>
              <w:jc w:val="right"/>
              <w:ind w:right="80"/>
              <w:spacing w:after="0"/>
              <w:rPr>
                <w:sz w:val="20"/>
                <w:szCs w:val="20"/>
                <w:color w:val="auto"/>
              </w:rPr>
            </w:pPr>
            <w:r>
              <w:rPr>
                <w:rFonts w:ascii="Arial" w:cs="Arial" w:eastAsia="Arial" w:hAnsi="Arial"/>
                <w:sz w:val="16"/>
                <w:szCs w:val="16"/>
                <w:color w:val="auto"/>
              </w:rPr>
              <w:t>329.2</w:t>
            </w:r>
          </w:p>
        </w:tc>
        <w:tc>
          <w:tcPr>
            <w:tcW w:w="1640" w:type="dxa"/>
            <w:vAlign w:val="bottom"/>
          </w:tcPr>
          <w:p>
            <w:pPr>
              <w:jc w:val="right"/>
              <w:ind w:right="141"/>
              <w:spacing w:after="0"/>
              <w:rPr>
                <w:sz w:val="20"/>
                <w:szCs w:val="20"/>
                <w:color w:val="auto"/>
              </w:rPr>
            </w:pPr>
            <w:r>
              <w:rPr>
                <w:rFonts w:ascii="Arial" w:cs="Arial" w:eastAsia="Arial" w:hAnsi="Arial"/>
                <w:sz w:val="16"/>
                <w:szCs w:val="16"/>
                <w:color w:val="auto"/>
              </w:rPr>
              <w:t>328.7</w:t>
            </w:r>
          </w:p>
        </w:tc>
      </w:tr>
      <w:tr>
        <w:trPr>
          <w:trHeight w:val="189"/>
        </w:trPr>
        <w:tc>
          <w:tcPr>
            <w:tcW w:w="7820" w:type="dxa"/>
            <w:vAlign w:val="bottom"/>
            <w:shd w:val="clear" w:color="auto" w:fill="E5E5E5"/>
          </w:tcPr>
          <w:p>
            <w:pPr>
              <w:ind w:left="320"/>
              <w:spacing w:after="0" w:line="189" w:lineRule="exact"/>
              <w:rPr>
                <w:sz w:val="20"/>
                <w:szCs w:val="20"/>
                <w:color w:val="auto"/>
              </w:rPr>
            </w:pPr>
            <w:r>
              <w:rPr>
                <w:rFonts w:ascii="Arial" w:cs="Arial" w:eastAsia="Arial" w:hAnsi="Arial"/>
                <w:sz w:val="16"/>
                <w:szCs w:val="16"/>
                <w:color w:val="auto"/>
              </w:rPr>
              <w:t>Restructuring, acquisition related and other special items</w:t>
            </w:r>
            <w:r>
              <w:rPr>
                <w:rFonts w:ascii="Arial" w:cs="Arial" w:eastAsia="Arial" w:hAnsi="Arial"/>
                <w:sz w:val="21"/>
                <w:szCs w:val="21"/>
                <w:color w:val="auto"/>
                <w:vertAlign w:val="superscript"/>
              </w:rPr>
              <w:t>(c)</w:t>
            </w:r>
          </w:p>
        </w:tc>
        <w:tc>
          <w:tcPr>
            <w:tcW w:w="156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1,445.5</w:t>
            </w:r>
          </w:p>
        </w:tc>
        <w:tc>
          <w:tcPr>
            <w:tcW w:w="164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1,456.3</w:t>
            </w:r>
          </w:p>
        </w:tc>
      </w:tr>
      <w:tr>
        <w:trPr>
          <w:trHeight w:val="197"/>
        </w:trPr>
        <w:tc>
          <w:tcPr>
            <w:tcW w:w="7820" w:type="dxa"/>
            <w:vAlign w:val="bottom"/>
          </w:tcPr>
          <w:p>
            <w:pPr>
              <w:ind w:left="60"/>
              <w:spacing w:after="0"/>
              <w:rPr>
                <w:sz w:val="20"/>
                <w:szCs w:val="20"/>
                <w:color w:val="auto"/>
              </w:rPr>
            </w:pPr>
            <w:r>
              <w:rPr>
                <w:rFonts w:ascii="Arial" w:cs="Arial" w:eastAsia="Arial" w:hAnsi="Arial"/>
                <w:sz w:val="16"/>
                <w:szCs w:val="16"/>
                <w:color w:val="auto"/>
              </w:rPr>
              <w:t>Adjusted EBITDA</w:t>
            </w:r>
          </w:p>
        </w:tc>
        <w:tc>
          <w:tcPr>
            <w:tcW w:w="1560" w:type="dxa"/>
            <w:vAlign w:val="bottom"/>
          </w:tcPr>
          <w:p>
            <w:pPr>
              <w:jc w:val="right"/>
              <w:ind w:right="80"/>
              <w:spacing w:after="0"/>
              <w:rPr>
                <w:sz w:val="20"/>
                <w:szCs w:val="20"/>
                <w:color w:val="auto"/>
              </w:rPr>
            </w:pPr>
            <w:r>
              <w:rPr>
                <w:rFonts w:ascii="Arial" w:cs="Arial" w:eastAsia="Arial" w:hAnsi="Arial"/>
                <w:sz w:val="16"/>
                <w:szCs w:val="16"/>
                <w:color w:val="auto"/>
              </w:rPr>
              <w:t>$6,426.1</w:t>
            </w:r>
          </w:p>
        </w:tc>
        <w:tc>
          <w:tcPr>
            <w:tcW w:w="1640" w:type="dxa"/>
            <w:vAlign w:val="bottom"/>
          </w:tcPr>
          <w:p>
            <w:pPr>
              <w:jc w:val="right"/>
              <w:ind w:right="141"/>
              <w:spacing w:after="0"/>
              <w:rPr>
                <w:sz w:val="20"/>
                <w:szCs w:val="20"/>
                <w:color w:val="auto"/>
              </w:rPr>
            </w:pPr>
            <w:r>
              <w:rPr>
                <w:rFonts w:ascii="Arial" w:cs="Arial" w:eastAsia="Arial" w:hAnsi="Arial"/>
                <w:sz w:val="16"/>
                <w:szCs w:val="16"/>
                <w:color w:val="auto"/>
              </w:rPr>
              <w:t>$6,429.3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69951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ind w:left="540" w:hanging="424"/>
        <w:spacing w:after="0"/>
        <w:tabs>
          <w:tab w:leader="none" w:pos="5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amortization of premiums and discounts on long-term debt.</w:t>
      </w:r>
    </w:p>
    <w:p>
      <w:pPr>
        <w:spacing w:after="0" w:line="5" w:lineRule="exact"/>
        <w:rPr>
          <w:rFonts w:ascii="Arial" w:cs="Arial" w:eastAsia="Arial" w:hAnsi="Arial"/>
          <w:sz w:val="16"/>
          <w:szCs w:val="16"/>
          <w:color w:val="auto"/>
        </w:rPr>
      </w:pPr>
    </w:p>
    <w:p>
      <w:pPr>
        <w:ind w:left="540" w:hanging="424"/>
        <w:spacing w:after="0"/>
        <w:tabs>
          <w:tab w:leader="none" w:pos="5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purchase accounting related amortization.</w:t>
      </w:r>
    </w:p>
    <w:p>
      <w:pPr>
        <w:spacing w:after="0" w:line="5"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restructuring related costs, acquisition related costs (primarily including selling, general and administrative expenses) and other special items, including cost of sales, research and development expense, selling, general and administrative expense, and other expense.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Free Cash Flow</w:t>
      </w:r>
    </w:p>
    <w:p>
      <w:pPr>
        <w:spacing w:after="0" w:line="128"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6"/>
          <w:szCs w:val="16"/>
          <w:color w:val="auto"/>
        </w:rPr>
        <w:t>Free Cash Flow is derived from Viatris’ audited financial statements in the same manner as Viatris’ publicly reported free cash flow (U.S. GAAP net cash provided by operating activities, less capital expenditures) (“As reported”), except that the calculation for 2021 annual incentive compensation further adjusts the publicly reported measure for unplanned litigation gains or losses equal to or greater than $25 million in the aggregate, if any, and for proceeds from the sale of property, plant and equipment. For purposes of the 2021 three-year PRSUs, free cash flow is derived from Viatris’ audited financial statements in the same manner as Viatris’ publicly reported free cash flow, except that the calculation for the 2021 PRSUs further adjusts the publicly reported measure for unplanned litigation gains or losses equal to or greater than</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40"/>
          </w:cols>
          <w:pgMar w:left="320" w:top="486"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$25 million in the aggregate, if any, for certain material asset sales, if any, and for proceeds from the sale of property, plant and equipment.</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4180" w:type="dxa"/>
            <w:vAlign w:val="bottom"/>
          </w:tcPr>
          <w:p>
            <w:pPr>
              <w:jc w:val="right"/>
              <w:ind w:right="562"/>
              <w:spacing w:after="0"/>
              <w:rPr>
                <w:sz w:val="20"/>
                <w:szCs w:val="20"/>
                <w:color w:val="auto"/>
              </w:rPr>
            </w:pPr>
            <w:r>
              <w:rPr>
                <w:rFonts w:ascii="Arial" w:cs="Arial" w:eastAsia="Arial" w:hAnsi="Arial"/>
                <w:sz w:val="14"/>
                <w:szCs w:val="14"/>
                <w:b w:val="1"/>
                <w:bCs w:val="1"/>
                <w:color w:val="732282"/>
              </w:rPr>
              <w:t>Year Ended</w:t>
            </w:r>
          </w:p>
        </w:tc>
      </w:tr>
      <w:tr>
        <w:trPr>
          <w:trHeight w:val="175"/>
        </w:trPr>
        <w:tc>
          <w:tcPr>
            <w:tcW w:w="6840" w:type="dxa"/>
            <w:vAlign w:val="bottom"/>
            <w:tcBorders>
              <w:bottom w:val="single" w:sz="8" w:color="732282"/>
            </w:tcBorders>
          </w:tcPr>
          <w:p>
            <w:pPr>
              <w:spacing w:after="0"/>
              <w:rPr>
                <w:sz w:val="15"/>
                <w:szCs w:val="15"/>
                <w:color w:val="auto"/>
              </w:rPr>
            </w:pPr>
          </w:p>
        </w:tc>
        <w:tc>
          <w:tcPr>
            <w:tcW w:w="4180" w:type="dxa"/>
            <w:vAlign w:val="bottom"/>
            <w:tcBorders>
              <w:bottom w:val="single" w:sz="8" w:color="732282"/>
            </w:tcBorders>
          </w:tcPr>
          <w:p>
            <w:pPr>
              <w:jc w:val="right"/>
              <w:ind w:right="562"/>
              <w:spacing w:after="0"/>
              <w:rPr>
                <w:sz w:val="20"/>
                <w:szCs w:val="20"/>
                <w:color w:val="auto"/>
              </w:rPr>
            </w:pPr>
            <w:r>
              <w:rPr>
                <w:rFonts w:ascii="Arial" w:cs="Arial" w:eastAsia="Arial" w:hAnsi="Arial"/>
                <w:sz w:val="14"/>
                <w:szCs w:val="14"/>
                <w:b w:val="1"/>
                <w:bCs w:val="1"/>
                <w:color w:val="732282"/>
              </w:rPr>
              <w:t>December 31, 2021</w:t>
            </w:r>
          </w:p>
        </w:tc>
      </w:tr>
      <w:tr>
        <w:trPr>
          <w:trHeight w:val="183"/>
        </w:trPr>
        <w:tc>
          <w:tcPr>
            <w:tcW w:w="6840" w:type="dxa"/>
            <w:vAlign w:val="bottom"/>
            <w:shd w:val="clear" w:color="auto" w:fill="E5E5E5"/>
          </w:tcPr>
          <w:p>
            <w:pPr>
              <w:ind w:left="60"/>
              <w:spacing w:after="0" w:line="183" w:lineRule="exact"/>
              <w:rPr>
                <w:sz w:val="20"/>
                <w:szCs w:val="20"/>
                <w:color w:val="auto"/>
              </w:rPr>
            </w:pPr>
            <w:r>
              <w:rPr>
                <w:rFonts w:ascii="Arial" w:cs="Arial" w:eastAsia="Arial" w:hAnsi="Arial"/>
                <w:sz w:val="16"/>
                <w:szCs w:val="16"/>
                <w:color w:val="auto"/>
              </w:rPr>
              <w:t>U.S. GAAP net cash provided by operating activities</w:t>
            </w:r>
          </w:p>
        </w:tc>
        <w:tc>
          <w:tcPr>
            <w:tcW w:w="4180" w:type="dxa"/>
            <w:vAlign w:val="bottom"/>
            <w:shd w:val="clear" w:color="auto" w:fill="E5E5E5"/>
          </w:tcPr>
          <w:p>
            <w:pPr>
              <w:jc w:val="right"/>
              <w:ind w:right="562"/>
              <w:spacing w:after="0" w:line="183" w:lineRule="exact"/>
              <w:rPr>
                <w:sz w:val="20"/>
                <w:szCs w:val="20"/>
                <w:color w:val="auto"/>
              </w:rPr>
            </w:pPr>
            <w:r>
              <w:rPr>
                <w:rFonts w:ascii="Arial" w:cs="Arial" w:eastAsia="Arial" w:hAnsi="Arial"/>
                <w:sz w:val="16"/>
                <w:szCs w:val="16"/>
                <w:color w:val="auto"/>
              </w:rPr>
              <w:t>$3,016.9</w:t>
            </w:r>
          </w:p>
        </w:tc>
      </w:tr>
      <w:tr>
        <w:trPr>
          <w:trHeight w:val="189"/>
        </w:trPr>
        <w:tc>
          <w:tcPr>
            <w:tcW w:w="6840" w:type="dxa"/>
            <w:vAlign w:val="bottom"/>
          </w:tcPr>
          <w:p>
            <w:pPr>
              <w:ind w:left="60"/>
              <w:spacing w:after="0"/>
              <w:rPr>
                <w:sz w:val="20"/>
                <w:szCs w:val="20"/>
                <w:color w:val="auto"/>
              </w:rPr>
            </w:pPr>
            <w:r>
              <w:rPr>
                <w:rFonts w:ascii="Arial" w:cs="Arial" w:eastAsia="Arial" w:hAnsi="Arial"/>
                <w:sz w:val="16"/>
                <w:szCs w:val="16"/>
                <w:color w:val="auto"/>
              </w:rPr>
              <w:t>Add / (deduct):</w:t>
            </w:r>
          </w:p>
        </w:tc>
        <w:tc>
          <w:tcPr>
            <w:tcW w:w="4180" w:type="dxa"/>
            <w:vAlign w:val="bottom"/>
          </w:tcPr>
          <w:p>
            <w:pPr>
              <w:spacing w:after="0"/>
              <w:rPr>
                <w:sz w:val="16"/>
                <w:szCs w:val="16"/>
                <w:color w:val="auto"/>
              </w:rPr>
            </w:pPr>
          </w:p>
        </w:tc>
      </w:tr>
      <w:tr>
        <w:trPr>
          <w:trHeight w:val="189"/>
        </w:trPr>
        <w:tc>
          <w:tcPr>
            <w:tcW w:w="6840" w:type="dxa"/>
            <w:vAlign w:val="bottom"/>
            <w:shd w:val="clear" w:color="auto" w:fill="E5E5E5"/>
          </w:tcPr>
          <w:p>
            <w:pPr>
              <w:ind w:left="320"/>
              <w:spacing w:after="0"/>
              <w:rPr>
                <w:sz w:val="20"/>
                <w:szCs w:val="20"/>
                <w:color w:val="auto"/>
              </w:rPr>
            </w:pPr>
            <w:r>
              <w:rPr>
                <w:rFonts w:ascii="Arial" w:cs="Arial" w:eastAsia="Arial" w:hAnsi="Arial"/>
                <w:sz w:val="16"/>
                <w:szCs w:val="16"/>
                <w:color w:val="auto"/>
              </w:rPr>
              <w:t>Capital expenditures</w:t>
            </w:r>
          </w:p>
        </w:tc>
        <w:tc>
          <w:tcPr>
            <w:tcW w:w="4180" w:type="dxa"/>
            <w:vAlign w:val="bottom"/>
            <w:shd w:val="clear" w:color="auto" w:fill="E5E5E5"/>
          </w:tcPr>
          <w:p>
            <w:pPr>
              <w:jc w:val="right"/>
              <w:ind w:right="502"/>
              <w:spacing w:after="0"/>
              <w:rPr>
                <w:sz w:val="20"/>
                <w:szCs w:val="20"/>
                <w:color w:val="auto"/>
              </w:rPr>
            </w:pPr>
            <w:r>
              <w:rPr>
                <w:rFonts w:ascii="Arial" w:cs="Arial" w:eastAsia="Arial" w:hAnsi="Arial"/>
                <w:sz w:val="16"/>
                <w:szCs w:val="16"/>
                <w:color w:val="auto"/>
              </w:rPr>
              <w:t>(457.2)</w:t>
            </w:r>
          </w:p>
        </w:tc>
      </w:tr>
      <w:tr>
        <w:trPr>
          <w:trHeight w:val="189"/>
        </w:trPr>
        <w:tc>
          <w:tcPr>
            <w:tcW w:w="6840" w:type="dxa"/>
            <w:vAlign w:val="bottom"/>
          </w:tcPr>
          <w:p>
            <w:pPr>
              <w:ind w:left="60"/>
              <w:spacing w:after="0"/>
              <w:rPr>
                <w:sz w:val="20"/>
                <w:szCs w:val="20"/>
                <w:color w:val="auto"/>
              </w:rPr>
            </w:pPr>
            <w:r>
              <w:rPr>
                <w:rFonts w:ascii="Arial" w:cs="Arial" w:eastAsia="Arial" w:hAnsi="Arial"/>
                <w:sz w:val="16"/>
                <w:szCs w:val="16"/>
                <w:color w:val="auto"/>
              </w:rPr>
              <w:t>Free cash flow (As reported)</w:t>
            </w:r>
          </w:p>
        </w:tc>
        <w:tc>
          <w:tcPr>
            <w:tcW w:w="4180" w:type="dxa"/>
            <w:vAlign w:val="bottom"/>
          </w:tcPr>
          <w:p>
            <w:pPr>
              <w:jc w:val="right"/>
              <w:ind w:right="562"/>
              <w:spacing w:after="0"/>
              <w:rPr>
                <w:sz w:val="20"/>
                <w:szCs w:val="20"/>
                <w:color w:val="auto"/>
              </w:rPr>
            </w:pPr>
            <w:r>
              <w:rPr>
                <w:rFonts w:ascii="Arial" w:cs="Arial" w:eastAsia="Arial" w:hAnsi="Arial"/>
                <w:sz w:val="16"/>
                <w:szCs w:val="16"/>
                <w:color w:val="auto"/>
              </w:rPr>
              <w:t>2,559.7</w:t>
            </w:r>
          </w:p>
        </w:tc>
      </w:tr>
      <w:tr>
        <w:trPr>
          <w:trHeight w:val="189"/>
        </w:trPr>
        <w:tc>
          <w:tcPr>
            <w:tcW w:w="6840" w:type="dxa"/>
            <w:vAlign w:val="bottom"/>
            <w:shd w:val="clear" w:color="auto" w:fill="E5E5E5"/>
          </w:tcPr>
          <w:p>
            <w:pPr>
              <w:ind w:left="320"/>
              <w:spacing w:after="0"/>
              <w:rPr>
                <w:sz w:val="20"/>
                <w:szCs w:val="20"/>
                <w:color w:val="auto"/>
              </w:rPr>
            </w:pPr>
            <w:r>
              <w:rPr>
                <w:rFonts w:ascii="Arial" w:cs="Arial" w:eastAsia="Arial" w:hAnsi="Arial"/>
                <w:sz w:val="16"/>
                <w:szCs w:val="16"/>
                <w:color w:val="auto"/>
              </w:rPr>
              <w:t>Proceeds from sale of certain property, plant and equipment</w:t>
            </w:r>
          </w:p>
        </w:tc>
        <w:tc>
          <w:tcPr>
            <w:tcW w:w="4180" w:type="dxa"/>
            <w:vAlign w:val="bottom"/>
            <w:shd w:val="clear" w:color="auto" w:fill="E5E5E5"/>
          </w:tcPr>
          <w:p>
            <w:pPr>
              <w:jc w:val="right"/>
              <w:ind w:right="562"/>
              <w:spacing w:after="0"/>
              <w:rPr>
                <w:sz w:val="20"/>
                <w:szCs w:val="20"/>
                <w:color w:val="auto"/>
              </w:rPr>
            </w:pPr>
            <w:r>
              <w:rPr>
                <w:rFonts w:ascii="Arial" w:cs="Arial" w:eastAsia="Arial" w:hAnsi="Arial"/>
                <w:sz w:val="16"/>
                <w:szCs w:val="16"/>
                <w:color w:val="auto"/>
              </w:rPr>
              <w:t>18.3</w:t>
            </w:r>
          </w:p>
        </w:tc>
      </w:tr>
      <w:tr>
        <w:trPr>
          <w:trHeight w:val="189"/>
        </w:trPr>
        <w:tc>
          <w:tcPr>
            <w:tcW w:w="6840" w:type="dxa"/>
            <w:vAlign w:val="bottom"/>
            <w:tcBorders>
              <w:bottom w:val="single" w:sz="8" w:color="732282"/>
            </w:tcBorders>
          </w:tcPr>
          <w:p>
            <w:pPr>
              <w:ind w:left="60"/>
              <w:spacing w:after="0"/>
              <w:rPr>
                <w:sz w:val="20"/>
                <w:szCs w:val="20"/>
                <w:color w:val="auto"/>
              </w:rPr>
            </w:pPr>
            <w:r>
              <w:rPr>
                <w:rFonts w:ascii="Arial" w:cs="Arial" w:eastAsia="Arial" w:hAnsi="Arial"/>
                <w:sz w:val="16"/>
                <w:szCs w:val="16"/>
                <w:color w:val="auto"/>
              </w:rPr>
              <w:t>Free cash flow (for 2021 annual incentive compensation)</w:t>
            </w:r>
          </w:p>
        </w:tc>
        <w:tc>
          <w:tcPr>
            <w:tcW w:w="4180" w:type="dxa"/>
            <w:vAlign w:val="bottom"/>
            <w:tcBorders>
              <w:bottom w:val="single" w:sz="8" w:color="732282"/>
            </w:tcBorders>
          </w:tcPr>
          <w:p>
            <w:pPr>
              <w:jc w:val="right"/>
              <w:ind w:right="562"/>
              <w:spacing w:after="0"/>
              <w:rPr>
                <w:sz w:val="20"/>
                <w:szCs w:val="20"/>
                <w:color w:val="auto"/>
              </w:rPr>
            </w:pPr>
            <w:r>
              <w:rPr>
                <w:rFonts w:ascii="Arial" w:cs="Arial" w:eastAsia="Arial" w:hAnsi="Arial"/>
                <w:sz w:val="16"/>
                <w:szCs w:val="16"/>
                <w:color w:val="auto"/>
              </w:rPr>
              <w:t>$2,578.0</w:t>
            </w:r>
          </w:p>
        </w:tc>
      </w:tr>
    </w:tbl>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Leverage Ratio, leverage or leverage ratio</w:t>
      </w:r>
    </w:p>
    <w:p>
      <w:pPr>
        <w:spacing w:after="0" w:line="128" w:lineRule="exact"/>
        <w:rPr>
          <w:sz w:val="20"/>
          <w:szCs w:val="20"/>
          <w:color w:val="auto"/>
        </w:rPr>
      </w:pPr>
    </w:p>
    <w:p>
      <w:pPr>
        <w:jc w:val="both"/>
        <w:ind w:left="120"/>
        <w:spacing w:after="0" w:line="250" w:lineRule="auto"/>
        <w:rPr>
          <w:sz w:val="20"/>
          <w:szCs w:val="20"/>
          <w:color w:val="auto"/>
        </w:rPr>
      </w:pPr>
      <w:r>
        <w:rPr>
          <w:rFonts w:ascii="Arial" w:cs="Arial" w:eastAsia="Arial" w:hAnsi="Arial"/>
          <w:sz w:val="16"/>
          <w:szCs w:val="16"/>
          <w:color w:val="auto"/>
        </w:rPr>
        <w:t>Gross Leverage Ratio, leverage or leverage ratio for purposes of the 2021 PRSUs is measured at the end of the three year performance period in 2023 by calculating the Gross Leverage Ratio, leverage or leverage ratio as of year-end 2023. Such ratio is based on the sum of (i) Viatris’ adjusted EBITDA for 2023 and (ii) certain adjustments permitted to be included in Credit Agreement Adjusted EBITDA for such period pursuant to the Amended and Restated Revolving Credit Agreement, dated as of July 1, 2021, as amended, restated or replaced from time to time, as compared to Viatris’ total debt at notional amounts at the end of 2023. An illustrative reconciliation of the gross leverage ratio for 2021 is set forth below.</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4040" w:type="dxa"/>
            <w:vAlign w:val="bottom"/>
          </w:tcPr>
          <w:p>
            <w:pPr>
              <w:jc w:val="right"/>
              <w:ind w:right="460"/>
              <w:spacing w:after="0"/>
              <w:rPr>
                <w:sz w:val="20"/>
                <w:szCs w:val="20"/>
                <w:color w:val="auto"/>
              </w:rPr>
            </w:pPr>
            <w:r>
              <w:rPr>
                <w:rFonts w:ascii="Arial" w:cs="Arial" w:eastAsia="Arial" w:hAnsi="Arial"/>
                <w:sz w:val="14"/>
                <w:szCs w:val="14"/>
                <w:b w:val="1"/>
                <w:bCs w:val="1"/>
                <w:color w:val="732282"/>
              </w:rPr>
              <w:t>Twelve Months Ended</w:t>
            </w:r>
          </w:p>
        </w:tc>
      </w:tr>
      <w:tr>
        <w:trPr>
          <w:trHeight w:val="175"/>
        </w:trPr>
        <w:tc>
          <w:tcPr>
            <w:tcW w:w="6980" w:type="dxa"/>
            <w:vAlign w:val="bottom"/>
            <w:tcBorders>
              <w:bottom w:val="single" w:sz="8" w:color="732282"/>
            </w:tcBorders>
          </w:tcPr>
          <w:p>
            <w:pPr>
              <w:ind w:left="60"/>
              <w:spacing w:after="0"/>
              <w:rPr>
                <w:sz w:val="20"/>
                <w:szCs w:val="20"/>
                <w:color w:val="auto"/>
              </w:rPr>
            </w:pPr>
            <w:r>
              <w:rPr>
                <w:rFonts w:ascii="Arial" w:cs="Arial" w:eastAsia="Arial" w:hAnsi="Arial"/>
                <w:sz w:val="14"/>
                <w:szCs w:val="14"/>
                <w:b w:val="1"/>
                <w:bCs w:val="1"/>
                <w:color w:val="732282"/>
              </w:rPr>
              <w:t>(In millions)</w:t>
            </w:r>
          </w:p>
        </w:tc>
        <w:tc>
          <w:tcPr>
            <w:tcW w:w="4040" w:type="dxa"/>
            <w:vAlign w:val="bottom"/>
            <w:tcBorders>
              <w:bottom w:val="single" w:sz="8" w:color="732282"/>
            </w:tcBorders>
          </w:tcPr>
          <w:p>
            <w:pPr>
              <w:jc w:val="right"/>
              <w:ind w:right="460"/>
              <w:spacing w:after="0"/>
              <w:rPr>
                <w:sz w:val="20"/>
                <w:szCs w:val="20"/>
                <w:color w:val="auto"/>
              </w:rPr>
            </w:pPr>
            <w:r>
              <w:rPr>
                <w:rFonts w:ascii="Arial" w:cs="Arial" w:eastAsia="Arial" w:hAnsi="Arial"/>
                <w:sz w:val="14"/>
                <w:szCs w:val="14"/>
                <w:b w:val="1"/>
                <w:bCs w:val="1"/>
                <w:color w:val="732282"/>
              </w:rPr>
              <w:t>December 31, 2021</w:t>
            </w:r>
          </w:p>
        </w:tc>
      </w:tr>
      <w:tr>
        <w:trPr>
          <w:trHeight w:val="183"/>
        </w:trPr>
        <w:tc>
          <w:tcPr>
            <w:tcW w:w="6980" w:type="dxa"/>
            <w:vAlign w:val="bottom"/>
            <w:shd w:val="clear" w:color="auto" w:fill="E5E5E5"/>
          </w:tcPr>
          <w:p>
            <w:pPr>
              <w:ind w:left="60"/>
              <w:spacing w:after="0" w:line="183" w:lineRule="exact"/>
              <w:rPr>
                <w:sz w:val="20"/>
                <w:szCs w:val="20"/>
                <w:color w:val="auto"/>
              </w:rPr>
            </w:pPr>
            <w:r>
              <w:rPr>
                <w:rFonts w:ascii="Arial" w:cs="Arial" w:eastAsia="Arial" w:hAnsi="Arial"/>
                <w:sz w:val="16"/>
                <w:szCs w:val="16"/>
                <w:color w:val="auto"/>
              </w:rPr>
              <w:t>Viatris Adjusted EBITDA (As reported)</w:t>
            </w:r>
          </w:p>
        </w:tc>
        <w:tc>
          <w:tcPr>
            <w:tcW w:w="4040" w:type="dxa"/>
            <w:vAlign w:val="bottom"/>
            <w:shd w:val="clear" w:color="auto" w:fill="E5E5E5"/>
          </w:tcPr>
          <w:p>
            <w:pPr>
              <w:jc w:val="right"/>
              <w:ind w:right="460"/>
              <w:spacing w:after="0" w:line="183" w:lineRule="exact"/>
              <w:rPr>
                <w:sz w:val="20"/>
                <w:szCs w:val="20"/>
                <w:color w:val="auto"/>
              </w:rPr>
            </w:pPr>
            <w:r>
              <w:rPr>
                <w:rFonts w:ascii="Arial" w:cs="Arial" w:eastAsia="Arial" w:hAnsi="Arial"/>
                <w:sz w:val="16"/>
                <w:szCs w:val="16"/>
                <w:color w:val="auto"/>
              </w:rPr>
              <w:t>$6,426.1</w:t>
            </w:r>
          </w:p>
        </w:tc>
      </w:tr>
      <w:tr>
        <w:trPr>
          <w:trHeight w:val="189"/>
        </w:trPr>
        <w:tc>
          <w:tcPr>
            <w:tcW w:w="6980" w:type="dxa"/>
            <w:vAlign w:val="bottom"/>
          </w:tcPr>
          <w:p>
            <w:pPr>
              <w:ind w:left="320"/>
              <w:spacing w:after="0"/>
              <w:rPr>
                <w:sz w:val="20"/>
                <w:szCs w:val="20"/>
                <w:color w:val="auto"/>
              </w:rPr>
            </w:pPr>
            <w:r>
              <w:rPr>
                <w:rFonts w:ascii="Arial" w:cs="Arial" w:eastAsia="Arial" w:hAnsi="Arial"/>
                <w:sz w:val="16"/>
                <w:szCs w:val="16"/>
                <w:color w:val="auto"/>
              </w:rPr>
              <w:t>Add: other adjustments including estimated synergies</w:t>
            </w:r>
          </w:p>
        </w:tc>
        <w:tc>
          <w:tcPr>
            <w:tcW w:w="4040" w:type="dxa"/>
            <w:vAlign w:val="bottom"/>
          </w:tcPr>
          <w:p>
            <w:pPr>
              <w:jc w:val="right"/>
              <w:ind w:right="460"/>
              <w:spacing w:after="0"/>
              <w:rPr>
                <w:sz w:val="20"/>
                <w:szCs w:val="20"/>
                <w:color w:val="auto"/>
              </w:rPr>
            </w:pPr>
            <w:r>
              <w:rPr>
                <w:rFonts w:ascii="Arial" w:cs="Arial" w:eastAsia="Arial" w:hAnsi="Arial"/>
                <w:sz w:val="16"/>
                <w:szCs w:val="16"/>
                <w:color w:val="auto"/>
              </w:rPr>
              <w:t>20.6</w:t>
            </w:r>
          </w:p>
        </w:tc>
      </w:tr>
      <w:tr>
        <w:trPr>
          <w:trHeight w:val="189"/>
        </w:trPr>
        <w:tc>
          <w:tcPr>
            <w:tcW w:w="6980" w:type="dxa"/>
            <w:vAlign w:val="bottom"/>
            <w:shd w:val="clear" w:color="auto" w:fill="E5E5E5"/>
          </w:tcPr>
          <w:p>
            <w:pPr>
              <w:ind w:left="60"/>
              <w:spacing w:after="0"/>
              <w:rPr>
                <w:sz w:val="20"/>
                <w:szCs w:val="20"/>
                <w:color w:val="auto"/>
              </w:rPr>
            </w:pPr>
            <w:r>
              <w:rPr>
                <w:rFonts w:ascii="Arial" w:cs="Arial" w:eastAsia="Arial" w:hAnsi="Arial"/>
                <w:sz w:val="16"/>
                <w:szCs w:val="16"/>
                <w:color w:val="auto"/>
              </w:rPr>
              <w:t>Credit Agreement Adjusted EBITDA</w:t>
            </w:r>
          </w:p>
        </w:tc>
        <w:tc>
          <w:tcPr>
            <w:tcW w:w="4040" w:type="dxa"/>
            <w:vAlign w:val="bottom"/>
            <w:shd w:val="clear" w:color="auto" w:fill="E5E5E5"/>
          </w:tcPr>
          <w:p>
            <w:pPr>
              <w:jc w:val="right"/>
              <w:ind w:right="460"/>
              <w:spacing w:after="0"/>
              <w:rPr>
                <w:sz w:val="20"/>
                <w:szCs w:val="20"/>
                <w:color w:val="auto"/>
              </w:rPr>
            </w:pPr>
            <w:r>
              <w:rPr>
                <w:rFonts w:ascii="Arial" w:cs="Arial" w:eastAsia="Arial" w:hAnsi="Arial"/>
                <w:sz w:val="16"/>
                <w:szCs w:val="16"/>
                <w:color w:val="auto"/>
              </w:rPr>
              <w:t>$6,446.7</w:t>
            </w:r>
          </w:p>
        </w:tc>
      </w:tr>
      <w:tr>
        <w:trPr>
          <w:trHeight w:val="189"/>
        </w:trPr>
        <w:tc>
          <w:tcPr>
            <w:tcW w:w="6980" w:type="dxa"/>
            <w:vAlign w:val="bottom"/>
          </w:tcPr>
          <w:p>
            <w:pPr>
              <w:ind w:left="60"/>
              <w:spacing w:after="0"/>
              <w:rPr>
                <w:sz w:val="20"/>
                <w:szCs w:val="20"/>
                <w:color w:val="auto"/>
              </w:rPr>
            </w:pPr>
            <w:r>
              <w:rPr>
                <w:rFonts w:ascii="Arial" w:cs="Arial" w:eastAsia="Arial" w:hAnsi="Arial"/>
                <w:sz w:val="16"/>
                <w:szCs w:val="16"/>
                <w:color w:val="auto"/>
              </w:rPr>
              <w:t>Reported debt balances:</w:t>
            </w:r>
          </w:p>
        </w:tc>
        <w:tc>
          <w:tcPr>
            <w:tcW w:w="4040" w:type="dxa"/>
            <w:vAlign w:val="bottom"/>
          </w:tcPr>
          <w:p>
            <w:pPr>
              <w:spacing w:after="0"/>
              <w:rPr>
                <w:sz w:val="16"/>
                <w:szCs w:val="16"/>
                <w:color w:val="auto"/>
              </w:rPr>
            </w:pPr>
          </w:p>
        </w:tc>
      </w:tr>
      <w:tr>
        <w:trPr>
          <w:trHeight w:val="189"/>
        </w:trPr>
        <w:tc>
          <w:tcPr>
            <w:tcW w:w="6980" w:type="dxa"/>
            <w:vAlign w:val="bottom"/>
            <w:shd w:val="clear" w:color="auto" w:fill="E5E5E5"/>
          </w:tcPr>
          <w:p>
            <w:pPr>
              <w:ind w:left="320"/>
              <w:spacing w:after="0"/>
              <w:rPr>
                <w:sz w:val="20"/>
                <w:szCs w:val="20"/>
                <w:color w:val="auto"/>
              </w:rPr>
            </w:pPr>
            <w:r>
              <w:rPr>
                <w:rFonts w:ascii="Arial" w:cs="Arial" w:eastAsia="Arial" w:hAnsi="Arial"/>
                <w:sz w:val="16"/>
                <w:szCs w:val="16"/>
                <w:color w:val="auto"/>
              </w:rPr>
              <w:t>Long-term debt, including current portion</w:t>
            </w:r>
          </w:p>
        </w:tc>
        <w:tc>
          <w:tcPr>
            <w:tcW w:w="4040" w:type="dxa"/>
            <w:vAlign w:val="bottom"/>
            <w:shd w:val="clear" w:color="auto" w:fill="E5E5E5"/>
          </w:tcPr>
          <w:p>
            <w:pPr>
              <w:jc w:val="right"/>
              <w:ind w:right="460"/>
              <w:spacing w:after="0"/>
              <w:rPr>
                <w:sz w:val="20"/>
                <w:szCs w:val="20"/>
                <w:color w:val="auto"/>
              </w:rPr>
            </w:pPr>
            <w:r>
              <w:rPr>
                <w:rFonts w:ascii="Arial" w:cs="Arial" w:eastAsia="Arial" w:hAnsi="Arial"/>
                <w:sz w:val="16"/>
                <w:szCs w:val="16"/>
                <w:color w:val="auto"/>
              </w:rPr>
              <w:t>21,577.4</w:t>
            </w:r>
          </w:p>
        </w:tc>
      </w:tr>
      <w:tr>
        <w:trPr>
          <w:trHeight w:val="189"/>
        </w:trPr>
        <w:tc>
          <w:tcPr>
            <w:tcW w:w="6980" w:type="dxa"/>
            <w:vAlign w:val="bottom"/>
          </w:tcPr>
          <w:p>
            <w:pPr>
              <w:ind w:left="320"/>
              <w:spacing w:after="0"/>
              <w:rPr>
                <w:sz w:val="20"/>
                <w:szCs w:val="20"/>
                <w:color w:val="auto"/>
              </w:rPr>
            </w:pPr>
            <w:r>
              <w:rPr>
                <w:rFonts w:ascii="Arial" w:cs="Arial" w:eastAsia="Arial" w:hAnsi="Arial"/>
                <w:sz w:val="16"/>
                <w:szCs w:val="16"/>
                <w:color w:val="auto"/>
              </w:rPr>
              <w:t>Short-term borrowings and other current obligations</w:t>
            </w:r>
          </w:p>
        </w:tc>
        <w:tc>
          <w:tcPr>
            <w:tcW w:w="4040" w:type="dxa"/>
            <w:vAlign w:val="bottom"/>
          </w:tcPr>
          <w:p>
            <w:pPr>
              <w:jc w:val="right"/>
              <w:ind w:right="460"/>
              <w:spacing w:after="0"/>
              <w:rPr>
                <w:sz w:val="20"/>
                <w:szCs w:val="20"/>
                <w:color w:val="auto"/>
              </w:rPr>
            </w:pPr>
            <w:r>
              <w:rPr>
                <w:rFonts w:ascii="Arial" w:cs="Arial" w:eastAsia="Arial" w:hAnsi="Arial"/>
                <w:sz w:val="16"/>
                <w:szCs w:val="16"/>
                <w:color w:val="auto"/>
              </w:rPr>
              <w:t>1,493.0</w:t>
            </w:r>
          </w:p>
        </w:tc>
      </w:tr>
      <w:tr>
        <w:trPr>
          <w:trHeight w:val="189"/>
        </w:trPr>
        <w:tc>
          <w:tcPr>
            <w:tcW w:w="6980" w:type="dxa"/>
            <w:vAlign w:val="bottom"/>
            <w:shd w:val="clear" w:color="auto" w:fill="E5E5E5"/>
          </w:tcPr>
          <w:p>
            <w:pPr>
              <w:ind w:left="60"/>
              <w:spacing w:after="0"/>
              <w:rPr>
                <w:sz w:val="20"/>
                <w:szCs w:val="20"/>
                <w:color w:val="auto"/>
              </w:rPr>
            </w:pPr>
            <w:r>
              <w:rPr>
                <w:rFonts w:ascii="Arial" w:cs="Arial" w:eastAsia="Arial" w:hAnsi="Arial"/>
                <w:sz w:val="16"/>
                <w:szCs w:val="16"/>
                <w:color w:val="auto"/>
              </w:rPr>
              <w:t>Total</w:t>
            </w:r>
          </w:p>
        </w:tc>
        <w:tc>
          <w:tcPr>
            <w:tcW w:w="4040" w:type="dxa"/>
            <w:vAlign w:val="bottom"/>
            <w:shd w:val="clear" w:color="auto" w:fill="E5E5E5"/>
          </w:tcPr>
          <w:p>
            <w:pPr>
              <w:jc w:val="right"/>
              <w:ind w:right="460"/>
              <w:spacing w:after="0"/>
              <w:rPr>
                <w:sz w:val="20"/>
                <w:szCs w:val="20"/>
                <w:color w:val="auto"/>
              </w:rPr>
            </w:pPr>
            <w:r>
              <w:rPr>
                <w:rFonts w:ascii="Arial" w:cs="Arial" w:eastAsia="Arial" w:hAnsi="Arial"/>
                <w:sz w:val="16"/>
                <w:szCs w:val="16"/>
                <w:color w:val="auto"/>
              </w:rPr>
              <w:t>23,070.4</w:t>
            </w:r>
          </w:p>
        </w:tc>
      </w:tr>
      <w:tr>
        <w:trPr>
          <w:trHeight w:val="189"/>
        </w:trPr>
        <w:tc>
          <w:tcPr>
            <w:tcW w:w="6980" w:type="dxa"/>
            <w:vAlign w:val="bottom"/>
          </w:tcPr>
          <w:p>
            <w:pPr>
              <w:ind w:left="60"/>
              <w:spacing w:after="0"/>
              <w:rPr>
                <w:sz w:val="20"/>
                <w:szCs w:val="20"/>
                <w:color w:val="auto"/>
              </w:rPr>
            </w:pPr>
            <w:r>
              <w:rPr>
                <w:rFonts w:ascii="Arial" w:cs="Arial" w:eastAsia="Arial" w:hAnsi="Arial"/>
                <w:sz w:val="16"/>
                <w:szCs w:val="16"/>
                <w:color w:val="auto"/>
              </w:rPr>
              <w:t>Add / (deduct):</w:t>
            </w:r>
          </w:p>
        </w:tc>
        <w:tc>
          <w:tcPr>
            <w:tcW w:w="4040" w:type="dxa"/>
            <w:vAlign w:val="bottom"/>
          </w:tcPr>
          <w:p>
            <w:pPr>
              <w:spacing w:after="0"/>
              <w:rPr>
                <w:sz w:val="16"/>
                <w:szCs w:val="16"/>
                <w:color w:val="auto"/>
              </w:rPr>
            </w:pPr>
          </w:p>
        </w:tc>
      </w:tr>
      <w:tr>
        <w:trPr>
          <w:trHeight w:val="189"/>
        </w:trPr>
        <w:tc>
          <w:tcPr>
            <w:tcW w:w="6980" w:type="dxa"/>
            <w:vAlign w:val="bottom"/>
            <w:shd w:val="clear" w:color="auto" w:fill="E5E5E5"/>
          </w:tcPr>
          <w:p>
            <w:pPr>
              <w:ind w:left="320"/>
              <w:spacing w:after="0"/>
              <w:rPr>
                <w:sz w:val="20"/>
                <w:szCs w:val="20"/>
                <w:color w:val="auto"/>
              </w:rPr>
            </w:pPr>
            <w:r>
              <w:rPr>
                <w:rFonts w:ascii="Arial" w:cs="Arial" w:eastAsia="Arial" w:hAnsi="Arial"/>
                <w:sz w:val="16"/>
                <w:szCs w:val="16"/>
                <w:color w:val="auto"/>
              </w:rPr>
              <w:t>Net premiums on various debt issuances</w:t>
            </w:r>
          </w:p>
        </w:tc>
        <w:tc>
          <w:tcPr>
            <w:tcW w:w="4040" w:type="dxa"/>
            <w:vAlign w:val="bottom"/>
            <w:shd w:val="clear" w:color="auto" w:fill="E5E5E5"/>
          </w:tcPr>
          <w:p>
            <w:pPr>
              <w:jc w:val="right"/>
              <w:ind w:right="400"/>
              <w:spacing w:after="0"/>
              <w:rPr>
                <w:sz w:val="20"/>
                <w:szCs w:val="20"/>
                <w:color w:val="auto"/>
              </w:rPr>
            </w:pPr>
            <w:r>
              <w:rPr>
                <w:rFonts w:ascii="Arial" w:cs="Arial" w:eastAsia="Arial" w:hAnsi="Arial"/>
                <w:sz w:val="16"/>
                <w:szCs w:val="16"/>
                <w:color w:val="auto"/>
              </w:rPr>
              <w:t>(651.6)</w:t>
            </w:r>
          </w:p>
        </w:tc>
      </w:tr>
      <w:tr>
        <w:trPr>
          <w:trHeight w:val="189"/>
        </w:trPr>
        <w:tc>
          <w:tcPr>
            <w:tcW w:w="6980" w:type="dxa"/>
            <w:vAlign w:val="bottom"/>
          </w:tcPr>
          <w:p>
            <w:pPr>
              <w:ind w:left="320"/>
              <w:spacing w:after="0"/>
              <w:rPr>
                <w:sz w:val="20"/>
                <w:szCs w:val="20"/>
                <w:color w:val="auto"/>
              </w:rPr>
            </w:pPr>
            <w:r>
              <w:rPr>
                <w:rFonts w:ascii="Arial" w:cs="Arial" w:eastAsia="Arial" w:hAnsi="Arial"/>
                <w:sz w:val="16"/>
                <w:szCs w:val="16"/>
                <w:color w:val="auto"/>
              </w:rPr>
              <w:t>Deferred financing fees</w:t>
            </w:r>
          </w:p>
        </w:tc>
        <w:tc>
          <w:tcPr>
            <w:tcW w:w="4040" w:type="dxa"/>
            <w:vAlign w:val="bottom"/>
          </w:tcPr>
          <w:p>
            <w:pPr>
              <w:jc w:val="right"/>
              <w:ind w:right="460"/>
              <w:spacing w:after="0"/>
              <w:rPr>
                <w:sz w:val="20"/>
                <w:szCs w:val="20"/>
                <w:color w:val="auto"/>
              </w:rPr>
            </w:pPr>
            <w:r>
              <w:rPr>
                <w:rFonts w:ascii="Arial" w:cs="Arial" w:eastAsia="Arial" w:hAnsi="Arial"/>
                <w:sz w:val="16"/>
                <w:szCs w:val="16"/>
                <w:color w:val="auto"/>
              </w:rPr>
              <w:t>42.4</w:t>
            </w:r>
          </w:p>
        </w:tc>
      </w:tr>
      <w:tr>
        <w:trPr>
          <w:trHeight w:val="189"/>
        </w:trPr>
        <w:tc>
          <w:tcPr>
            <w:tcW w:w="6980" w:type="dxa"/>
            <w:vAlign w:val="bottom"/>
            <w:shd w:val="clear" w:color="auto" w:fill="E5E5E5"/>
          </w:tcPr>
          <w:p>
            <w:pPr>
              <w:ind w:left="320"/>
              <w:spacing w:after="0"/>
              <w:rPr>
                <w:sz w:val="20"/>
                <w:szCs w:val="20"/>
                <w:color w:val="auto"/>
              </w:rPr>
            </w:pPr>
            <w:r>
              <w:rPr>
                <w:rFonts w:ascii="Arial" w:cs="Arial" w:eastAsia="Arial" w:hAnsi="Arial"/>
                <w:sz w:val="16"/>
                <w:szCs w:val="16"/>
                <w:color w:val="auto"/>
              </w:rPr>
              <w:t>Fair value adjustment for hedged debt</w:t>
            </w:r>
          </w:p>
        </w:tc>
        <w:tc>
          <w:tcPr>
            <w:tcW w:w="4040" w:type="dxa"/>
            <w:vAlign w:val="bottom"/>
            <w:shd w:val="clear" w:color="auto" w:fill="E5E5E5"/>
          </w:tcPr>
          <w:p>
            <w:pPr>
              <w:jc w:val="right"/>
              <w:ind w:right="400"/>
              <w:spacing w:after="0"/>
              <w:rPr>
                <w:sz w:val="20"/>
                <w:szCs w:val="20"/>
                <w:color w:val="auto"/>
              </w:rPr>
            </w:pPr>
            <w:r>
              <w:rPr>
                <w:rFonts w:ascii="Arial" w:cs="Arial" w:eastAsia="Arial" w:hAnsi="Arial"/>
                <w:sz w:val="16"/>
                <w:szCs w:val="16"/>
                <w:color w:val="auto"/>
              </w:rPr>
              <w:t>(16.3)</w:t>
            </w:r>
          </w:p>
        </w:tc>
      </w:tr>
      <w:tr>
        <w:trPr>
          <w:trHeight w:val="189"/>
        </w:trPr>
        <w:tc>
          <w:tcPr>
            <w:tcW w:w="6980" w:type="dxa"/>
            <w:vAlign w:val="bottom"/>
          </w:tcPr>
          <w:p>
            <w:pPr>
              <w:ind w:left="60"/>
              <w:spacing w:after="0"/>
              <w:rPr>
                <w:sz w:val="20"/>
                <w:szCs w:val="20"/>
                <w:color w:val="auto"/>
              </w:rPr>
            </w:pPr>
            <w:r>
              <w:rPr>
                <w:rFonts w:ascii="Arial" w:cs="Arial" w:eastAsia="Arial" w:hAnsi="Arial"/>
                <w:sz w:val="16"/>
                <w:szCs w:val="16"/>
                <w:color w:val="auto"/>
              </w:rPr>
              <w:t>Total debt at notional amounts</w:t>
            </w:r>
          </w:p>
        </w:tc>
        <w:tc>
          <w:tcPr>
            <w:tcW w:w="4040" w:type="dxa"/>
            <w:vAlign w:val="bottom"/>
          </w:tcPr>
          <w:p>
            <w:pPr>
              <w:jc w:val="right"/>
              <w:ind w:right="460"/>
              <w:spacing w:after="0"/>
              <w:rPr>
                <w:sz w:val="20"/>
                <w:szCs w:val="20"/>
                <w:color w:val="auto"/>
              </w:rPr>
            </w:pPr>
            <w:r>
              <w:rPr>
                <w:rFonts w:ascii="Arial" w:cs="Arial" w:eastAsia="Arial" w:hAnsi="Arial"/>
                <w:sz w:val="16"/>
                <w:szCs w:val="16"/>
                <w:color w:val="auto"/>
              </w:rPr>
              <w:t>$22,444.9</w:t>
            </w:r>
          </w:p>
        </w:tc>
      </w:tr>
      <w:tr>
        <w:trPr>
          <w:trHeight w:val="189"/>
        </w:trPr>
        <w:tc>
          <w:tcPr>
            <w:tcW w:w="698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color w:val="auto"/>
              </w:rPr>
              <w:t>Notional debt to Credit Agreement Adjusted EBITDA Leverage Ratio</w:t>
            </w:r>
          </w:p>
        </w:tc>
        <w:tc>
          <w:tcPr>
            <w:tcW w:w="4040" w:type="dxa"/>
            <w:vAlign w:val="bottom"/>
            <w:tcBorders>
              <w:bottom w:val="single" w:sz="8" w:color="732282"/>
            </w:tcBorders>
            <w:shd w:val="clear" w:color="auto" w:fill="E5E5E5"/>
          </w:tcPr>
          <w:p>
            <w:pPr>
              <w:jc w:val="right"/>
              <w:ind w:right="460"/>
              <w:spacing w:after="0"/>
              <w:rPr>
                <w:sz w:val="20"/>
                <w:szCs w:val="20"/>
                <w:color w:val="auto"/>
              </w:rPr>
            </w:pPr>
            <w:r>
              <w:rPr>
                <w:rFonts w:ascii="Arial" w:cs="Arial" w:eastAsia="Arial" w:hAnsi="Arial"/>
                <w:sz w:val="16"/>
                <w:szCs w:val="16"/>
                <w:color w:val="auto"/>
              </w:rPr>
              <w:t>3.5</w:t>
            </w: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40"/>
          </w:cols>
          <w:pgMar w:left="320" w:top="486"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Free Cash Flow Guidance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 xml:space="preserve">Reconciliation of Estimated 2021 U.S. GAAP Net Cash Provided by Operating Activities to Free Cash Flow (from February 2021) </w:t>
      </w:r>
      <w:r>
        <w:rPr>
          <w:rFonts w:ascii="Arial" w:cs="Arial" w:eastAsia="Arial" w:hAnsi="Arial"/>
          <w:sz w:val="16"/>
          <w:szCs w:val="16"/>
          <w:color w:val="auto"/>
        </w:rPr>
        <w:t>(</w:t>
      </w:r>
      <w:r>
        <w:rPr>
          <w:rFonts w:ascii="Arial" w:cs="Arial" w:eastAsia="Arial" w:hAnsi="Arial"/>
          <w:sz w:val="16"/>
          <w:szCs w:val="16"/>
          <w:i w:val="1"/>
          <w:iCs w:val="1"/>
          <w:color w:val="auto"/>
        </w:rPr>
        <w:t>Unaudited, in millions</w:t>
      </w:r>
      <w:r>
        <w:rPr>
          <w:rFonts w:ascii="Arial" w:cs="Arial" w:eastAsia="Arial" w:hAnsi="Arial"/>
          <w:sz w:val="16"/>
          <w:szCs w:val="16"/>
          <w:color w:val="auto"/>
        </w:rPr>
        <w:t>)</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9120" w:type="dxa"/>
            <w:vAlign w:val="bottom"/>
            <w:shd w:val="clear" w:color="auto" w:fill="E5E5E5"/>
          </w:tcPr>
          <w:p>
            <w:pPr>
              <w:ind w:left="60"/>
              <w:spacing w:after="0"/>
              <w:rPr>
                <w:sz w:val="20"/>
                <w:szCs w:val="20"/>
                <w:color w:val="auto"/>
              </w:rPr>
            </w:pPr>
            <w:r>
              <w:rPr>
                <w:rFonts w:ascii="Arial" w:cs="Arial" w:eastAsia="Arial" w:hAnsi="Arial"/>
                <w:sz w:val="16"/>
                <w:szCs w:val="16"/>
                <w:color w:val="auto"/>
              </w:rPr>
              <w:t>Estimated GAAP Net Cash provided by Operating Activities</w:t>
            </w:r>
          </w:p>
        </w:tc>
        <w:tc>
          <w:tcPr>
            <w:tcW w:w="1900" w:type="dxa"/>
            <w:vAlign w:val="bottom"/>
            <w:gridSpan w:val="2"/>
            <w:shd w:val="clear" w:color="auto" w:fill="E5E5E5"/>
          </w:tcPr>
          <w:p>
            <w:pPr>
              <w:jc w:val="right"/>
              <w:ind w:right="340"/>
              <w:spacing w:after="0"/>
              <w:rPr>
                <w:sz w:val="20"/>
                <w:szCs w:val="20"/>
                <w:color w:val="auto"/>
              </w:rPr>
            </w:pPr>
            <w:r>
              <w:rPr>
                <w:rFonts w:ascii="Arial" w:cs="Arial" w:eastAsia="Arial" w:hAnsi="Arial"/>
                <w:sz w:val="16"/>
                <w:szCs w:val="16"/>
                <w:color w:val="auto"/>
              </w:rPr>
              <w:t>$2,650 - $2,800</w:t>
            </w:r>
          </w:p>
        </w:tc>
      </w:tr>
      <w:tr>
        <w:trPr>
          <w:trHeight w:val="189"/>
        </w:trPr>
        <w:tc>
          <w:tcPr>
            <w:tcW w:w="9120" w:type="dxa"/>
            <w:vAlign w:val="bottom"/>
          </w:tcPr>
          <w:p>
            <w:pPr>
              <w:ind w:left="60"/>
              <w:spacing w:after="0"/>
              <w:rPr>
                <w:sz w:val="20"/>
                <w:szCs w:val="20"/>
                <w:color w:val="auto"/>
              </w:rPr>
            </w:pPr>
            <w:r>
              <w:rPr>
                <w:rFonts w:ascii="Arial" w:cs="Arial" w:eastAsia="Arial" w:hAnsi="Arial"/>
                <w:sz w:val="16"/>
                <w:szCs w:val="16"/>
                <w:color w:val="auto"/>
              </w:rPr>
              <w:t>Less: Capital Expenditures</w:t>
            </w:r>
          </w:p>
        </w:tc>
        <w:tc>
          <w:tcPr>
            <w:tcW w:w="1900" w:type="dxa"/>
            <w:vAlign w:val="bottom"/>
            <w:gridSpan w:val="2"/>
          </w:tcPr>
          <w:p>
            <w:pPr>
              <w:jc w:val="right"/>
              <w:ind w:right="280"/>
              <w:spacing w:after="0"/>
              <w:rPr>
                <w:sz w:val="20"/>
                <w:szCs w:val="20"/>
                <w:color w:val="auto"/>
              </w:rPr>
            </w:pPr>
            <w:r>
              <w:rPr>
                <w:rFonts w:ascii="Arial" w:cs="Arial" w:eastAsia="Arial" w:hAnsi="Arial"/>
                <w:sz w:val="16"/>
                <w:szCs w:val="16"/>
                <w:color w:val="auto"/>
              </w:rPr>
              <w:t>$(500) - $(650)</w:t>
            </w:r>
          </w:p>
        </w:tc>
      </w:tr>
      <w:tr>
        <w:trPr>
          <w:trHeight w:val="27"/>
        </w:trPr>
        <w:tc>
          <w:tcPr>
            <w:tcW w:w="912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189"/>
        </w:trPr>
        <w:tc>
          <w:tcPr>
            <w:tcW w:w="912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color w:val="auto"/>
              </w:rPr>
              <w:t>Free Cash Flow</w:t>
            </w:r>
          </w:p>
        </w:tc>
        <w:tc>
          <w:tcPr>
            <w:tcW w:w="1900" w:type="dxa"/>
            <w:vAlign w:val="bottom"/>
            <w:tcBorders>
              <w:bottom w:val="single" w:sz="8" w:color="732282"/>
            </w:tcBorders>
            <w:gridSpan w:val="2"/>
            <w:shd w:val="clear" w:color="auto" w:fill="E5E5E5"/>
          </w:tcPr>
          <w:p>
            <w:pPr>
              <w:jc w:val="right"/>
              <w:ind w:right="340"/>
              <w:spacing w:after="0"/>
              <w:rPr>
                <w:sz w:val="20"/>
                <w:szCs w:val="20"/>
                <w:color w:val="auto"/>
              </w:rPr>
            </w:pPr>
            <w:r>
              <w:rPr>
                <w:rFonts w:ascii="Arial" w:cs="Arial" w:eastAsia="Arial" w:hAnsi="Arial"/>
                <w:sz w:val="16"/>
                <w:szCs w:val="16"/>
                <w:color w:val="auto"/>
              </w:rPr>
              <w:t>$2,000 - $2,300</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 xml:space="preserve">Reconciliation of Estimated 2021 U.S. GAAP Net Cash Provided by Operating Activities to Free Cash Flow (from November 2021) </w:t>
      </w:r>
      <w:r>
        <w:rPr>
          <w:rFonts w:ascii="Arial" w:cs="Arial" w:eastAsia="Arial" w:hAnsi="Arial"/>
          <w:sz w:val="16"/>
          <w:szCs w:val="16"/>
          <w:color w:val="auto"/>
        </w:rPr>
        <w:t>(</w:t>
      </w:r>
      <w:r>
        <w:rPr>
          <w:rFonts w:ascii="Arial" w:cs="Arial" w:eastAsia="Arial" w:hAnsi="Arial"/>
          <w:sz w:val="16"/>
          <w:szCs w:val="16"/>
          <w:i w:val="1"/>
          <w:iCs w:val="1"/>
          <w:color w:val="auto"/>
        </w:rPr>
        <w:t>Unaudited, in millions</w:t>
      </w:r>
      <w:r>
        <w:rPr>
          <w:rFonts w:ascii="Arial" w:cs="Arial" w:eastAsia="Arial" w:hAnsi="Arial"/>
          <w:sz w:val="16"/>
          <w:szCs w:val="16"/>
          <w:color w:val="auto"/>
        </w:rPr>
        <w:t>)</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9120" w:type="dxa"/>
            <w:vAlign w:val="bottom"/>
            <w:shd w:val="clear" w:color="auto" w:fill="E5E5E5"/>
          </w:tcPr>
          <w:p>
            <w:pPr>
              <w:ind w:left="60"/>
              <w:spacing w:after="0"/>
              <w:rPr>
                <w:sz w:val="20"/>
                <w:szCs w:val="20"/>
                <w:color w:val="auto"/>
              </w:rPr>
            </w:pPr>
            <w:r>
              <w:rPr>
                <w:rFonts w:ascii="Arial" w:cs="Arial" w:eastAsia="Arial" w:hAnsi="Arial"/>
                <w:sz w:val="16"/>
                <w:szCs w:val="16"/>
                <w:color w:val="auto"/>
              </w:rPr>
              <w:t>Estimated GAAP Net Cash provided by Operating Activities</w:t>
            </w:r>
          </w:p>
        </w:tc>
        <w:tc>
          <w:tcPr>
            <w:tcW w:w="1900" w:type="dxa"/>
            <w:vAlign w:val="bottom"/>
            <w:gridSpan w:val="2"/>
            <w:shd w:val="clear" w:color="auto" w:fill="E5E5E5"/>
          </w:tcPr>
          <w:p>
            <w:pPr>
              <w:jc w:val="right"/>
              <w:ind w:right="340"/>
              <w:spacing w:after="0"/>
              <w:rPr>
                <w:sz w:val="20"/>
                <w:szCs w:val="20"/>
                <w:color w:val="auto"/>
              </w:rPr>
            </w:pPr>
            <w:r>
              <w:rPr>
                <w:rFonts w:ascii="Arial" w:cs="Arial" w:eastAsia="Arial" w:hAnsi="Arial"/>
                <w:sz w:val="16"/>
                <w:szCs w:val="16"/>
                <w:color w:val="auto"/>
              </w:rPr>
              <w:t>$2,900 - $3,100</w:t>
            </w:r>
          </w:p>
        </w:tc>
      </w:tr>
      <w:tr>
        <w:trPr>
          <w:trHeight w:val="189"/>
        </w:trPr>
        <w:tc>
          <w:tcPr>
            <w:tcW w:w="9120" w:type="dxa"/>
            <w:vAlign w:val="bottom"/>
          </w:tcPr>
          <w:p>
            <w:pPr>
              <w:ind w:left="60"/>
              <w:spacing w:after="0"/>
              <w:rPr>
                <w:sz w:val="20"/>
                <w:szCs w:val="20"/>
                <w:color w:val="auto"/>
              </w:rPr>
            </w:pPr>
            <w:r>
              <w:rPr>
                <w:rFonts w:ascii="Arial" w:cs="Arial" w:eastAsia="Arial" w:hAnsi="Arial"/>
                <w:sz w:val="16"/>
                <w:szCs w:val="16"/>
                <w:color w:val="auto"/>
              </w:rPr>
              <w:t>Less: Capital Expenditures</w:t>
            </w:r>
          </w:p>
        </w:tc>
        <w:tc>
          <w:tcPr>
            <w:tcW w:w="1900" w:type="dxa"/>
            <w:vAlign w:val="bottom"/>
            <w:gridSpan w:val="2"/>
          </w:tcPr>
          <w:p>
            <w:pPr>
              <w:jc w:val="right"/>
              <w:ind w:right="280"/>
              <w:spacing w:after="0"/>
              <w:rPr>
                <w:sz w:val="20"/>
                <w:szCs w:val="20"/>
                <w:color w:val="auto"/>
              </w:rPr>
            </w:pPr>
            <w:r>
              <w:rPr>
                <w:rFonts w:ascii="Arial" w:cs="Arial" w:eastAsia="Arial" w:hAnsi="Arial"/>
                <w:sz w:val="16"/>
                <w:szCs w:val="16"/>
                <w:color w:val="auto"/>
              </w:rPr>
              <w:t>$(450) - $(550)</w:t>
            </w:r>
          </w:p>
        </w:tc>
      </w:tr>
      <w:tr>
        <w:trPr>
          <w:trHeight w:val="27"/>
        </w:trPr>
        <w:tc>
          <w:tcPr>
            <w:tcW w:w="912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189"/>
        </w:trPr>
        <w:tc>
          <w:tcPr>
            <w:tcW w:w="912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color w:val="auto"/>
              </w:rPr>
              <w:t>Free Cash Flow</w:t>
            </w:r>
          </w:p>
        </w:tc>
        <w:tc>
          <w:tcPr>
            <w:tcW w:w="1900" w:type="dxa"/>
            <w:vAlign w:val="bottom"/>
            <w:tcBorders>
              <w:bottom w:val="single" w:sz="8" w:color="732282"/>
            </w:tcBorders>
            <w:gridSpan w:val="2"/>
            <w:shd w:val="clear" w:color="auto" w:fill="E5E5E5"/>
          </w:tcPr>
          <w:p>
            <w:pPr>
              <w:jc w:val="right"/>
              <w:ind w:right="340"/>
              <w:spacing w:after="0"/>
              <w:rPr>
                <w:sz w:val="20"/>
                <w:szCs w:val="20"/>
                <w:color w:val="auto"/>
              </w:rPr>
            </w:pPr>
            <w:r>
              <w:rPr>
                <w:rFonts w:ascii="Arial" w:cs="Arial" w:eastAsia="Arial" w:hAnsi="Arial"/>
                <w:sz w:val="16"/>
                <w:szCs w:val="16"/>
                <w:color w:val="auto"/>
              </w:rPr>
              <w:t>$2,400 - $2,600</w:t>
            </w: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Adjusted EBITDA Guidance</w:t>
      </w:r>
    </w:p>
    <w:p>
      <w:pPr>
        <w:spacing w:after="0" w:line="128" w:lineRule="exact"/>
        <w:rPr>
          <w:sz w:val="20"/>
          <w:szCs w:val="20"/>
          <w:color w:val="auto"/>
        </w:rPr>
      </w:pPr>
    </w:p>
    <w:p>
      <w:pPr>
        <w:jc w:val="both"/>
        <w:ind w:left="120" w:right="20"/>
        <w:spacing w:after="0" w:line="248" w:lineRule="auto"/>
        <w:rPr>
          <w:sz w:val="20"/>
          <w:szCs w:val="20"/>
          <w:color w:val="auto"/>
        </w:rPr>
      </w:pPr>
      <w:r>
        <w:rPr>
          <w:rFonts w:ascii="Arial" w:cs="Arial" w:eastAsia="Arial" w:hAnsi="Arial"/>
          <w:sz w:val="16"/>
          <w:szCs w:val="16"/>
          <w:color w:val="auto"/>
        </w:rPr>
        <w:t>The Company was not providing forward-looking guidance for U.S. GAAP net earnings (loss) or a quantitative reconciliation of its 2021 adjusted EBITDA guidance to the most directly comparable U.S. GAAP measure, U.S. GAAP net loss, because it was unable to predict with reasonable certainty the ultimate outcome of certain significant items, including integration and acquisition-related expenses, restructuring expenses, asset impairments, litigation settlements and other contingencies, such as changes to contingent consideration and certain other gains or losses, as well as related income tax accounting, because certain of these items had not occurred, were out of the Company’s control and/or could not be reasonably predicted without unreasonable effort. These items were uncertain, depended on various factors, and could have had a material impact on U.S. GAAP reported results for the guidance period.</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140"/>
          </w:cols>
          <w:pgMar w:left="320" w:top="486" w:right="439" w:bottom="1440" w:gutter="0" w:footer="0" w:header="0"/>
        </w:sectPr>
      </w:pPr>
    </w:p>
    <w:bookmarkStart w:id="63" w:name="page64"/>
    <w:bookmarkEnd w:id="63"/>
    <w:p>
      <w:pPr>
        <w:jc w:val="right"/>
        <w:spacing w:after="0"/>
        <w:rPr>
          <w:sz w:val="20"/>
          <w:szCs w:val="20"/>
          <w:color w:val="auto"/>
        </w:rPr>
      </w:pPr>
      <w:r>
        <w:rPr>
          <w:rFonts w:ascii="Arial" w:cs="Arial" w:eastAsia="Arial" w:hAnsi="Arial"/>
          <w:sz w:val="16"/>
          <w:szCs w:val="16"/>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Michael Goettler, certify that:</w:t>
      </w:r>
    </w:p>
    <w:p>
      <w:pPr>
        <w:spacing w:after="0" w:line="221" w:lineRule="exact"/>
        <w:rPr>
          <w:sz w:val="20"/>
          <w:szCs w:val="20"/>
          <w:color w:val="auto"/>
        </w:rPr>
      </w:pPr>
    </w:p>
    <w:p>
      <w:pPr>
        <w:ind w:left="620" w:hanging="184"/>
        <w:spacing w:after="0"/>
        <w:tabs>
          <w:tab w:leader="none" w:pos="6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 have reviewed this Form 10-K/A of Viatris Inc.; and</w:t>
      </w:r>
    </w:p>
    <w:p>
      <w:pPr>
        <w:spacing w:after="0" w:line="221" w:lineRule="exact"/>
        <w:rPr>
          <w:rFonts w:ascii="Arial" w:cs="Arial" w:eastAsia="Arial" w:hAnsi="Arial"/>
          <w:sz w:val="16"/>
          <w:szCs w:val="16"/>
          <w:color w:val="auto"/>
        </w:rPr>
      </w:pPr>
    </w:p>
    <w:p>
      <w:pPr>
        <w:jc w:val="both"/>
        <w:ind w:right="20" w:firstLine="436"/>
        <w:spacing w:after="0" w:line="257" w:lineRule="auto"/>
        <w:tabs>
          <w:tab w:leader="none" w:pos="628"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27946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Michael Goettler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Date: April 29, 2022</w:t>
      </w:r>
    </w:p>
    <w:p>
      <w:pPr>
        <w:sectPr>
          <w:pgSz w:w="11900" w:h="16838" w:orient="portrait"/>
          <w:cols w:equalWidth="0" w:num="1">
            <w:col w:w="11020"/>
          </w:cols>
          <w:pgMar w:left="440" w:top="121" w:right="439" w:bottom="1440" w:gutter="0" w:footer="0" w:header="0"/>
        </w:sectPr>
      </w:pPr>
    </w:p>
    <w:bookmarkStart w:id="64" w:name="page65"/>
    <w:bookmarkEnd w:id="64"/>
    <w:p>
      <w:pPr>
        <w:jc w:val="right"/>
        <w:spacing w:after="0"/>
        <w:rPr>
          <w:sz w:val="20"/>
          <w:szCs w:val="20"/>
          <w:color w:val="auto"/>
        </w:rPr>
      </w:pPr>
      <w:r>
        <w:rPr>
          <w:rFonts w:ascii="Arial" w:cs="Arial" w:eastAsia="Arial" w:hAnsi="Arial"/>
          <w:sz w:val="16"/>
          <w:szCs w:val="16"/>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Financial Officer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Sanjeev Narula, certify that:</w:t>
      </w:r>
    </w:p>
    <w:p>
      <w:pPr>
        <w:spacing w:after="0" w:line="221" w:lineRule="exact"/>
        <w:rPr>
          <w:sz w:val="20"/>
          <w:szCs w:val="20"/>
          <w:color w:val="auto"/>
        </w:rPr>
      </w:pPr>
    </w:p>
    <w:p>
      <w:pPr>
        <w:ind w:left="620" w:hanging="184"/>
        <w:spacing w:after="0"/>
        <w:tabs>
          <w:tab w:leader="none" w:pos="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 have reviewed this Form 10-K/A of Viatris Inc.; and</w:t>
      </w:r>
    </w:p>
    <w:p>
      <w:pPr>
        <w:spacing w:after="0" w:line="221" w:lineRule="exact"/>
        <w:rPr>
          <w:rFonts w:ascii="Arial" w:cs="Arial" w:eastAsia="Arial" w:hAnsi="Arial"/>
          <w:sz w:val="16"/>
          <w:szCs w:val="16"/>
          <w:color w:val="auto"/>
        </w:rPr>
      </w:pPr>
    </w:p>
    <w:p>
      <w:pPr>
        <w:jc w:val="both"/>
        <w:ind w:right="20" w:firstLine="436"/>
        <w:spacing w:after="0" w:line="257" w:lineRule="auto"/>
        <w:tabs>
          <w:tab w:leader="none" w:pos="628"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27946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Sanjeev Narula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Date: April 29, 2022</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1"/>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2"/>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1)"/>
      <w:numFmt w:val="decimal"/>
      <w:start w:val="1"/>
    </w:lvl>
  </w:abstractNum>
  <w:abstractNum w:abstractNumId="35">
    <w:nsid w:val="12E685FB"/>
    <w:multiLevelType w:val="hybridMultilevel"/>
    <w:lvl w:ilvl="0">
      <w:lvlJc w:val="left"/>
      <w:lvlText w:val="(%1)"/>
      <w:numFmt w:val="decimal"/>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X"/>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1)"/>
      <w:numFmt w:val="decimal"/>
      <w:start w:val="1"/>
    </w:lvl>
  </w:abstractNum>
  <w:abstractNum w:abstractNumId="47">
    <w:nsid w:val="47398C89"/>
    <w:multiLevelType w:val="hybridMultilevel"/>
    <w:lvl w:ilvl="0">
      <w:lvlJc w:val="left"/>
      <w:lvlText w:val="(%1)"/>
      <w:numFmt w:val="decimal"/>
      <w:start w:val="4"/>
    </w:lvl>
  </w:abstractNum>
  <w:abstractNum w:abstractNumId="48">
    <w:nsid w:val="354FE9F9"/>
    <w:multiLevelType w:val="hybridMultilevel"/>
    <w:lvl w:ilvl="0">
      <w:lvlJc w:val="left"/>
      <w:lvlText w:val="(%1)"/>
      <w:numFmt w:val="lowerLetter"/>
      <w:start w:val="1"/>
    </w:lvl>
  </w:abstractNum>
  <w:abstractNum w:abstractNumId="49">
    <w:nsid w:val="15B5AF5C"/>
    <w:multiLevelType w:val="hybridMultilevel"/>
    <w:lvl w:ilvl="0">
      <w:lvlJc w:val="left"/>
      <w:lvlText w:val="(%1)"/>
      <w:numFmt w:val="decimal"/>
      <w:start w:val="1"/>
    </w:lvl>
  </w:abstractNum>
  <w:abstractNum w:abstractNumId="50">
    <w:nsid w:val="741226BB"/>
    <w:multiLevelType w:val="hybridMultilevel"/>
    <w:lvl w:ilvl="0">
      <w:lvlJc w:val="left"/>
      <w:lvlText w:val="(%1)"/>
      <w:numFmt w:val="decimal"/>
      <w:start w:val="1"/>
    </w:lvl>
  </w:abstractNum>
  <w:abstractNum w:abstractNumId="51">
    <w:nsid w:val="D34B6A8"/>
    <w:multiLevelType w:val="hybridMultilevel"/>
    <w:lvl w:ilvl="0">
      <w:lvlJc w:val="left"/>
      <w:lvlText w:val="(%1)"/>
      <w:numFmt w:val="decimal"/>
      <w:start w:val="8"/>
    </w:lvl>
  </w:abstractNum>
  <w:abstractNum w:abstractNumId="52">
    <w:nsid w:val="10233C99"/>
    <w:multiLevelType w:val="hybridMultilevel"/>
    <w:lvl w:ilvl="0">
      <w:lvlJc w:val="left"/>
      <w:lvlText w:val="(%1)"/>
      <w:numFmt w:val="decimal"/>
      <w:start w:val="1"/>
    </w:lvl>
  </w:abstractNum>
  <w:abstractNum w:abstractNumId="53">
    <w:nsid w:val="3F6AB60F"/>
    <w:multiLevelType w:val="hybridMultilevel"/>
    <w:lvl w:ilvl="0">
      <w:lvlJc w:val="left"/>
      <w:lvlText w:val="(%1)"/>
      <w:numFmt w:val="decimal"/>
      <w:start w:val="3"/>
    </w:lvl>
  </w:abstractNum>
  <w:abstractNum w:abstractNumId="54">
    <w:nsid w:val="61574095"/>
    <w:multiLevelType w:val="hybridMultilevel"/>
    <w:lvl w:ilvl="0">
      <w:lvlJc w:val="left"/>
      <w:lvlText w:val="(%1)"/>
      <w:numFmt w:val="lowerRoman"/>
      <w:start w:val="4"/>
    </w:lvl>
  </w:abstractNum>
  <w:abstractNum w:abstractNumId="55">
    <w:nsid w:val="7E0C57B1"/>
    <w:multiLevelType w:val="hybridMultilevel"/>
    <w:lvl w:ilvl="0">
      <w:lvlJc w:val="left"/>
      <w:lvlText w:val="(%1)"/>
      <w:numFmt w:val="decimal"/>
      <w:start w:val="2"/>
    </w:lvl>
  </w:abstractNum>
  <w:abstractNum w:abstractNumId="56">
    <w:nsid w:val="77AE35EB"/>
    <w:multiLevelType w:val="hybridMultilevel"/>
    <w:lvl w:ilvl="0">
      <w:lvlJc w:val="left"/>
      <w:lvlText w:val="(%1)"/>
      <w:numFmt w:val="lowerRoman"/>
      <w:start w:val="1"/>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1)"/>
      <w:numFmt w:val="decimal"/>
      <w:start w:val="3"/>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1)"/>
      <w:numFmt w:val="decimal"/>
      <w:start w:val="1"/>
    </w:lvl>
  </w:abstractNum>
  <w:abstractNum w:abstractNumId="61">
    <w:nsid w:val="25A70BF7"/>
    <w:multiLevelType w:val="hybridMultilevel"/>
    <w:lvl w:ilvl="0">
      <w:lvlJc w:val="left"/>
      <w:lvlText w:val="(%1)"/>
      <w:numFmt w:val="decimal"/>
      <w:start w:val="1"/>
    </w:lvl>
  </w:abstractNum>
  <w:abstractNum w:abstractNumId="62">
    <w:nsid w:val="1DBABF00"/>
    <w:multiLevelType w:val="hybridMultilevel"/>
    <w:lvl w:ilvl="0">
      <w:lvlJc w:val="left"/>
      <w:lvlText w:val="(%1)"/>
      <w:numFmt w:val="lowerLetter"/>
      <w:start w:val="1"/>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1)"/>
      <w:numFmt w:val="decimal"/>
      <w:start w:val="3"/>
    </w:lvl>
  </w:abstractNum>
  <w:abstractNum w:abstractNumId="65">
    <w:nsid w:val="1381823A"/>
    <w:multiLevelType w:val="hybridMultilevel"/>
    <w:lvl w:ilvl="0">
      <w:lvlJc w:val="left"/>
      <w:lvlText w:val="%1"/>
      <w:numFmt w:val="decimal"/>
      <w:start w:val="104"/>
    </w:lvl>
  </w:abstractNum>
  <w:abstractNum w:abstractNumId="66">
    <w:nsid w:val="5DB70AE5"/>
    <w:multiLevelType w:val="hybridMultilevel"/>
    <w:lvl w:ilvl="0">
      <w:lvlJc w:val="left"/>
      <w:lvlText w:val="(%1)"/>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2022-04-29T23:24:55Z</dcterms:created>
  <dcterms:modified xsi:type="dcterms:W3CDTF">2022-04-29T23:24:55Z</dcterms:modified>
</cp:coreProperties>
</file>