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020" w:right="192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UPJOHN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00"/>
          </w:cols>
          <w:pgMar w:left="440" w:top="362"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sectPr>
          <w:pgSz w:w="11900" w:h="16838" w:orient="portrait"/>
          <w:cols w:equalWidth="0" w:num="2">
            <w:col w:w="7180" w:space="720"/>
            <w:col w:w="3000"/>
          </w:cols>
          <w:pgMar w:left="440" w:top="362" w:right="55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520" w:space="720"/>
            <w:col w:w="3660"/>
          </w:cols>
          <w:pgMar w:left="440" w:top="362" w:right="559" w:bottom="1440" w:gutter="0" w:footer="0" w:header="0"/>
          <w:type w:val="continuous"/>
        </w:sectPr>
      </w:pP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235 East 42nd Street, New York, New York 10017</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3"/>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040" w:type="dxa"/>
            <w:vAlign w:val="bottom"/>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60" w:type="dxa"/>
            <w:vAlign w:val="bottom"/>
          </w:tcPr>
          <w:p>
            <w:pPr>
              <w:spacing w:after="0"/>
              <w:rPr>
                <w:sz w:val="15"/>
                <w:szCs w:val="15"/>
                <w:color w:val="auto"/>
              </w:rPr>
            </w:pPr>
          </w:p>
        </w:tc>
      </w:tr>
      <w:tr>
        <w:trPr>
          <w:trHeight w:val="23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par value $</w:t>
            </w:r>
          </w:p>
        </w:tc>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0.01 per share</w:t>
            </w:r>
          </w:p>
        </w:tc>
        <w:tc>
          <w:tcPr>
            <w:tcW w:w="3820" w:type="dxa"/>
            <w:vAlign w:val="bottom"/>
            <w:gridSpan w:val="3"/>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 333-234337</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440" w:top="362"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Description of Securities To Be Registered.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description of the common stock, par value $0.01 per share (the “Common Stock”), of Upjohn Inc., a Delaware corporation (the “Registrant”), is set forth under the caption “Description of Newco Capital Stock” contained in the Registrant’s Registration Statement on Form S-4 (File No. 333-234337), initially filed with the U.S. Securities and Exchange Commission (the “SEC”) on October 25, 2019, as amended by amendments to such Registration Statement filed on December 13, 2019, January 21, 2020 and February 6, 2020, and declared effective by the SEC on February 13, 2020, which description is incorporated herein by reference. The description of the Common Stock included in any form of prospectus subsequently filed by the Registrant pursuant to Rule 424(b) under the Securities Act of 1933, as amended, shall also be deemed to be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will be renamed “Viatris Inc.” in connection with the proposed business combination of the Registrant and Mylan N.V.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60"/>
          </w:cols>
          <w:pgMar w:left="440" w:top="266" w:right="49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UPJOHN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Goettler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sectPr>
      <w:pgSz w:w="11900" w:h="16838" w:orient="portrait"/>
      <w:cols w:equalWidth="0" w:num="1">
        <w:col w:w="10520"/>
      </w:cols>
      <w:pgMar w:left="440" w:top="26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2020-11-10T15:16:06Z</dcterms:created>
  <dcterms:modified xsi:type="dcterms:W3CDTF">2020-11-10T15:16:06Z</dcterms:modified>
</cp:coreProperties>
</file>