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2022x3_10ka_100-regcov_pg1"/>
        <w:bookmarkStart w:id="1" w:name="ny20042022x3_10ka.htm"/>
        <w:bookmarkStart w:id="2" w:name="ksny20042022x3_10k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Arial;Helvetica;sans-serif" w:hAnsi="Arial;Helvetica;sans-serif"/>
          <w:b/>
          <w:color w:val="404040"/>
          <w:sz w:val="24"/>
        </w:rPr>
      </w:pPr>
      <w:r>
        <w:rPr>
          <w:rFonts w:ascii="Arial;Helvetica;sans-serif" w:hAnsi="Arial;Helvetica;sans-serif"/>
          <w:b/>
          <w:color w:val="404040"/>
          <w:sz w:val="24"/>
        </w:rPr>
        <w:t xml:space="preserve">UNITED STATES </w:t>
      </w:r>
    </w:p>
    <w:p>
      <w:pPr>
        <w:pStyle w:val="TextBody"/>
        <w:bidi w:val="0"/>
        <w:spacing w:before="0" w:after="283"/>
        <w:jc w:val="center"/>
        <w:rPr>
          <w:rFonts w:ascii="Arial;Helvetica;sans-serif" w:hAnsi="Arial;Helvetica;sans-serif"/>
          <w:b/>
          <w:color w:val="404040"/>
          <w:sz w:val="24"/>
        </w:rPr>
      </w:pPr>
      <w:r>
        <w:rPr>
          <w:rFonts w:ascii="Arial;Helvetica;sans-serif" w:hAnsi="Arial;Helvetica;sans-serif"/>
          <w:b/>
          <w:color w:val="404040"/>
          <w:sz w:val="24"/>
        </w:rPr>
        <w:t xml:space="preserve">SECURITIES AND EXCHANGE COMMISSION </w:t>
      </w:r>
    </w:p>
    <w:p>
      <w:pPr>
        <w:pStyle w:val="TextBody"/>
        <w:bidi w:val="0"/>
        <w:spacing w:before="0" w:after="283"/>
        <w:jc w:val="center"/>
        <w:rPr>
          <w:rFonts w:ascii="Arial;Helvetica;sans-serif" w:hAnsi="Arial;Helvetica;sans-serif"/>
          <w:b/>
          <w:color w:val="404040"/>
          <w:sz w:val="24"/>
        </w:rPr>
      </w:pPr>
      <w:r>
        <w:rPr>
          <w:rFonts w:ascii="Arial;Helvetica;sans-serif" w:hAnsi="Arial;Helvetica;sans-serif"/>
          <w:b/>
          <w:color w:val="404040"/>
          <w:sz w:val="24"/>
        </w:rPr>
        <w:t>Washington, D.C. 20549</w:t>
      </w:r>
    </w:p>
    <w:p>
      <w:pPr>
        <w:pStyle w:val="TextBody"/>
        <w:bidi w:val="0"/>
        <w:spacing w:before="110" w:after="283"/>
        <w:jc w:val="center"/>
        <w:rPr>
          <w:rFonts w:ascii="Arial;Helvetica;sans-serif" w:hAnsi="Arial;Helvetica;sans-serif"/>
          <w:b/>
          <w:color w:val="404040"/>
          <w:sz w:val="32"/>
        </w:rPr>
      </w:pPr>
      <w:r>
        <w:rPr>
          <w:rFonts w:ascii="Arial;Helvetica;sans-serif" w:hAnsi="Arial;Helvetica;sans-serif"/>
          <w:b/>
          <w:color w:val="404040"/>
          <w:sz w:val="32"/>
        </w:rPr>
        <w:t>FORM 10-K/A</w:t>
      </w:r>
    </w:p>
    <w:p>
      <w:pPr>
        <w:pStyle w:val="TextBody"/>
        <w:bidi w:val="0"/>
        <w:spacing w:before="0" w:after="283"/>
        <w:jc w:val="center"/>
        <w:rPr>
          <w:rFonts w:ascii="Arial;Helvetica;sans-serif" w:hAnsi="Arial;Helvetica;sans-serif"/>
          <w:b/>
          <w:color w:val="404040"/>
          <w:sz w:val="20"/>
        </w:rPr>
      </w:pPr>
      <w:r>
        <w:rPr>
          <w:rFonts w:ascii="Arial;Helvetica;sans-serif" w:hAnsi="Arial;Helvetica;sans-serif"/>
          <w:b/>
          <w:color w:val="404040"/>
          <w:sz w:val="20"/>
        </w:rPr>
        <w:t xml:space="preserve">(Amendment No. 1) </w:t>
      </w:r>
    </w:p>
    <w:tbl>
      <w:tblPr>
        <w:tblW w:w="8290" w:type="dxa"/>
        <w:jc w:val="left"/>
        <w:tblInd w:w="0" w:type="dxa"/>
        <w:tblLayout w:type="fixed"/>
        <w:tblCellMar>
          <w:top w:w="0" w:type="dxa"/>
          <w:left w:w="0" w:type="dxa"/>
          <w:bottom w:w="0" w:type="dxa"/>
          <w:right w:w="0" w:type="dxa"/>
        </w:tblCellMar>
      </w:tblPr>
      <w:tblGrid>
        <w:gridCol w:w="260"/>
        <w:gridCol w:w="8030"/>
      </w:tblGrid>
      <w:tr>
        <w:trPr/>
        <w:tc>
          <w:tcPr>
            <w:tcW w:w="260" w:type="dxa"/>
            <w:tcBorders/>
            <w:vAlign w:val="center"/>
          </w:tcPr>
          <w:p>
            <w:pPr>
              <w:pStyle w:val="TableContents"/>
              <w:bidi w:val="0"/>
              <w:spacing w:before="0" w:after="0"/>
              <w:jc w:val="left"/>
              <w:rPr>
                <w:color w:val="404040"/>
              </w:rPr>
            </w:pPr>
            <w:r>
              <w:rPr>
                <w:color w:val="404040"/>
              </w:rPr>
              <w:t>☑</w:t>
            </w:r>
          </w:p>
        </w:tc>
        <w:tc>
          <w:tcPr>
            <w:tcW w:w="8030" w:type="dxa"/>
            <w:tcBorders/>
            <w:vAlign w:val="center"/>
          </w:tcPr>
          <w:p>
            <w:pPr>
              <w:pStyle w:val="TableContents"/>
              <w:bidi w:val="0"/>
              <w:spacing w:before="0" w:after="0"/>
              <w:jc w:val="left"/>
              <w:rPr>
                <w:rFonts w:ascii="Arial;Helvetica;sans-serif" w:hAnsi="Arial;Helvetica;sans-serif"/>
                <w:b/>
                <w:color w:val="404040"/>
                <w:sz w:val="19"/>
              </w:rPr>
            </w:pPr>
            <w:r>
              <w:rPr>
                <w:rFonts w:ascii="Arial;Helvetica;sans-serif" w:hAnsi="Arial;Helvetica;sans-serif"/>
                <w:b/>
                <w:color w:val="404040"/>
                <w:sz w:val="19"/>
              </w:rPr>
              <w:t xml:space="preserve">Annual Report pursuant to Section 13 or 15(d) of the Securities Exchange Act of 1934 </w:t>
            </w:r>
          </w:p>
        </w:tc>
      </w:tr>
    </w:tbl>
    <w:p>
      <w:pPr>
        <w:pStyle w:val="TextBody"/>
        <w:bidi w:val="0"/>
        <w:spacing w:before="0" w:after="283"/>
        <w:ind w:left="400" w:right="0" w:hanging="0"/>
        <w:jc w:val="left"/>
        <w:rPr>
          <w:rFonts w:ascii="Arial;Helvetica;sans-serif" w:hAnsi="Arial;Helvetica;sans-serif"/>
          <w:color w:val="404040"/>
          <w:sz w:val="19"/>
        </w:rPr>
      </w:pPr>
      <w:r>
        <w:rPr>
          <w:rFonts w:ascii="Arial;Helvetica;sans-serif" w:hAnsi="Arial;Helvetica;sans-serif"/>
          <w:b/>
          <w:color w:val="404040"/>
          <w:sz w:val="19"/>
        </w:rPr>
        <w:t>For the Fiscal Year Ended December 31, 2024</w:t>
      </w:r>
      <w:r>
        <w:rPr>
          <w:rFonts w:ascii="Arial;Helvetica;sans-serif" w:hAnsi="Arial;Helvetica;sans-serif"/>
          <w:color w:val="404040"/>
          <w:sz w:val="19"/>
        </w:rPr>
        <w:t xml:space="preserve"> </w:t>
      </w:r>
    </w:p>
    <w:p>
      <w:pPr>
        <w:pStyle w:val="TextBody"/>
        <w:bidi w:val="0"/>
        <w:spacing w:before="50" w:after="283"/>
        <w:jc w:val="center"/>
        <w:rPr>
          <w:rFonts w:ascii="Arial;Helvetica;sans-serif" w:hAnsi="Arial;Helvetica;sans-serif"/>
          <w:b/>
          <w:color w:val="404040"/>
          <w:sz w:val="19"/>
        </w:rPr>
      </w:pPr>
      <w:r>
        <w:rPr>
          <w:rFonts w:ascii="Arial;Helvetica;sans-serif" w:hAnsi="Arial;Helvetica;sans-serif"/>
          <w:b/>
          <w:color w:val="404040"/>
          <w:sz w:val="19"/>
        </w:rPr>
        <w:t xml:space="preserve">OR </w:t>
      </w:r>
    </w:p>
    <w:tbl>
      <w:tblPr>
        <w:tblW w:w="8575" w:type="dxa"/>
        <w:jc w:val="left"/>
        <w:tblInd w:w="0" w:type="dxa"/>
        <w:tblLayout w:type="fixed"/>
        <w:tblCellMar>
          <w:top w:w="0" w:type="dxa"/>
          <w:left w:w="0" w:type="dxa"/>
          <w:bottom w:w="0" w:type="dxa"/>
          <w:right w:w="0" w:type="dxa"/>
        </w:tblCellMar>
      </w:tblPr>
      <w:tblGrid>
        <w:gridCol w:w="260"/>
        <w:gridCol w:w="8315"/>
      </w:tblGrid>
      <w:tr>
        <w:trPr/>
        <w:tc>
          <w:tcPr>
            <w:tcW w:w="260" w:type="dxa"/>
            <w:tcBorders/>
            <w:vAlign w:val="center"/>
          </w:tcPr>
          <w:p>
            <w:pPr>
              <w:pStyle w:val="TableContents"/>
              <w:bidi w:val="0"/>
              <w:spacing w:before="0" w:after="0"/>
              <w:jc w:val="left"/>
              <w:rPr>
                <w:color w:val="404040"/>
              </w:rPr>
            </w:pPr>
            <w:r>
              <w:rPr>
                <w:color w:val="404040"/>
              </w:rPr>
              <w:t>☐</w:t>
            </w:r>
          </w:p>
        </w:tc>
        <w:tc>
          <w:tcPr>
            <w:tcW w:w="8315" w:type="dxa"/>
            <w:tcBorders/>
            <w:vAlign w:val="center"/>
          </w:tcPr>
          <w:p>
            <w:pPr>
              <w:pStyle w:val="TableContents"/>
              <w:bidi w:val="0"/>
              <w:spacing w:before="0" w:after="0"/>
              <w:jc w:val="left"/>
              <w:rPr>
                <w:rFonts w:ascii="Arial;Helvetica;sans-serif" w:hAnsi="Arial;Helvetica;sans-serif"/>
                <w:b/>
                <w:color w:val="404040"/>
                <w:sz w:val="19"/>
              </w:rPr>
            </w:pPr>
            <w:r>
              <w:rPr>
                <w:rFonts w:ascii="Arial;Helvetica;sans-serif" w:hAnsi="Arial;Helvetica;sans-serif"/>
                <w:b/>
                <w:color w:val="404040"/>
                <w:sz w:val="19"/>
              </w:rPr>
              <w:t xml:space="preserve">Transition Report pursuant to Section 13 or 15(d) of the Securities Exchange Act of 1934 </w:t>
            </w:r>
          </w:p>
        </w:tc>
      </w:tr>
    </w:tbl>
    <w:p>
      <w:pPr>
        <w:pStyle w:val="TextBody"/>
        <w:bidi w:val="0"/>
        <w:spacing w:before="0" w:after="283"/>
        <w:ind w:left="400" w:right="0" w:hanging="0"/>
        <w:jc w:val="left"/>
        <w:rPr>
          <w:rFonts w:ascii="Arial;Helvetica;sans-serif" w:hAnsi="Arial;Helvetica;sans-serif"/>
          <w:b/>
          <w:color w:val="404040"/>
          <w:sz w:val="19"/>
        </w:rPr>
      </w:pPr>
      <w:r>
        <w:rPr>
          <w:rFonts w:ascii="Arial;Helvetica;sans-serif" w:hAnsi="Arial;Helvetica;sans-serif"/>
          <w:b/>
          <w:color w:val="404040"/>
          <w:sz w:val="19"/>
        </w:rPr>
        <w:t xml:space="preserve">For the transition period from     to     </w:t>
      </w:r>
    </w:p>
    <w:p>
      <w:pPr>
        <w:pStyle w:val="TextBody"/>
        <w:bidi w:val="0"/>
        <w:spacing w:before="40" w:after="283"/>
        <w:jc w:val="center"/>
        <w:rPr>
          <w:rFonts w:ascii="Arial;Helvetica;sans-serif" w:hAnsi="Arial;Helvetica;sans-serif"/>
          <w:b/>
          <w:color w:val="404040"/>
          <w:sz w:val="18"/>
        </w:rPr>
      </w:pPr>
      <w:r>
        <w:rPr>
          <w:rFonts w:ascii="Arial;Helvetica;sans-serif" w:hAnsi="Arial;Helvetica;sans-serif"/>
          <w:b/>
          <w:color w:val="404040"/>
          <w:sz w:val="18"/>
        </w:rPr>
        <w:t xml:space="preserve">Commission file number 001-39695 </w:t>
      </w:r>
    </w:p>
    <w:p>
      <w:pPr>
        <w:pStyle w:val="TextBody"/>
        <w:bidi w:val="0"/>
        <w:spacing w:before="120" w:after="283"/>
        <w:jc w:val="center"/>
        <w:rPr>
          <w:rFonts w:ascii="Arial;Helvetica;sans-serif" w:hAnsi="Arial;Helvetica;sans-serif"/>
          <w:b/>
          <w:color w:val="404040"/>
          <w:sz w:val="44"/>
        </w:rPr>
      </w:pPr>
      <w:r>
        <w:rPr>
          <w:rFonts w:ascii="Arial;Helvetica;sans-serif" w:hAnsi="Arial;Helvetica;sans-serif"/>
          <w:b/>
          <w:color w:val="404040"/>
          <w:sz w:val="44"/>
        </w:rPr>
        <w:t>VIATRIS INC.</w:t>
      </w:r>
    </w:p>
    <w:p>
      <w:pPr>
        <w:pStyle w:val="TextBody"/>
        <w:bidi w:val="0"/>
        <w:spacing w:before="0" w:after="283"/>
        <w:jc w:val="center"/>
        <w:rPr>
          <w:rFonts w:ascii="Arial;Helvetica;sans-serif" w:hAnsi="Arial;Helvetica;sans-serif"/>
          <w:b/>
          <w:color w:val="404040"/>
          <w:sz w:val="18"/>
        </w:rPr>
      </w:pPr>
      <w:r>
        <w:rPr>
          <w:rFonts w:ascii="Arial;Helvetica;sans-serif" w:hAnsi="Arial;Helvetica;sans-serif"/>
          <w:b w:val="false"/>
          <w:i/>
          <w:color w:val="404040"/>
          <w:sz w:val="18"/>
        </w:rPr>
        <w:t>(Exact name of registrant as specified in its charter)</w:t>
      </w:r>
      <w:r>
        <w:rPr>
          <w:rFonts w:ascii="Arial;Helvetica;sans-serif" w:hAnsi="Arial;Helvetica;sans-serif"/>
          <w:b/>
          <w:color w:val="404040"/>
          <w:sz w:val="18"/>
        </w:rPr>
        <w:t xml:space="preserve"> </w:t>
      </w:r>
    </w:p>
    <w:tbl>
      <w:tblPr>
        <w:tblW w:w="8030" w:type="dxa"/>
        <w:jc w:val="left"/>
        <w:tblInd w:w="0" w:type="dxa"/>
        <w:tblLayout w:type="fixed"/>
        <w:tblCellMar>
          <w:top w:w="0" w:type="dxa"/>
          <w:left w:w="0" w:type="dxa"/>
          <w:bottom w:w="0" w:type="dxa"/>
          <w:right w:w="0" w:type="dxa"/>
        </w:tblCellMar>
      </w:tblPr>
      <w:tblGrid>
        <w:gridCol w:w="4805"/>
        <w:gridCol w:w="170"/>
        <w:gridCol w:w="170"/>
        <w:gridCol w:w="2885"/>
      </w:tblGrid>
      <w:tr>
        <w:trPr/>
        <w:tc>
          <w:tcPr>
            <w:tcW w:w="4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r>
        <w:trPr/>
        <w:tc>
          <w:tcPr>
            <w:tcW w:w="4805" w:type="dxa"/>
            <w:tcBorders/>
            <w:vAlign w:val="center"/>
          </w:tcPr>
          <w:p>
            <w:pPr>
              <w:pStyle w:val="TableContents"/>
              <w:bidi w:val="0"/>
              <w:spacing w:before="0" w:after="283"/>
              <w:jc w:val="center"/>
              <w:rPr>
                <w:rFonts w:ascii="Arial;Helvetica;sans-serif" w:hAnsi="Arial;Helvetica;sans-serif"/>
                <w:b/>
                <w:color w:val="404040"/>
                <w:sz w:val="19"/>
              </w:rPr>
            </w:pPr>
            <w:r>
              <w:rPr>
                <w:rFonts w:ascii="Arial;Helvetica;sans-serif" w:hAnsi="Arial;Helvetica;sans-serif"/>
                <w:b/>
                <w:color w:val="404040"/>
                <w:sz w:val="19"/>
              </w:rPr>
              <w:t>Delaware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jc w:val="center"/>
              <w:rPr>
                <w:rFonts w:ascii="Arial;Helvetica;sans-serif" w:hAnsi="Arial;Helvetica;sans-serif"/>
                <w:b/>
                <w:color w:val="404040"/>
                <w:sz w:val="19"/>
              </w:rPr>
            </w:pPr>
            <w:r>
              <w:rPr>
                <w:rFonts w:ascii="Arial;Helvetica;sans-serif" w:hAnsi="Arial;Helvetica;sans-serif"/>
                <w:b/>
                <w:color w:val="404040"/>
                <w:sz w:val="19"/>
              </w:rPr>
              <w:t xml:space="preserve">83-4364296 </w:t>
            </w:r>
          </w:p>
        </w:tc>
      </w:tr>
      <w:tr>
        <w:trPr/>
        <w:tc>
          <w:tcPr>
            <w:tcW w:w="4805" w:type="dxa"/>
            <w:tcBorders/>
            <w:vAlign w:val="center"/>
          </w:tcPr>
          <w:p>
            <w:pPr>
              <w:pStyle w:val="TableContents"/>
              <w:bidi w:val="0"/>
              <w:spacing w:before="0" w:after="283"/>
              <w:jc w:val="center"/>
              <w:rPr>
                <w:rFonts w:ascii="Arial;Helvetica;sans-serif" w:hAnsi="Arial;Helvetica;sans-serif"/>
                <w:i/>
                <w:color w:val="404040"/>
                <w:sz w:val="18"/>
              </w:rPr>
            </w:pPr>
            <w:r>
              <w:rPr>
                <w:rFonts w:ascii="Arial;Helvetica;sans-serif" w:hAnsi="Arial;Helvetica;sans-serif"/>
                <w:i/>
                <w:color w:val="404040"/>
                <w:sz w:val="18"/>
              </w:rPr>
              <w:t>(State or other jurisdiction of incorporation or organization)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jc w:val="center"/>
              <w:rPr>
                <w:rFonts w:ascii="Arial;Helvetica;sans-serif" w:hAnsi="Arial;Helvetica;sans-serif"/>
                <w:i/>
                <w:color w:val="404040"/>
                <w:sz w:val="18"/>
              </w:rPr>
            </w:pPr>
            <w:r>
              <w:rPr>
                <w:rFonts w:ascii="Arial;Helvetica;sans-serif" w:hAnsi="Arial;Helvetica;sans-serif"/>
                <w:i/>
                <w:color w:val="404040"/>
                <w:sz w:val="18"/>
              </w:rPr>
              <w:t>(I.R.S. Employer Identification No.)</w:t>
            </w:r>
          </w:p>
        </w:tc>
      </w:tr>
      <w:tr>
        <w:trPr/>
        <w:tc>
          <w:tcPr>
            <w:tcW w:w="4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bl>
    <w:p>
      <w:pPr>
        <w:pStyle w:val="TextBody"/>
        <w:bidi w:val="0"/>
        <w:spacing w:before="40" w:after="283"/>
        <w:jc w:val="center"/>
        <w:rPr>
          <w:rFonts w:ascii="Arial;Helvetica;sans-serif" w:hAnsi="Arial;Helvetica;sans-serif"/>
          <w:b/>
          <w:color w:val="404040"/>
          <w:sz w:val="19"/>
        </w:rPr>
      </w:pPr>
      <w:r>
        <w:rPr>
          <w:rFonts w:ascii="Arial;Helvetica;sans-serif" w:hAnsi="Arial;Helvetica;sans-serif"/>
          <w:b/>
          <w:color w:val="404040"/>
          <w:sz w:val="19"/>
        </w:rPr>
        <w:t xml:space="preserve">1000 Mylan Boulevard, Canonsburg, Pennsylvania, 15317 </w:t>
      </w:r>
    </w:p>
    <w:p>
      <w:pPr>
        <w:pStyle w:val="TextBody"/>
        <w:bidi w:val="0"/>
        <w:spacing w:before="40" w:after="283"/>
        <w:jc w:val="center"/>
        <w:rPr>
          <w:rFonts w:ascii="Arial;Helvetica;sans-serif" w:hAnsi="Arial;Helvetica;sans-serif"/>
          <w:b/>
          <w:color w:val="404040"/>
          <w:sz w:val="18"/>
        </w:rPr>
      </w:pPr>
      <w:r>
        <w:rPr>
          <w:rFonts w:ascii="Arial;Helvetica;sans-serif" w:hAnsi="Arial;Helvetica;sans-serif"/>
          <w:b w:val="false"/>
          <w:i/>
          <w:color w:val="404040"/>
          <w:sz w:val="18"/>
        </w:rPr>
        <w:t>(Address of principal executive offices) (Zip Code)</w:t>
      </w:r>
      <w:r>
        <w:rPr>
          <w:rFonts w:ascii="Arial;Helvetica;sans-serif" w:hAnsi="Arial;Helvetica;sans-serif"/>
          <w:b/>
          <w:color w:val="404040"/>
          <w:sz w:val="18"/>
        </w:rPr>
        <w:t xml:space="preserve"> </w:t>
      </w:r>
    </w:p>
    <w:p>
      <w:pPr>
        <w:pStyle w:val="TextBody"/>
        <w:bidi w:val="0"/>
        <w:spacing w:before="40" w:after="283"/>
        <w:jc w:val="center"/>
        <w:rPr>
          <w:rFonts w:ascii="Arial;Helvetica;sans-serif" w:hAnsi="Arial;Helvetica;sans-serif"/>
          <w:b/>
          <w:color w:val="404040"/>
          <w:sz w:val="19"/>
        </w:rPr>
      </w:pPr>
      <w:r>
        <w:rPr>
          <w:rFonts w:ascii="Arial;Helvetica;sans-serif" w:hAnsi="Arial;Helvetica;sans-serif"/>
          <w:b/>
          <w:color w:val="404040"/>
          <w:sz w:val="19"/>
        </w:rPr>
        <w:t xml:space="preserve">(724) 514-1800 </w:t>
      </w:r>
    </w:p>
    <w:p>
      <w:pPr>
        <w:pStyle w:val="TextBody"/>
        <w:bidi w:val="0"/>
        <w:spacing w:before="40" w:after="283"/>
        <w:jc w:val="center"/>
        <w:rPr>
          <w:rFonts w:ascii="Arial;Helvetica;sans-serif" w:hAnsi="Arial;Helvetica;sans-serif"/>
          <w:b/>
          <w:color w:val="404040"/>
          <w:sz w:val="18"/>
        </w:rPr>
      </w:pPr>
      <w:r>
        <w:rPr>
          <w:rFonts w:ascii="Arial;Helvetica;sans-serif" w:hAnsi="Arial;Helvetica;sans-serif"/>
          <w:b w:val="false"/>
          <w:i/>
          <w:color w:val="404040"/>
          <w:sz w:val="18"/>
        </w:rPr>
        <w:t>(Registrant’s telephone number, including area code)</w:t>
      </w:r>
      <w:r>
        <w:rPr>
          <w:rFonts w:ascii="Arial;Helvetica;sans-serif" w:hAnsi="Arial;Helvetica;sans-serif"/>
          <w:b/>
          <w:color w:val="404040"/>
          <w:sz w:val="18"/>
        </w:rPr>
        <w:t xml:space="preserve"> </w:t>
      </w:r>
    </w:p>
    <w:p>
      <w:pPr>
        <w:pStyle w:val="TextBody"/>
        <w:bidi w:val="0"/>
        <w:spacing w:before="120" w:after="283"/>
        <w:ind w:left="0" w:right="0" w:hanging="0"/>
        <w:jc w:val="left"/>
        <w:rPr>
          <w:rFonts w:ascii="Arial;Helvetica;sans-serif" w:hAnsi="Arial;Helvetica;sans-serif"/>
          <w:b/>
          <w:color w:val="404040"/>
          <w:sz w:val="19"/>
        </w:rPr>
      </w:pPr>
      <w:r>
        <w:rPr>
          <w:rFonts w:ascii="Arial;Helvetica;sans-serif" w:hAnsi="Arial;Helvetica;sans-serif"/>
          <w:b/>
          <w:color w:val="404040"/>
          <w:sz w:val="19"/>
        </w:rPr>
        <w:t xml:space="preserve">Securities registered pursuant to Section 12(b) of the Act: </w:t>
      </w:r>
    </w:p>
    <w:tbl>
      <w:tblPr>
        <w:tblW w:w="9755" w:type="dxa"/>
        <w:jc w:val="left"/>
        <w:tblInd w:w="0" w:type="dxa"/>
        <w:tblLayout w:type="fixed"/>
        <w:tblCellMar>
          <w:top w:w="0" w:type="dxa"/>
          <w:left w:w="0" w:type="dxa"/>
          <w:bottom w:w="0" w:type="dxa"/>
          <w:right w:w="0" w:type="dxa"/>
        </w:tblCellMar>
      </w:tblPr>
      <w:tblGrid>
        <w:gridCol w:w="3740"/>
        <w:gridCol w:w="170"/>
        <w:gridCol w:w="170"/>
        <w:gridCol w:w="1520"/>
        <w:gridCol w:w="170"/>
        <w:gridCol w:w="170"/>
        <w:gridCol w:w="3815"/>
      </w:tblGrid>
      <w:tr>
        <w:trPr/>
        <w:tc>
          <w:tcPr>
            <w:tcW w:w="3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0"/>
              <w:jc w:val="left"/>
              <w:rPr/>
            </w:pPr>
            <w:r>
              <w:rPr/>
              <w:t> </w:t>
            </w:r>
          </w:p>
        </w:tc>
      </w:tr>
      <w:tr>
        <w:trPr/>
        <w:tc>
          <w:tcPr>
            <w:tcW w:w="3740" w:type="dxa"/>
            <w:tcBorders/>
            <w:vAlign w:val="center"/>
          </w:tcPr>
          <w:p>
            <w:pPr>
              <w:pStyle w:val="TableContents"/>
              <w:bidi w:val="0"/>
              <w:spacing w:before="0" w:after="283"/>
              <w:jc w:val="center"/>
              <w:rPr>
                <w:rFonts w:ascii="Arial;Helvetica;sans-serif" w:hAnsi="Arial;Helvetica;sans-serif"/>
                <w:b/>
                <w:color w:val="404040"/>
                <w:sz w:val="16"/>
              </w:rPr>
            </w:pPr>
            <w:r>
              <w:rPr>
                <w:rFonts w:ascii="Arial;Helvetica;sans-serif" w:hAnsi="Arial;Helvetica;sans-serif"/>
                <w:b/>
                <w:color w:val="404040"/>
                <w:sz w:val="16"/>
              </w:rPr>
              <w:t>Title of Each 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jc w:val="center"/>
              <w:rPr>
                <w:rFonts w:ascii="Arial;Helvetica;sans-serif" w:hAnsi="Arial;Helvetica;sans-serif"/>
                <w:b/>
                <w:color w:val="404040"/>
                <w:sz w:val="16"/>
              </w:rPr>
            </w:pPr>
            <w:r>
              <w:rPr>
                <w:rFonts w:ascii="Arial;Helvetica;sans-serif" w:hAnsi="Arial;Helvetica;sans-serif"/>
                <w:b/>
                <w:color w:val="404040"/>
                <w:sz w:val="16"/>
              </w:rPr>
              <w:t>Trading Symbol(s)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jc w:val="center"/>
              <w:rPr>
                <w:rFonts w:ascii="Arial;Helvetica;sans-serif" w:hAnsi="Arial;Helvetica;sans-serif"/>
                <w:b/>
                <w:color w:val="404040"/>
                <w:sz w:val="16"/>
              </w:rPr>
            </w:pPr>
            <w:r>
              <w:rPr>
                <w:rFonts w:ascii="Arial;Helvetica;sans-serif" w:hAnsi="Arial;Helvetica;sans-serif"/>
                <w:b/>
                <w:color w:val="404040"/>
                <w:sz w:val="16"/>
              </w:rPr>
              <w:t xml:space="preserve">Name of Each Exchange on Which Registered: </w:t>
            </w:r>
          </w:p>
        </w:tc>
      </w:tr>
      <w:tr>
        <w:trPr/>
        <w:tc>
          <w:tcPr>
            <w:tcW w:w="3740" w:type="dxa"/>
            <w:tcBorders/>
            <w:vAlign w:val="center"/>
          </w:tcPr>
          <w:p>
            <w:pPr>
              <w:pStyle w:val="TableContents"/>
              <w:bidi w:val="0"/>
              <w:spacing w:before="0" w:after="283"/>
              <w:jc w:val="center"/>
              <w:rPr>
                <w:rFonts w:ascii="Arial;Helvetica;sans-serif" w:hAnsi="Arial;Helvetica;sans-serif"/>
                <w:color w:val="404040"/>
                <w:sz w:val="19"/>
              </w:rPr>
            </w:pPr>
            <w:r>
              <w:rPr>
                <w:rFonts w:ascii="Arial;Helvetica;sans-serif" w:hAnsi="Arial;Helvetica;sans-serif"/>
                <w:color w:val="404040"/>
                <w:sz w:val="19"/>
              </w:rPr>
              <w:t>Common Stock, par value $0.01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jc w:val="center"/>
              <w:rPr>
                <w:rFonts w:ascii="Arial;Helvetica;sans-serif" w:hAnsi="Arial;Helvetica;sans-serif"/>
                <w:color w:val="404040"/>
                <w:sz w:val="19"/>
              </w:rPr>
            </w:pPr>
            <w:r>
              <w:rPr>
                <w:rFonts w:ascii="Arial;Helvetica;sans-serif" w:hAnsi="Arial;Helvetica;sans-serif"/>
                <w:color w:val="404040"/>
                <w:sz w:val="19"/>
              </w:rPr>
              <w:t>VTRS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jc w:val="center"/>
              <w:rPr>
                <w:rFonts w:ascii="Arial;Helvetica;sans-serif" w:hAnsi="Arial;Helvetica;sans-serif"/>
                <w:color w:val="404040"/>
                <w:sz w:val="19"/>
              </w:rPr>
            </w:pPr>
            <w:r>
              <w:rPr>
                <w:rFonts w:ascii="Arial;Helvetica;sans-serif" w:hAnsi="Arial;Helvetica;sans-serif"/>
                <w:color w:val="404040"/>
                <w:sz w:val="19"/>
              </w:rPr>
              <w:t>The NASDAQ Stock Market</w:t>
            </w:r>
          </w:p>
        </w:tc>
      </w:tr>
      <w:tr>
        <w:trPr/>
        <w:tc>
          <w:tcPr>
            <w:tcW w:w="3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0"/>
              <w:jc w:val="left"/>
              <w:rPr/>
            </w:pPr>
            <w:r>
              <w:rPr/>
              <w:t> </w:t>
            </w:r>
          </w:p>
        </w:tc>
      </w:tr>
    </w:tbl>
    <w:p>
      <w:pPr>
        <w:pStyle w:val="TextBody"/>
        <w:bidi w:val="0"/>
        <w:spacing w:before="40" w:after="283"/>
        <w:ind w:left="0" w:right="0" w:hanging="0"/>
        <w:jc w:val="left"/>
        <w:rPr>
          <w:rFonts w:ascii="Arial;Helvetica;sans-serif" w:hAnsi="Arial;Helvetica;sans-serif"/>
          <w:b/>
          <w:color w:val="404040"/>
          <w:sz w:val="19"/>
        </w:rPr>
      </w:pPr>
      <w:r>
        <w:rPr>
          <w:rFonts w:ascii="Arial;Helvetica;sans-serif" w:hAnsi="Arial;Helvetica;sans-serif"/>
          <w:b/>
          <w:color w:val="404040"/>
          <w:sz w:val="19"/>
        </w:rPr>
        <w:t xml:space="preserve">Securities registered pursuant to Section 12(g) of the Act: None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 xml:space="preserve">Indicate by check mark if the registrant is a well-known seasoned issuer, as defined in Rule 405 of the Securities Act. Yes ☑  No  ☐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Indicate by check mark if the registrant is not required to file reports pursuant to Section 13 or Section 15(d) of the Act. Yes  ☐ No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005"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2375"/>
        <w:gridCol w:w="170"/>
        <w:gridCol w:w="170"/>
        <w:gridCol w:w="36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Arial;Helvetica;sans-serif" w:hAnsi="Arial;Helvetica;sans-serif"/>
                <w:color w:val="404040"/>
                <w:sz w:val="19"/>
              </w:rPr>
            </w:pPr>
            <w:r>
              <w:rPr>
                <w:rFonts w:ascii="Arial;Helvetica;sans-serif" w:hAnsi="Arial;Helvetica;sans-serif"/>
                <w:color w:val="404040"/>
                <w:sz w:val="19"/>
              </w:rPr>
              <w:t>Large accelerated filer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0" w:right="0" w:hanging="0"/>
              <w:jc w:val="left"/>
              <w:rPr>
                <w:rFonts w:ascii="Arial;Helvetica;sans-serif" w:hAnsi="Arial;Helvetica;sans-serif"/>
                <w:color w:val="404040"/>
                <w:sz w:val="19"/>
              </w:rPr>
            </w:pPr>
            <w:r>
              <w:rPr>
                <w:rFonts w:ascii="Arial;Helvetica;sans-serif" w:hAnsi="Arial;Helvetica;sans-serif"/>
                <w:color w:val="404040"/>
                <w:sz w:val="19"/>
              </w:rPr>
              <w:t>Accelerated filer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404040"/>
              </w:rPr>
            </w:pPr>
            <w:r>
              <w:rPr>
                <w:color w:val="404040"/>
              </w:rPr>
              <w:t xml:space="preserve">☐ </w:t>
            </w:r>
          </w:p>
        </w:tc>
      </w:tr>
      <w:tr>
        <w:trPr/>
        <w:tc>
          <w:tcPr>
            <w:tcW w:w="1985" w:type="dxa"/>
            <w:tcBorders/>
            <w:vAlign w:val="center"/>
          </w:tcPr>
          <w:p>
            <w:pPr>
              <w:pStyle w:val="TableContents"/>
              <w:bidi w:val="0"/>
              <w:spacing w:before="0" w:after="283"/>
              <w:ind w:left="0" w:right="0" w:hanging="0"/>
              <w:jc w:val="left"/>
              <w:rPr>
                <w:rFonts w:ascii="Arial;Helvetica;sans-serif" w:hAnsi="Arial;Helvetica;sans-serif"/>
                <w:color w:val="404040"/>
                <w:sz w:val="19"/>
              </w:rPr>
            </w:pPr>
            <w:r>
              <w:rPr>
                <w:rFonts w:ascii="Arial;Helvetica;sans-serif" w:hAnsi="Arial;Helvetica;sans-serif"/>
                <w:color w:val="404040"/>
                <w:sz w:val="19"/>
              </w:rPr>
              <w:t>Non-accelerated filer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0" w:right="0" w:hanging="0"/>
              <w:jc w:val="left"/>
              <w:rPr>
                <w:rFonts w:ascii="Arial;Helvetica;sans-serif" w:hAnsi="Arial;Helvetica;sans-serif"/>
                <w:color w:val="404040"/>
                <w:sz w:val="19"/>
              </w:rPr>
            </w:pPr>
            <w:r>
              <w:rPr>
                <w:rFonts w:ascii="Arial;Helvetica;sans-serif" w:hAnsi="Arial;Helvetica;sans-serif"/>
                <w:color w:val="404040"/>
                <w:sz w:val="19"/>
              </w:rPr>
              <w:t>Smaller reporting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404040"/>
              </w:rPr>
            </w:pPr>
            <w:r>
              <w:rPr>
                <w:color w:val="404040"/>
              </w:rPr>
              <w:t xml:space="preserve">☐ </w:t>
            </w:r>
          </w:p>
        </w:tc>
      </w:tr>
      <w:tr>
        <w:trPr/>
        <w:tc>
          <w:tcPr>
            <w:tcW w:w="1985" w:type="dxa"/>
            <w:tcBorders/>
            <w:vAlign w:val="center"/>
          </w:tcPr>
          <w:p>
            <w:pPr>
              <w:pStyle w:val="TableContents"/>
              <w:bidi w:val="0"/>
              <w:spacing w:before="0" w:after="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0" w:right="0" w:hanging="0"/>
              <w:jc w:val="left"/>
              <w:rPr>
                <w:rFonts w:ascii="Arial;Helvetica;sans-serif" w:hAnsi="Arial;Helvetica;sans-serif"/>
                <w:color w:val="404040"/>
                <w:sz w:val="19"/>
              </w:rPr>
            </w:pPr>
            <w:r>
              <w:rPr>
                <w:rFonts w:ascii="Arial;Helvetica;sans-serif" w:hAnsi="Arial;Helvetica;sans-serif"/>
                <w:color w:val="404040"/>
                <w:sz w:val="19"/>
              </w:rPr>
              <w:t>Emerging growth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404040"/>
              </w:rPr>
            </w:pPr>
            <w:r>
              <w:rPr>
                <w:color w:val="404040"/>
              </w:rPr>
              <w:t>☐</w:t>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r>
    </w:tbl>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40" w:after="283"/>
        <w:ind w:left="0" w:right="0" w:hanging="0"/>
        <w:jc w:val="left"/>
        <w:rPr>
          <w:rFonts w:ascii="Arial;Helvetica;sans-serif" w:hAnsi="Arial;Helvetica;sans-serif"/>
          <w:color w:val="404040"/>
          <w:sz w:val="19"/>
        </w:rPr>
      </w:pPr>
      <w:r>
        <w:rPr>
          <w:rFonts w:ascii="Arial;Helvetica;sans-serif" w:hAnsi="Arial;Helvetica;sans-serif"/>
          <w:color w:val="404040"/>
          <w:sz w:val="19"/>
        </w:rPr>
        <w:t xml:space="preserve">Indicate by check mark whether the registrant is a shell company (as defined in Rule 12b-2 of the Act). Yes  ☐ No ☑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 xml:space="preserve">The aggregate market value of the voting and non-voting common equity held by non-affiliates of the registrant as of June 30, 2024, the last business day of the registrant’s most recently completed second fiscal quarter, was approximately $12,661,582,065. </w:t>
      </w:r>
    </w:p>
    <w:p>
      <w:pPr>
        <w:pStyle w:val="TextBody"/>
        <w:bidi w:val="0"/>
        <w:spacing w:before="40" w:after="283"/>
        <w:ind w:left="0" w:right="0" w:hanging="0"/>
        <w:jc w:val="both"/>
        <w:rPr>
          <w:rFonts w:ascii="Arial;Helvetica;sans-serif" w:hAnsi="Arial;Helvetica;sans-serif"/>
          <w:color w:val="404040"/>
          <w:sz w:val="19"/>
        </w:rPr>
      </w:pPr>
      <w:r>
        <w:rPr>
          <w:rFonts w:ascii="Arial;Helvetica;sans-serif" w:hAnsi="Arial;Helvetica;sans-serif"/>
          <w:color w:val="404040"/>
          <w:sz w:val="19"/>
        </w:rPr>
        <w:t xml:space="preserve">The number of shares of common stock outstanding, par value $0.01 per share, of the registrant as of April 23, 2025 was 1,185,856,452. </w:t>
      </w:r>
    </w:p>
    <w:p>
      <w:pPr>
        <w:pStyle w:val="TextBody"/>
        <w:bidi w:val="0"/>
        <w:spacing w:before="100" w:after="283"/>
        <w:jc w:val="center"/>
        <w:rPr>
          <w:rFonts w:ascii="Arial;Helvetica;sans-serif" w:hAnsi="Arial;Helvetica;sans-serif"/>
          <w:b/>
          <w:color w:val="404040"/>
          <w:sz w:val="20"/>
        </w:rPr>
      </w:pPr>
      <w:r>
        <w:rPr>
          <w:rFonts w:ascii="Arial;Helvetica;sans-serif" w:hAnsi="Arial;Helvetica;sans-serif"/>
          <w:b/>
          <w:color w:val="404040"/>
          <w:sz w:val="20"/>
        </w:rPr>
        <w:t xml:space="preserve">DOCUMENTS INCORPORATED BY REFERENCE </w:t>
      </w:r>
    </w:p>
    <w:p>
      <w:pPr>
        <w:pStyle w:val="TextBody"/>
        <w:bidi w:val="0"/>
        <w:spacing w:before="60" w:after="283"/>
        <w:ind w:left="0" w:right="0" w:hanging="0"/>
        <w:jc w:val="left"/>
        <w:rPr>
          <w:rFonts w:ascii="Arial;Helvetica;sans-serif" w:hAnsi="Arial;Helvetica;sans-serif"/>
          <w:color w:val="404040"/>
          <w:sz w:val="19"/>
        </w:rPr>
      </w:pPr>
      <w:r>
        <w:rPr>
          <w:rFonts w:ascii="Arial;Helvetica;sans-serif" w:hAnsi="Arial;Helvetica;sans-serif"/>
          <w:color w:val="404040"/>
          <w:sz w:val="19"/>
        </w:rPr>
        <w:t xml:space="preserve">None. </w:t>
      </w:r>
    </w:p>
    <w:tbl>
      <w:tblPr>
        <w:tblW w:w="9515" w:type="dxa"/>
        <w:jc w:val="left"/>
        <w:tblInd w:w="0" w:type="dxa"/>
        <w:tblLayout w:type="fixed"/>
        <w:tblCellMar>
          <w:top w:w="0" w:type="dxa"/>
          <w:left w:w="0" w:type="dxa"/>
          <w:bottom w:w="0" w:type="dxa"/>
          <w:right w:w="0" w:type="dxa"/>
        </w:tblCellMar>
      </w:tblPr>
      <w:tblGrid>
        <w:gridCol w:w="3335"/>
        <w:gridCol w:w="170"/>
        <w:gridCol w:w="170"/>
        <w:gridCol w:w="3755"/>
        <w:gridCol w:w="170"/>
        <w:gridCol w:w="170"/>
        <w:gridCol w:w="1745"/>
      </w:tblGrid>
      <w:tr>
        <w:trPr/>
        <w:tc>
          <w:tcPr>
            <w:tcW w:w="3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r>
      <w:tr>
        <w:trPr/>
        <w:tc>
          <w:tcPr>
            <w:tcW w:w="3335" w:type="dxa"/>
            <w:tcBorders/>
            <w:vAlign w:val="center"/>
          </w:tcPr>
          <w:p>
            <w:pPr>
              <w:pStyle w:val="TableContents"/>
              <w:bidi w:val="0"/>
              <w:spacing w:before="0" w:after="283"/>
              <w:ind w:left="0" w:right="0" w:hanging="0"/>
              <w:jc w:val="left"/>
              <w:rPr>
                <w:rFonts w:ascii="Arial;Helvetica;sans-serif" w:hAnsi="Arial;Helvetica;sans-serif"/>
                <w:color w:val="404040"/>
                <w:sz w:val="19"/>
              </w:rPr>
            </w:pPr>
            <w:r>
              <w:rPr>
                <w:rFonts w:ascii="Arial;Helvetica;sans-serif" w:hAnsi="Arial;Helvetica;sans-serif"/>
                <w:color w:val="404040"/>
                <w:sz w:val="19"/>
              </w:rPr>
              <w:t>Auditor Name: Deloitte &amp; Touche LLP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283"/>
              <w:ind w:left="0" w:right="0" w:hanging="0"/>
              <w:jc w:val="left"/>
              <w:rPr>
                <w:rFonts w:ascii="Arial;Helvetica;sans-serif" w:hAnsi="Arial;Helvetica;sans-serif"/>
                <w:color w:val="404040"/>
                <w:sz w:val="19"/>
              </w:rPr>
            </w:pPr>
            <w:r>
              <w:rPr>
                <w:rFonts w:ascii="Arial;Helvetica;sans-serif" w:hAnsi="Arial;Helvetica;sans-serif"/>
                <w:color w:val="404040"/>
                <w:sz w:val="19"/>
              </w:rPr>
              <w:t>Auditor Location: Pittsburgh, Pennsylvania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0" w:right="0" w:hanging="0"/>
              <w:jc w:val="left"/>
              <w:rPr>
                <w:rFonts w:ascii="Arial;Helvetica;sans-serif" w:hAnsi="Arial;Helvetica;sans-serif"/>
                <w:color w:val="404040"/>
                <w:sz w:val="19"/>
              </w:rPr>
            </w:pPr>
            <w:r>
              <w:rPr>
                <w:rFonts w:ascii="Arial;Helvetica;sans-serif" w:hAnsi="Arial;Helvetica;sans-serif"/>
                <w:color w:val="404040"/>
                <w:sz w:val="19"/>
              </w:rPr>
              <w:t>Auditor Firm ID: 34</w:t>
            </w:r>
          </w:p>
        </w:tc>
      </w:tr>
      <w:tr>
        <w:trPr/>
        <w:tc>
          <w:tcPr>
            <w:tcW w:w="3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42022x3_10ka_101-fls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404040"/>
          <w:sz w:val="20"/>
        </w:rPr>
      </w:pPr>
      <w:r>
        <w:rPr>
          <w:rFonts w:ascii="Arial;Helvetica;sans-serif" w:hAnsi="Arial;Helvetica;sans-serif"/>
          <w:b/>
          <w:color w:val="404040"/>
          <w:sz w:val="20"/>
        </w:rPr>
        <w:t xml:space="preserve">EXPLANATORY NOTE </w:t>
      </w:r>
    </w:p>
    <w:p>
      <w:pPr>
        <w:pStyle w:val="TextBody"/>
        <w:bidi w:val="0"/>
        <w:spacing w:lineRule="atLeast" w:line="236" w:before="120" w:after="283"/>
        <w:ind w:left="0" w:right="0" w:hanging="0"/>
        <w:jc w:val="both"/>
        <w:rPr>
          <w:rFonts w:ascii="Arial;Helvetica;sans-serif" w:hAnsi="Arial;Helvetica;sans-serif"/>
          <w:color w:val="404040"/>
          <w:sz w:val="20"/>
        </w:rPr>
      </w:pPr>
      <w:r>
        <w:rPr>
          <w:rFonts w:ascii="Arial;Helvetica;sans-serif" w:hAnsi="Arial;Helvetica;sans-serif"/>
          <w:color w:val="404040"/>
          <w:sz w:val="20"/>
        </w:rPr>
        <w:t>This Amendment No. 1 on Form 10-K/A (this “Amendment”) amends our Annual Report on Form 10-K for the fiscal year ended December 31, 2024, originally filed on February 27, 2025 (the “Original Filing”). We are filing this Amendment to include the information required by Part III and not included in the Original Filing, as we do not intend to file a definitive proxy statement for an annual meeting of shareholders within 120 days of the end of our fiscal year ended December 31, 2024. In addition, in connection with the filing of this Amendment and pursuant to the rules of the Securities and Exchange Commission (the “SEC”), we are including with this Amendment new certifications of our principal executive officer and principal financial officer pursuant to Section 302 of the Sarbanes-Oxley Act of 2002. Item 15 of Part IV has also been amended to reflect the filing of these new certifications. 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w:t>
      </w:r>
    </w:p>
    <w:p>
      <w:pPr>
        <w:pStyle w:val="TextBody"/>
        <w:bidi w:val="0"/>
        <w:spacing w:lineRule="atLeast" w:line="236" w:before="12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As used in this Amendment, unless the context requires otherwise, the “Company”, “Viatris”, “our”, and “we” mean Viatris Inc. and its subsidiaries, “NASDAQ” means The NASDAQ Stock Market, and “U.S. GAAP” means accounting principles generally accepted in the United States (“U.S.”). </w:t>
      </w:r>
    </w:p>
    <w:p>
      <w:pPr>
        <w:pStyle w:val="TextBody"/>
        <w:bidi w:val="0"/>
        <w:spacing w:before="236"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Forward-Looking Statements </w:t>
      </w:r>
    </w:p>
    <w:p>
      <w:pPr>
        <w:pStyle w:val="TextBody"/>
        <w:bidi w:val="0"/>
        <w:spacing w:lineRule="atLeast" w:line="236" w:before="12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This Amendment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and priorities, including but not limited to divestitures, acquisitions, strategic alliances, collaborations, or other potential transactions; the benefits and synergies of such divestitures, acquisitions, strategic alliances, collaborations, 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 </w:t>
            </w:r>
          </w:p>
        </w:tc>
      </w:tr>
    </w:tbl>
    <w:tbl>
      <w:tblPr>
        <w:tblW w:w="6775" w:type="dxa"/>
        <w:jc w:val="left"/>
        <w:tblInd w:w="0" w:type="dxa"/>
        <w:tblLayout w:type="fixed"/>
        <w:tblCellMar>
          <w:top w:w="0" w:type="dxa"/>
          <w:left w:w="0" w:type="dxa"/>
          <w:bottom w:w="0" w:type="dxa"/>
          <w:right w:w="0" w:type="dxa"/>
        </w:tblCellMar>
      </w:tblPr>
      <w:tblGrid>
        <w:gridCol w:w="140"/>
        <w:gridCol w:w="6635"/>
      </w:tblGrid>
      <w:tr>
        <w:trPr/>
        <w:tc>
          <w:tcPr>
            <w:tcW w:w="140" w:type="dxa"/>
            <w:tcBorders/>
            <w:vAlign w:val="center"/>
          </w:tcPr>
          <w:p>
            <w:pPr>
              <w:pStyle w:val="TableContents"/>
              <w:bidi w:val="0"/>
              <w:spacing w:before="0" w:after="0"/>
              <w:jc w:val="left"/>
              <w:rPr>
                <w:color w:val="404040"/>
              </w:rPr>
            </w:pPr>
            <w:r>
              <w:rPr>
                <w:color w:val="404040"/>
              </w:rPr>
              <w:t>•</w:t>
            </w:r>
          </w:p>
        </w:tc>
        <w:tc>
          <w:tcPr>
            <w:tcW w:w="6635"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the ongoing risks and uncertainties associated with our recent divestitures; </w:t>
            </w:r>
          </w:p>
        </w:tc>
      </w:tr>
    </w:tbl>
    <w:tbl>
      <w:tblPr>
        <w:tblW w:w="4375" w:type="dxa"/>
        <w:jc w:val="left"/>
        <w:tblInd w:w="0" w:type="dxa"/>
        <w:tblLayout w:type="fixed"/>
        <w:tblCellMar>
          <w:top w:w="0" w:type="dxa"/>
          <w:left w:w="0" w:type="dxa"/>
          <w:bottom w:w="0" w:type="dxa"/>
          <w:right w:w="0" w:type="dxa"/>
        </w:tblCellMar>
      </w:tblPr>
      <w:tblGrid>
        <w:gridCol w:w="140"/>
        <w:gridCol w:w="4235"/>
      </w:tblGrid>
      <w:tr>
        <w:trPr/>
        <w:tc>
          <w:tcPr>
            <w:tcW w:w="140" w:type="dxa"/>
            <w:tcBorders/>
            <w:vAlign w:val="center"/>
          </w:tcPr>
          <w:p>
            <w:pPr>
              <w:pStyle w:val="TableContents"/>
              <w:bidi w:val="0"/>
              <w:spacing w:before="0" w:after="0"/>
              <w:jc w:val="left"/>
              <w:rPr>
                <w:color w:val="404040"/>
              </w:rPr>
            </w:pPr>
            <w:r>
              <w:rPr>
                <w:color w:val="404040"/>
              </w:rPr>
              <w:t>•</w:t>
            </w:r>
          </w:p>
        </w:tc>
        <w:tc>
          <w:tcPr>
            <w:tcW w:w="4235"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goodwill or impairment charges or other losses; </w:t>
            </w:r>
          </w:p>
        </w:tc>
      </w:tr>
    </w:tbl>
    <w:tbl>
      <w:tblPr>
        <w:tblW w:w="9760" w:type="dxa"/>
        <w:jc w:val="left"/>
        <w:tblInd w:w="0" w:type="dxa"/>
        <w:tblLayout w:type="fixed"/>
        <w:tblCellMar>
          <w:top w:w="0" w:type="dxa"/>
          <w:left w:w="0" w:type="dxa"/>
          <w:bottom w:w="0" w:type="dxa"/>
          <w:right w:w="0" w:type="dxa"/>
        </w:tblCellMar>
      </w:tblPr>
      <w:tblGrid>
        <w:gridCol w:w="140"/>
        <w:gridCol w:w="9620"/>
      </w:tblGrid>
      <w:tr>
        <w:trPr/>
        <w:tc>
          <w:tcPr>
            <w:tcW w:w="140" w:type="dxa"/>
            <w:tcBorders/>
            <w:vAlign w:val="center"/>
          </w:tcPr>
          <w:p>
            <w:pPr>
              <w:pStyle w:val="TableContents"/>
              <w:bidi w:val="0"/>
              <w:spacing w:before="0" w:after="0"/>
              <w:jc w:val="left"/>
              <w:rPr>
                <w:color w:val="404040"/>
              </w:rPr>
            </w:pPr>
            <w:r>
              <w:rPr>
                <w:color w:val="404040"/>
              </w:rPr>
              <w:t>•</w:t>
            </w:r>
          </w:p>
        </w:tc>
        <w:tc>
          <w:tcPr>
            <w:tcW w:w="9620"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the Company’s failure to achieve expected or targeted future financial and operating performance and results;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the potential impact of natural or man-made disasters, public health outbreaks, epidemics, pandemics, or social disruption in regions where we or our partners or suppliers operate; </w:t>
            </w:r>
          </w:p>
        </w:tc>
      </w:tr>
    </w:tbl>
    <w:tbl>
      <w:tblPr>
        <w:tblW w:w="6085" w:type="dxa"/>
        <w:jc w:val="left"/>
        <w:tblInd w:w="0" w:type="dxa"/>
        <w:tblLayout w:type="fixed"/>
        <w:tblCellMar>
          <w:top w:w="0" w:type="dxa"/>
          <w:left w:w="0" w:type="dxa"/>
          <w:bottom w:w="0" w:type="dxa"/>
          <w:right w:w="0" w:type="dxa"/>
        </w:tblCellMar>
      </w:tblPr>
      <w:tblGrid>
        <w:gridCol w:w="140"/>
        <w:gridCol w:w="5945"/>
      </w:tblGrid>
      <w:tr>
        <w:trPr/>
        <w:tc>
          <w:tcPr>
            <w:tcW w:w="140" w:type="dxa"/>
            <w:tcBorders/>
            <w:vAlign w:val="center"/>
          </w:tcPr>
          <w:p>
            <w:pPr>
              <w:pStyle w:val="TableContents"/>
              <w:bidi w:val="0"/>
              <w:spacing w:before="0" w:after="0"/>
              <w:jc w:val="left"/>
              <w:rPr>
                <w:color w:val="404040"/>
              </w:rPr>
            </w:pPr>
            <w:r>
              <w:rPr>
                <w:color w:val="404040"/>
              </w:rPr>
              <w:t>•</w:t>
            </w:r>
          </w:p>
        </w:tc>
        <w:tc>
          <w:tcPr>
            <w:tcW w:w="5945"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actions and decisions of healthcare and pharmaceutical regulators;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changes in relevant laws, regulations, and policies, and/or the application or implementation thereof, including but not limited to tax, healthcare and pharmaceutical laws, regulations, and policies globally; </w:t>
            </w:r>
          </w:p>
        </w:tc>
      </w:tr>
    </w:tbl>
    <w:tbl>
      <w:tblPr>
        <w:tblW w:w="5140" w:type="dxa"/>
        <w:jc w:val="left"/>
        <w:tblInd w:w="0" w:type="dxa"/>
        <w:tblLayout w:type="fixed"/>
        <w:tblCellMar>
          <w:top w:w="0" w:type="dxa"/>
          <w:left w:w="0" w:type="dxa"/>
          <w:bottom w:w="0" w:type="dxa"/>
          <w:right w:w="0" w:type="dxa"/>
        </w:tblCellMar>
      </w:tblPr>
      <w:tblGrid>
        <w:gridCol w:w="140"/>
        <w:gridCol w:w="5000"/>
      </w:tblGrid>
      <w:tr>
        <w:trPr/>
        <w:tc>
          <w:tcPr>
            <w:tcW w:w="140" w:type="dxa"/>
            <w:tcBorders/>
            <w:vAlign w:val="center"/>
          </w:tcPr>
          <w:p>
            <w:pPr>
              <w:pStyle w:val="TableContents"/>
              <w:bidi w:val="0"/>
              <w:spacing w:before="0" w:after="0"/>
              <w:jc w:val="left"/>
              <w:rPr>
                <w:color w:val="404040"/>
              </w:rPr>
            </w:pPr>
            <w:r>
              <w:rPr>
                <w:color w:val="404040"/>
              </w:rPr>
              <w:t>•</w:t>
            </w:r>
          </w:p>
        </w:tc>
        <w:tc>
          <w:tcPr>
            <w:tcW w:w="5000"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the ability to attract, motivate, and retain key personnel; </w:t>
            </w:r>
          </w:p>
        </w:tc>
      </w:tr>
    </w:tbl>
    <w:tbl>
      <w:tblPr>
        <w:tblW w:w="6565" w:type="dxa"/>
        <w:jc w:val="left"/>
        <w:tblInd w:w="0" w:type="dxa"/>
        <w:tblLayout w:type="fixed"/>
        <w:tblCellMar>
          <w:top w:w="0" w:type="dxa"/>
          <w:left w:w="0" w:type="dxa"/>
          <w:bottom w:w="0" w:type="dxa"/>
          <w:right w:w="0" w:type="dxa"/>
        </w:tblCellMar>
      </w:tblPr>
      <w:tblGrid>
        <w:gridCol w:w="140"/>
        <w:gridCol w:w="6425"/>
      </w:tblGrid>
      <w:tr>
        <w:trPr/>
        <w:tc>
          <w:tcPr>
            <w:tcW w:w="140" w:type="dxa"/>
            <w:tcBorders/>
            <w:vAlign w:val="center"/>
          </w:tcPr>
          <w:p>
            <w:pPr>
              <w:pStyle w:val="TableContents"/>
              <w:bidi w:val="0"/>
              <w:spacing w:before="0" w:after="0"/>
              <w:jc w:val="left"/>
              <w:rPr>
                <w:color w:val="404040"/>
              </w:rPr>
            </w:pPr>
            <w:r>
              <w:rPr>
                <w:color w:val="404040"/>
              </w:rPr>
              <w:t>•</w:t>
            </w:r>
          </w:p>
        </w:tc>
        <w:tc>
          <w:tcPr>
            <w:tcW w:w="6425"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the Company’s liquidity, capital resources and ability to obtain financing;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any regulatory, legal, or other impediments to the Company’s ability to bring new products to market, including but not limited to “at-risk launches”;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success of clinical trials and the Company’s or its partners’ ability to execute on new product opportunities and develop, manufacture, and commercialize products; </w:t>
            </w:r>
          </w:p>
        </w:tc>
      </w:tr>
    </w:tbl>
    <w:p>
      <w:pPr>
        <w:pStyle w:val="HorizontalLine"/>
        <w:bidi w:val="0"/>
        <w:spacing w:before="200" w:after="200"/>
        <w:jc w:val="left"/>
        <w:rPr/>
      </w:pPr>
      <w:r>
        <w:rPr/>
      </w:r>
    </w:p>
    <w:p>
      <w:pPr>
        <w:pStyle w:val="TextBody"/>
        <w:bidi w:val="0"/>
        <w:jc w:val="left"/>
        <w:rPr/>
      </w:pPr>
      <w:hyperlink w:anchor="TOC">
        <w:bookmarkStart w:id="4" w:name="ny20042022x3_10ka_101-fls_pg2"/>
        <w:bookmarkEnd w:id="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any changes in or difficulties with the Company’s manufacturing facilities, including with respect to inspections, remediation, and restructuring activities, supply chain or inventory or the ability to meet anticipated demand;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the scope, timing, and outcome of any ongoing legal proceedings, including government inquiries or investigations, and the impact of any such proceedings on the Company; </w:t>
            </w:r>
          </w:p>
        </w:tc>
      </w:tr>
    </w:tbl>
    <w:tbl>
      <w:tblPr>
        <w:tblW w:w="10105" w:type="dxa"/>
        <w:jc w:val="left"/>
        <w:tblInd w:w="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404040"/>
              </w:rPr>
            </w:pPr>
            <w:r>
              <w:rPr>
                <w:color w:val="404040"/>
              </w:rPr>
              <w:t>•</w:t>
            </w:r>
          </w:p>
        </w:tc>
        <w:tc>
          <w:tcPr>
            <w:tcW w:w="99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any significant breach of data security or data privacy or disruptions to our information technology (“IT”) systems; </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404040"/>
              </w:rPr>
            </w:pPr>
            <w:r>
              <w:rPr>
                <w:color w:val="404040"/>
              </w:rPr>
              <w:t>•</w:t>
            </w:r>
          </w:p>
        </w:tc>
        <w:tc>
          <w:tcPr>
            <w:tcW w:w="5285"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risks associated with having significant operations globally; </w:t>
            </w:r>
          </w:p>
        </w:tc>
      </w:tr>
    </w:tbl>
    <w:tbl>
      <w:tblPr>
        <w:tblW w:w="7300" w:type="dxa"/>
        <w:jc w:val="left"/>
        <w:tblInd w:w="0" w:type="dxa"/>
        <w:tblLayout w:type="fixed"/>
        <w:tblCellMar>
          <w:top w:w="0" w:type="dxa"/>
          <w:left w:w="0" w:type="dxa"/>
          <w:bottom w:w="0" w:type="dxa"/>
          <w:right w:w="0" w:type="dxa"/>
        </w:tblCellMar>
      </w:tblPr>
      <w:tblGrid>
        <w:gridCol w:w="140"/>
        <w:gridCol w:w="7160"/>
      </w:tblGrid>
      <w:tr>
        <w:trPr/>
        <w:tc>
          <w:tcPr>
            <w:tcW w:w="140" w:type="dxa"/>
            <w:tcBorders/>
            <w:vAlign w:val="center"/>
          </w:tcPr>
          <w:p>
            <w:pPr>
              <w:pStyle w:val="TableContents"/>
              <w:bidi w:val="0"/>
              <w:spacing w:before="0" w:after="0"/>
              <w:jc w:val="left"/>
              <w:rPr>
                <w:color w:val="404040"/>
              </w:rPr>
            </w:pPr>
            <w:r>
              <w:rPr>
                <w:color w:val="404040"/>
              </w:rPr>
              <w:t>•</w:t>
            </w:r>
          </w:p>
        </w:tc>
        <w:tc>
          <w:tcPr>
            <w:tcW w:w="7160"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the ability to protect intellectual property and preserve intellectual property rights; </w:t>
            </w:r>
          </w:p>
        </w:tc>
      </w:tr>
    </w:tbl>
    <w:tbl>
      <w:tblPr>
        <w:tblW w:w="3370" w:type="dxa"/>
        <w:jc w:val="left"/>
        <w:tblInd w:w="0" w:type="dxa"/>
        <w:tblLayout w:type="fixed"/>
        <w:tblCellMar>
          <w:top w:w="0" w:type="dxa"/>
          <w:left w:w="0" w:type="dxa"/>
          <w:bottom w:w="0" w:type="dxa"/>
          <w:right w:w="0" w:type="dxa"/>
        </w:tblCellMar>
      </w:tblPr>
      <w:tblGrid>
        <w:gridCol w:w="140"/>
        <w:gridCol w:w="3230"/>
      </w:tblGrid>
      <w:tr>
        <w:trPr/>
        <w:tc>
          <w:tcPr>
            <w:tcW w:w="140" w:type="dxa"/>
            <w:tcBorders/>
            <w:vAlign w:val="center"/>
          </w:tcPr>
          <w:p>
            <w:pPr>
              <w:pStyle w:val="TableContents"/>
              <w:bidi w:val="0"/>
              <w:spacing w:before="0" w:after="0"/>
              <w:jc w:val="left"/>
              <w:rPr>
                <w:color w:val="404040"/>
              </w:rPr>
            </w:pPr>
            <w:r>
              <w:rPr>
                <w:color w:val="404040"/>
              </w:rPr>
              <w:t>•</w:t>
            </w:r>
          </w:p>
        </w:tc>
        <w:tc>
          <w:tcPr>
            <w:tcW w:w="3230"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changes in third-party relationships;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the impacts of competition, including decreases in sales or revenues as a result of the loss of market exclusivity for certain products; </w:t>
            </w:r>
          </w:p>
        </w:tc>
      </w:tr>
    </w:tbl>
    <w:tbl>
      <w:tblPr>
        <w:tblW w:w="7315" w:type="dxa"/>
        <w:jc w:val="left"/>
        <w:tblInd w:w="0" w:type="dxa"/>
        <w:tblLayout w:type="fixed"/>
        <w:tblCellMar>
          <w:top w:w="0" w:type="dxa"/>
          <w:left w:w="0" w:type="dxa"/>
          <w:bottom w:w="0" w:type="dxa"/>
          <w:right w:w="0" w:type="dxa"/>
        </w:tblCellMar>
      </w:tblPr>
      <w:tblGrid>
        <w:gridCol w:w="140"/>
        <w:gridCol w:w="7175"/>
      </w:tblGrid>
      <w:tr>
        <w:trPr/>
        <w:tc>
          <w:tcPr>
            <w:tcW w:w="140" w:type="dxa"/>
            <w:tcBorders/>
            <w:vAlign w:val="center"/>
          </w:tcPr>
          <w:p>
            <w:pPr>
              <w:pStyle w:val="TableContents"/>
              <w:bidi w:val="0"/>
              <w:spacing w:before="0" w:after="0"/>
              <w:jc w:val="left"/>
              <w:rPr>
                <w:color w:val="404040"/>
              </w:rPr>
            </w:pPr>
            <w:r>
              <w:rPr>
                <w:color w:val="404040"/>
              </w:rPr>
              <w:t>•</w:t>
            </w:r>
          </w:p>
        </w:tc>
        <w:tc>
          <w:tcPr>
            <w:tcW w:w="7175"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changes in the economic and financial conditions of the Company or its partners; </w:t>
            </w:r>
          </w:p>
        </w:tc>
      </w:tr>
    </w:tbl>
    <w:tbl>
      <w:tblPr>
        <w:tblW w:w="8545" w:type="dxa"/>
        <w:jc w:val="left"/>
        <w:tblInd w:w="0" w:type="dxa"/>
        <w:tblLayout w:type="fixed"/>
        <w:tblCellMar>
          <w:top w:w="0" w:type="dxa"/>
          <w:left w:w="0" w:type="dxa"/>
          <w:bottom w:w="0" w:type="dxa"/>
          <w:right w:w="0" w:type="dxa"/>
        </w:tblCellMar>
      </w:tblPr>
      <w:tblGrid>
        <w:gridCol w:w="140"/>
        <w:gridCol w:w="8405"/>
      </w:tblGrid>
      <w:tr>
        <w:trPr/>
        <w:tc>
          <w:tcPr>
            <w:tcW w:w="140" w:type="dxa"/>
            <w:tcBorders/>
            <w:vAlign w:val="center"/>
          </w:tcPr>
          <w:p>
            <w:pPr>
              <w:pStyle w:val="TableContents"/>
              <w:bidi w:val="0"/>
              <w:spacing w:before="0" w:after="0"/>
              <w:jc w:val="left"/>
              <w:rPr>
                <w:color w:val="404040"/>
              </w:rPr>
            </w:pPr>
            <w:r>
              <w:rPr>
                <w:color w:val="404040"/>
              </w:rPr>
              <w:t>•</w:t>
            </w:r>
          </w:p>
        </w:tc>
        <w:tc>
          <w:tcPr>
            <w:tcW w:w="8405" w:type="dxa"/>
            <w:tcBorders/>
            <w:vAlign w:val="center"/>
          </w:tcPr>
          <w:p>
            <w:pPr>
              <w:pStyle w:val="TableContents"/>
              <w:bidi w:val="0"/>
              <w:spacing w:lineRule="atLeast" w:line="226" w:before="0" w:after="0"/>
              <w:jc w:val="left"/>
              <w:rPr>
                <w:rFonts w:ascii="Arial;Helvetica;sans-serif" w:hAnsi="Arial;Helvetica;sans-serif"/>
                <w:color w:val="404040"/>
                <w:sz w:val="20"/>
              </w:rPr>
            </w:pPr>
            <w:r>
              <w:rPr>
                <w:rFonts w:ascii="Arial;Helvetica;sans-serif" w:hAnsi="Arial;Helvetica;sans-serif"/>
                <w:color w:val="404040"/>
                <w:sz w:val="20"/>
              </w:rPr>
              <w:t xml:space="preserve">uncertainties regarding future demand, pricing, and reimbursement for the Company’s products;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uncertainties and matters beyond the control of management, including but not limited to general political and economic conditions, tariffs and trade policies, inflation rates, and global exchange rates;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lineRule="atLeast" w:line="226" w:before="0" w:after="0"/>
              <w:jc w:val="both"/>
              <w:rPr>
                <w:rFonts w:ascii="Arial;Helvetica;sans-serif" w:hAnsi="Arial;Helvetica;sans-serif"/>
                <w:color w:val="404040"/>
                <w:sz w:val="20"/>
              </w:rPr>
            </w:pPr>
            <w:r>
              <w:rPr>
                <w:rFonts w:ascii="Arial;Helvetica;sans-serif" w:hAnsi="Arial;Helvetica;sans-serif"/>
                <w:color w:val="404040"/>
                <w:sz w:val="20"/>
              </w:rPr>
              <w:t xml:space="preserve">inherent uncertainties involved in the estimates and judgments used in the preparation of financial statements, and the providing of estimates of financial measures, in accordance with U.S. GAAP and related standards or on an adjusted basis. </w:t>
            </w:r>
          </w:p>
        </w:tc>
      </w:tr>
    </w:tbl>
    <w:p>
      <w:pPr>
        <w:pStyle w:val="TextBody"/>
        <w:bidi w:val="0"/>
        <w:spacing w:lineRule="atLeast" w:line="226" w:before="120" w:after="283"/>
        <w:ind w:left="0" w:right="0" w:hanging="0"/>
        <w:jc w:val="both"/>
        <w:rPr>
          <w:rFonts w:ascii="Arial;Helvetica;sans-serif" w:hAnsi="Arial;Helvetica;sans-serif"/>
          <w:color w:val="404040"/>
          <w:sz w:val="20"/>
        </w:rPr>
      </w:pPr>
      <w:r>
        <w:rPr>
          <w:rFonts w:ascii="Arial;Helvetica;sans-serif" w:hAnsi="Arial;Helvetica;sans-serif"/>
          <w:color w:val="404040"/>
          <w:sz w:val="20"/>
        </w:rPr>
        <w:t>For more detailed information on the risks and uncertainties associated with Viatris, see the risks described in Part I, Item 1A of the Original Filing and our other filings with the SEC.</w:t>
      </w:r>
    </w:p>
    <w:p>
      <w:pPr>
        <w:pStyle w:val="TextBody"/>
        <w:bidi w:val="0"/>
        <w:spacing w:lineRule="atLeast" w:line="226" w:before="12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Amendment and shall not be deemed “filed” under the Securities Exchange Act of 1934, as amended (the “Exchange Act”). Viatris undertakes no obligation to update any statements herein for revisions or changes after the filing date of this Amendment other than as required by law. </w:t>
      </w:r>
    </w:p>
    <w:p>
      <w:pPr>
        <w:pStyle w:val="TextBody"/>
        <w:bidi w:val="0"/>
        <w:spacing w:before="226"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Non-GAAP Financial Measures </w:t>
      </w:r>
    </w:p>
    <w:p>
      <w:pPr>
        <w:pStyle w:val="TextBody"/>
        <w:bidi w:val="0"/>
        <w:spacing w:lineRule="atLeast" w:line="226" w:before="12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This Amendment includes the presentation and discussion of certain financial information that differs from what is reported under U.S. GAAP. These non-GAAP financial measures, including adjusted EBITDA, free cash flow, adjusted earnings per share (“EPS”), gross leverage ratio, and long-term gross leverage target,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Appendix A to this Amendment contains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Appendix A, and investors and other readers should consider non-GAAP measures only as supplements to, not as substitutes for or as superior measures to, the measures of financial performance prepared in accordance with U.S. GAAP. </w:t>
      </w:r>
    </w:p>
    <w:p>
      <w:pPr>
        <w:pStyle w:val="HorizontalLine"/>
        <w:bidi w:val="0"/>
        <w:spacing w:before="200" w:after="200"/>
        <w:jc w:val="left"/>
        <w:rPr/>
      </w:pPr>
      <w:r>
        <w:rPr/>
      </w:r>
    </w:p>
    <w:p>
      <w:pPr>
        <w:pStyle w:val="TextBody"/>
        <w:bidi w:val="0"/>
        <w:jc w:val="left"/>
        <w:rPr/>
      </w:pPr>
      <w:hyperlink w:anchor="TOC">
        <w:bookmarkStart w:id="5" w:name="ny20042022x3_10k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00" w:right="0" w:hanging="0"/>
        <w:jc w:val="center"/>
        <w:rPr>
          <w:rFonts w:ascii="Arial;Helvetica;sans-serif" w:hAnsi="Arial;Helvetica;sans-serif"/>
          <w:b/>
          <w:color w:val="404040"/>
          <w:sz w:val="20"/>
        </w:rPr>
      </w:pPr>
      <w:r>
        <w:rPr>
          <w:rFonts w:ascii="Arial;Helvetica;sans-serif" w:hAnsi="Arial;Helvetica;sans-serif"/>
          <w:b/>
          <w:color w:val="404040"/>
          <w:sz w:val="20"/>
        </w:rPr>
        <w:t xml:space="preserve">VIATRIS INC. </w:t>
      </w:r>
    </w:p>
    <w:p>
      <w:pPr>
        <w:pStyle w:val="TextBody"/>
        <w:bidi w:val="0"/>
        <w:spacing w:before="0" w:after="283"/>
        <w:jc w:val="center"/>
        <w:rPr>
          <w:rFonts w:ascii="Arial;Helvetica;sans-serif" w:hAnsi="Arial;Helvetica;sans-serif"/>
          <w:b/>
          <w:color w:val="404040"/>
          <w:sz w:val="20"/>
        </w:rPr>
      </w:pPr>
      <w:r>
        <w:rPr>
          <w:rFonts w:ascii="Arial;Helvetica;sans-serif" w:hAnsi="Arial;Helvetica;sans-serif"/>
          <w:b/>
          <w:color w:val="404040"/>
          <w:sz w:val="20"/>
        </w:rPr>
        <w:t xml:space="preserve">INDEX TO FORM 10-K/A </w:t>
      </w:r>
    </w:p>
    <w:p>
      <w:pPr>
        <w:pStyle w:val="TextBody"/>
        <w:bidi w:val="0"/>
        <w:spacing w:before="0" w:after="283"/>
        <w:jc w:val="center"/>
        <w:rPr>
          <w:rFonts w:ascii="Arial;Helvetica;sans-serif" w:hAnsi="Arial;Helvetica;sans-serif"/>
          <w:b/>
          <w:color w:val="404040"/>
          <w:sz w:val="20"/>
        </w:rPr>
      </w:pPr>
      <w:r>
        <w:rPr>
          <w:rFonts w:ascii="Arial;Helvetica;sans-serif" w:hAnsi="Arial;Helvetica;sans-serif"/>
          <w:b/>
          <w:color w:val="404040"/>
          <w:sz w:val="20"/>
        </w:rPr>
        <w:t xml:space="preserve">For the Year Ended December 31, 2024 </w:t>
      </w:r>
    </w:p>
    <w:p>
      <w:pPr>
        <w:pStyle w:val="Normal"/>
        <w:bidi w:val="0"/>
        <w:spacing w:before="0" w:after="0"/>
        <w:ind w:left="100" w:right="0" w:hanging="0"/>
        <w:jc w:val="left"/>
        <w:rPr>
          <w:sz w:val="4"/>
          <w:szCs w:val="4"/>
        </w:rPr>
      </w:pPr>
      <w:r>
        <w:rPr>
          <w:sz w:val="4"/>
          <w:szCs w:val="4"/>
        </w:rPr>
      </w:r>
      <w:bookmarkStart w:id="6" w:name="TOC"/>
      <w:bookmarkStart w:id="7" w:name="TOC"/>
      <w:bookmarkEnd w:id="7"/>
    </w:p>
    <w:tbl>
      <w:tblPr>
        <w:tblW w:w="9880" w:type="dxa"/>
        <w:jc w:val="left"/>
        <w:tblInd w:w="100" w:type="dxa"/>
        <w:tblLayout w:type="fixed"/>
        <w:tblCellMar>
          <w:top w:w="0" w:type="dxa"/>
          <w:left w:w="0" w:type="dxa"/>
          <w:bottom w:w="0" w:type="dxa"/>
          <w:right w:w="0" w:type="dxa"/>
        </w:tblCellMar>
      </w:tblPr>
      <w:tblGrid>
        <w:gridCol w:w="185"/>
        <w:gridCol w:w="8750"/>
        <w:gridCol w:w="170"/>
        <w:gridCol w:w="170"/>
        <w:gridCol w:w="605"/>
      </w:tblGrid>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ind w:left="29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Page </w:t>
            </w:r>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PART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color w:val="404040"/>
              </w:rPr>
            </w:pPr>
            <w:r>
              <w:rPr>
                <w:color w:val="404040"/>
              </w:rPr>
              <w:t> </w:t>
            </w:r>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ind w:left="290" w:right="0" w:hanging="0"/>
              <w:jc w:val="left"/>
              <w:rPr/>
            </w:pPr>
            <w:hyperlink w:anchor="tITEM10">
              <w:r>
                <w:rPr>
                  <w:rStyle w:val="InternetLink"/>
                  <w:rFonts w:ascii="Arial;Helvetica;sans-serif" w:hAnsi="Arial;Helvetica;sans-serif"/>
                  <w:color w:val="404040"/>
                  <w:sz w:val="20"/>
                </w:rPr>
                <w:t>ITEM 10. </w:t>
              </w:r>
            </w:hyperlink>
          </w:p>
          <w:p>
            <w:pPr>
              <w:pStyle w:val="TableContents"/>
              <w:bidi w:val="0"/>
              <w:spacing w:before="0" w:after="283"/>
              <w:jc w:val="left"/>
              <w:rPr/>
            </w:pPr>
            <w:hyperlink w:anchor="tITEM10">
              <w:r>
                <w:rPr>
                  <w:rStyle w:val="InternetLink"/>
                  <w:rFonts w:ascii="Arial;Helvetica;sans-serif" w:hAnsi="Arial;Helvetica;sans-serif"/>
                  <w:color w:val="404040"/>
                  <w:sz w:val="20"/>
                </w:rPr>
                <w:t>Directors, Executive Officers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ITEM10">
              <w:r>
                <w:rPr>
                  <w:rStyle w:val="InternetLink"/>
                  <w:rFonts w:ascii="Arial;Helvetica;sans-serif" w:hAnsi="Arial;Helvetica;sans-serif"/>
                  <w:color w:val="404040"/>
                  <w:sz w:val="20"/>
                </w:rPr>
                <w:t>1</w:t>
              </w:r>
            </w:hyperlink>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ind w:left="290" w:right="0" w:hanging="0"/>
              <w:jc w:val="left"/>
              <w:rPr/>
            </w:pPr>
            <w:hyperlink w:anchor="tITEM11">
              <w:r>
                <w:rPr>
                  <w:rStyle w:val="InternetLink"/>
                  <w:rFonts w:ascii="Arial;Helvetica;sans-serif" w:hAnsi="Arial;Helvetica;sans-serif"/>
                  <w:color w:val="404040"/>
                  <w:sz w:val="20"/>
                </w:rPr>
                <w:t>ITEM 11. </w:t>
              </w:r>
            </w:hyperlink>
          </w:p>
          <w:p>
            <w:pPr>
              <w:pStyle w:val="TableContents"/>
              <w:bidi w:val="0"/>
              <w:spacing w:before="0" w:after="283"/>
              <w:jc w:val="left"/>
              <w:rPr/>
            </w:pPr>
            <w:hyperlink w:anchor="tITEM11">
              <w:r>
                <w:rPr>
                  <w:rStyle w:val="InternetLink"/>
                  <w:rFonts w:ascii="Arial;Helvetica;sans-serif" w:hAnsi="Arial;Helvetica;sans-serif"/>
                  <w:color w:val="40404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ITEM11">
              <w:r>
                <w:rPr>
                  <w:rStyle w:val="InternetLink"/>
                  <w:rFonts w:ascii="Arial;Helvetica;sans-serif" w:hAnsi="Arial;Helvetica;sans-serif"/>
                  <w:color w:val="404040"/>
                  <w:sz w:val="20"/>
                </w:rPr>
                <w:t>25</w:t>
              </w:r>
            </w:hyperlink>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ind w:left="290" w:right="0" w:hanging="0"/>
              <w:jc w:val="left"/>
              <w:rPr/>
            </w:pPr>
            <w:hyperlink w:anchor="tITEM12">
              <w:r>
                <w:rPr>
                  <w:rStyle w:val="InternetLink"/>
                  <w:rFonts w:ascii="Arial;Helvetica;sans-serif" w:hAnsi="Arial;Helvetica;sans-serif"/>
                  <w:color w:val="404040"/>
                  <w:sz w:val="20"/>
                </w:rPr>
                <w:t>ITEM 12. </w:t>
              </w:r>
            </w:hyperlink>
          </w:p>
          <w:p>
            <w:pPr>
              <w:pStyle w:val="TableContents"/>
              <w:bidi w:val="0"/>
              <w:spacing w:before="0" w:after="283"/>
              <w:jc w:val="left"/>
              <w:rPr/>
            </w:pPr>
            <w:hyperlink w:anchor="tITEM12">
              <w:r>
                <w:rPr>
                  <w:rStyle w:val="InternetLink"/>
                  <w:rFonts w:ascii="Arial;Helvetica;sans-serif" w:hAnsi="Arial;Helvetica;sans-serif"/>
                  <w:color w:val="404040"/>
                  <w:sz w:val="20"/>
                </w:rPr>
                <w:t>Security Ownership of Certain Beneficial Owners and Management and Related Stockholder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ITEM12">
              <w:r>
                <w:rPr>
                  <w:rStyle w:val="InternetLink"/>
                  <w:rFonts w:ascii="Arial;Helvetica;sans-serif" w:hAnsi="Arial;Helvetica;sans-serif"/>
                  <w:color w:val="404040"/>
                  <w:sz w:val="20"/>
                </w:rPr>
                <w:t>53</w:t>
              </w:r>
            </w:hyperlink>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ind w:left="290" w:right="0" w:hanging="0"/>
              <w:jc w:val="left"/>
              <w:rPr/>
            </w:pPr>
            <w:hyperlink w:anchor="tITEM13">
              <w:r>
                <w:rPr>
                  <w:rStyle w:val="InternetLink"/>
                  <w:rFonts w:ascii="Arial;Helvetica;sans-serif" w:hAnsi="Arial;Helvetica;sans-serif"/>
                  <w:color w:val="404040"/>
                  <w:sz w:val="20"/>
                </w:rPr>
                <w:t>ITEM 13. </w:t>
              </w:r>
            </w:hyperlink>
          </w:p>
          <w:p>
            <w:pPr>
              <w:pStyle w:val="TableContents"/>
              <w:bidi w:val="0"/>
              <w:spacing w:before="0" w:after="283"/>
              <w:jc w:val="left"/>
              <w:rPr/>
            </w:pPr>
            <w:hyperlink w:anchor="tITEM13">
              <w:r>
                <w:rPr>
                  <w:rStyle w:val="InternetLink"/>
                  <w:rFonts w:ascii="Arial;Helvetica;sans-serif" w:hAnsi="Arial;Helvetica;sans-serif"/>
                  <w:color w:val="404040"/>
                  <w:sz w:val="20"/>
                </w:rPr>
                <w:t>Certain Relationships and Related Transactions, and 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ITEM13">
              <w:r>
                <w:rPr>
                  <w:rStyle w:val="InternetLink"/>
                  <w:rFonts w:ascii="Arial;Helvetica;sans-serif" w:hAnsi="Arial;Helvetica;sans-serif"/>
                  <w:color w:val="404040"/>
                  <w:sz w:val="20"/>
                </w:rPr>
                <w:t>54</w:t>
              </w:r>
            </w:hyperlink>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ind w:left="290" w:right="0" w:hanging="0"/>
              <w:jc w:val="left"/>
              <w:rPr/>
            </w:pPr>
            <w:hyperlink w:anchor="tITEM14">
              <w:r>
                <w:rPr>
                  <w:rStyle w:val="InternetLink"/>
                  <w:rFonts w:ascii="Arial;Helvetica;sans-serif" w:hAnsi="Arial;Helvetica;sans-serif"/>
                  <w:color w:val="404040"/>
                  <w:sz w:val="20"/>
                </w:rPr>
                <w:t>ITEM 14. </w:t>
              </w:r>
            </w:hyperlink>
          </w:p>
          <w:p>
            <w:pPr>
              <w:pStyle w:val="TableContents"/>
              <w:bidi w:val="0"/>
              <w:spacing w:before="0" w:after="283"/>
              <w:jc w:val="left"/>
              <w:rPr/>
            </w:pPr>
            <w:hyperlink w:anchor="tITEM14">
              <w:r>
                <w:rPr>
                  <w:rStyle w:val="InternetLink"/>
                  <w:rFonts w:ascii="Arial;Helvetica;sans-serif" w:hAnsi="Arial;Helvetica;sans-serif"/>
                  <w:color w:val="404040"/>
                  <w:sz w:val="20"/>
                </w:rPr>
                <w:t>Principal Accounting Fees and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ITEM14">
              <w:r>
                <w:rPr>
                  <w:rStyle w:val="InternetLink"/>
                  <w:rFonts w:ascii="Arial;Helvetica;sans-serif" w:hAnsi="Arial;Helvetica;sans-serif"/>
                  <w:color w:val="404040"/>
                  <w:sz w:val="20"/>
                </w:rPr>
                <w:t>55</w:t>
              </w:r>
            </w:hyperlink>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PART IV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color w:val="404040"/>
              </w:rPr>
            </w:pPr>
            <w:r>
              <w:rPr>
                <w:color w:val="404040"/>
              </w:rPr>
              <w:t> </w:t>
            </w:r>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ind w:left="290" w:right="0" w:hanging="0"/>
              <w:jc w:val="left"/>
              <w:rPr/>
            </w:pPr>
            <w:hyperlink w:anchor="tITEM15">
              <w:r>
                <w:rPr>
                  <w:rStyle w:val="InternetLink"/>
                  <w:rFonts w:ascii="Arial;Helvetica;sans-serif" w:hAnsi="Arial;Helvetica;sans-serif"/>
                  <w:color w:val="404040"/>
                  <w:sz w:val="20"/>
                </w:rPr>
                <w:t>ITEM 15. </w:t>
              </w:r>
            </w:hyperlink>
          </w:p>
          <w:p>
            <w:pPr>
              <w:pStyle w:val="TableContents"/>
              <w:bidi w:val="0"/>
              <w:spacing w:before="0" w:after="283"/>
              <w:jc w:val="left"/>
              <w:rPr/>
            </w:pPr>
            <w:hyperlink w:anchor="tITEM15">
              <w:r>
                <w:rPr>
                  <w:rStyle w:val="InternetLink"/>
                  <w:rFonts w:ascii="Arial;Helvetica;sans-serif" w:hAnsi="Arial;Helvetica;sans-serif"/>
                  <w:color w:val="404040"/>
                  <w:sz w:val="20"/>
                </w:rPr>
                <w:t>Exhibits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ITEM15">
              <w:r>
                <w:rPr>
                  <w:rStyle w:val="InternetLink"/>
                  <w:rFonts w:ascii="Arial;Helvetica;sans-serif" w:hAnsi="Arial;Helvetica;sans-serif"/>
                  <w:color w:val="404040"/>
                  <w:sz w:val="20"/>
                </w:rPr>
                <w:t>56</w:t>
              </w:r>
            </w:hyperlink>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ind w:left="290" w:right="0" w:hanging="0"/>
              <w:jc w:val="left"/>
              <w:rPr/>
            </w:pPr>
            <w:hyperlink w:anchor="tSIG">
              <w:r>
                <w:rPr>
                  <w:rStyle w:val="InternetLink"/>
                  <w:rFonts w:ascii="Arial;Helvetica;sans-serif" w:hAnsi="Arial;Helvetica;sans-serif"/>
                  <w:color w:val="404040"/>
                  <w:sz w:val="20"/>
                </w:rPr>
                <w:t>Signature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SIG">
              <w:r>
                <w:rPr>
                  <w:rStyle w:val="InternetLink"/>
                  <w:rFonts w:ascii="Arial;Helvetica;sans-serif" w:hAnsi="Arial;Helvetica;sans-serif"/>
                  <w:color w:val="404040"/>
                  <w:sz w:val="20"/>
                </w:rPr>
                <w:t>57</w:t>
              </w:r>
            </w:hyperlink>
          </w:p>
        </w:tc>
      </w:tr>
      <w:tr>
        <w:trPr/>
        <w:tc>
          <w:tcPr>
            <w:tcW w:w="185" w:type="dxa"/>
            <w:tcBorders/>
            <w:vAlign w:val="center"/>
          </w:tcPr>
          <w:p>
            <w:pPr>
              <w:pStyle w:val="TableContents"/>
              <w:bidi w:val="0"/>
              <w:spacing w:before="0" w:after="0"/>
              <w:jc w:val="left"/>
              <w:rPr/>
            </w:pPr>
            <w:r>
              <w:rPr/>
              <w:t> </w:t>
            </w:r>
          </w:p>
        </w:tc>
        <w:tc>
          <w:tcPr>
            <w:tcW w:w="8750" w:type="dxa"/>
            <w:tcBorders/>
            <w:vAlign w:val="center"/>
          </w:tcPr>
          <w:p>
            <w:pPr>
              <w:pStyle w:val="TableContents"/>
              <w:bidi w:val="0"/>
              <w:spacing w:before="0" w:after="283"/>
              <w:ind w:left="290" w:right="0" w:hanging="0"/>
              <w:jc w:val="left"/>
              <w:rPr/>
            </w:pPr>
            <w:hyperlink w:anchor="tAPPA">
              <w:r>
                <w:rPr>
                  <w:rStyle w:val="InternetLink"/>
                  <w:rFonts w:ascii="Arial;Helvetica;sans-serif" w:hAnsi="Arial;Helvetica;sans-serif"/>
                  <w:color w:val="404040"/>
                  <w:sz w:val="20"/>
                </w:rPr>
                <w:t>Appendix A — Reconciliations of Non-GAAP Financial Measures (Unaudited)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APPA">
              <w:r>
                <w:rPr>
                  <w:rStyle w:val="InternetLink"/>
                  <w:rFonts w:ascii="Arial;Helvetica;sans-serif" w:hAnsi="Arial;Helvetica;sans-serif"/>
                  <w:color w:val="404040"/>
                  <w:sz w:val="20"/>
                </w:rPr>
                <w:t>A-1</w:t>
              </w:r>
            </w:hyperlink>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i</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42022x3_10ka_103-executive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404040"/>
          <w:sz w:val="20"/>
        </w:rPr>
      </w:pPr>
      <w:r>
        <w:rPr>
          <w:rFonts w:ascii="Arial;Helvetica;sans-serif" w:hAnsi="Arial;Helvetica;sans-serif"/>
          <w:b/>
          <w:color w:val="404040"/>
          <w:sz w:val="20"/>
        </w:rPr>
        <w:t xml:space="preserve">PART III </w:t>
      </w:r>
    </w:p>
    <w:p>
      <w:pPr>
        <w:pStyle w:val="TextBody"/>
        <w:bidi w:val="0"/>
        <w:spacing w:before="250" w:after="283"/>
        <w:ind w:left="0" w:right="0" w:hanging="0"/>
        <w:jc w:val="left"/>
        <w:rPr>
          <w:rFonts w:ascii="Arial;Helvetica;sans-serif" w:hAnsi="Arial;Helvetica;sans-serif"/>
          <w:b/>
          <w:color w:val="404040"/>
          <w:sz w:val="20"/>
        </w:rPr>
      </w:pPr>
      <w:bookmarkStart w:id="9" w:name="tITEM10"/>
      <w:bookmarkEnd w:id="9"/>
      <w:r>
        <w:rPr>
          <w:rFonts w:ascii="Arial;Helvetica;sans-serif" w:hAnsi="Arial;Helvetica;sans-serif"/>
          <w:b/>
          <w:color w:val="404040"/>
          <w:sz w:val="20"/>
        </w:rPr>
        <w:t xml:space="preserve">ITEM 10. Directors, Executive Officers and Corporate Governance </w:t>
      </w:r>
    </w:p>
    <w:p>
      <w:pPr>
        <w:pStyle w:val="TextBody"/>
        <w:bidi w:val="0"/>
        <w:spacing w:before="270" w:after="283"/>
        <w:ind w:left="0" w:right="0" w:hanging="0"/>
        <w:jc w:val="left"/>
        <w:rPr>
          <w:rFonts w:ascii="Arial;Helvetica;sans-serif" w:hAnsi="Arial;Helvetica;sans-serif"/>
          <w:b/>
          <w:color w:val="666666"/>
          <w:sz w:val="28"/>
        </w:rPr>
      </w:pPr>
      <w:bookmarkStart w:id="10" w:name="tEO"/>
      <w:bookmarkEnd w:id="10"/>
      <w:r>
        <w:rPr>
          <w:rFonts w:ascii="Arial;Helvetica;sans-serif" w:hAnsi="Arial;Helvetica;sans-serif"/>
          <w:b/>
          <w:color w:val="666666"/>
          <w:sz w:val="28"/>
        </w:rPr>
        <w:t xml:space="preserve">Executive Officers </w:t>
      </w:r>
    </w:p>
    <w:p>
      <w:pPr>
        <w:pStyle w:val="TextBody"/>
        <w:bidi w:val="0"/>
        <w:spacing w:before="22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following table sets forth the names, ages, and positions of Viatris’ executive officers as of April 23, 2025: </w:t>
      </w:r>
    </w:p>
    <w:tbl>
      <w:tblPr>
        <w:tblW w:w="10205" w:type="dxa"/>
        <w:jc w:val="left"/>
        <w:tblInd w:w="0" w:type="dxa"/>
        <w:tblLayout w:type="fixed"/>
        <w:tblCellMar>
          <w:top w:w="0" w:type="dxa"/>
          <w:left w:w="0" w:type="dxa"/>
          <w:bottom w:w="0" w:type="dxa"/>
          <w:right w:w="0" w:type="dxa"/>
        </w:tblCellMar>
      </w:tblPr>
      <w:tblGrid>
        <w:gridCol w:w="185"/>
        <w:gridCol w:w="2296"/>
        <w:gridCol w:w="170"/>
        <w:gridCol w:w="170"/>
        <w:gridCol w:w="260"/>
        <w:gridCol w:w="170"/>
        <w:gridCol w:w="170"/>
        <w:gridCol w:w="6568"/>
        <w:gridCol w:w="216"/>
      </w:tblGrid>
      <w:tr>
        <w:trPr/>
        <w:tc>
          <w:tcPr>
            <w:tcW w:w="185" w:type="dxa"/>
            <w:tcBorders/>
            <w:shd w:fill="E6E6E6" w:val="clear"/>
            <w:vAlign w:val="center"/>
          </w:tcPr>
          <w:p>
            <w:pPr>
              <w:pStyle w:val="TableContents"/>
              <w:bidi w:val="0"/>
              <w:spacing w:before="0" w:after="0"/>
              <w:jc w:val="left"/>
              <w:rPr/>
            </w:pPr>
            <w:r>
              <w:rPr/>
              <w:t> </w:t>
            </w:r>
          </w:p>
        </w:tc>
        <w:tc>
          <w:tcPr>
            <w:tcW w:w="2296"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6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68"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296"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Scott A. Smith</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68"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(principal executive officer)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96"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Theodora (Doretta)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Financial Officer (principal financial officer) </w:t>
            </w:r>
          </w:p>
        </w:tc>
        <w:tc>
          <w:tcPr>
            <w:tcW w:w="216"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296"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Paul Campbell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68"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Accounting Officer and Corporate Controller (principal accounting officer)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96"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Brian Roman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Legal Officer </w:t>
            </w:r>
          </w:p>
        </w:tc>
        <w:tc>
          <w:tcPr>
            <w:tcW w:w="216"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296"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Dr. Corinne Le Goff</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68"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Commercial Officer</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296"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6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68"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bl>
    <w:p>
      <w:pPr>
        <w:pStyle w:val="TextBody"/>
        <w:bidi w:val="0"/>
        <w:spacing w:before="300" w:after="283"/>
        <w:ind w:left="0" w:right="0" w:hanging="0"/>
        <w:jc w:val="both"/>
        <w:rPr/>
      </w:pPr>
      <w:r>
        <w:rPr>
          <w:rFonts w:ascii="Arial;Helvetica;sans-serif" w:hAnsi="Arial;Helvetica;sans-serif"/>
          <w:b/>
          <w:color w:val="404040"/>
          <w:sz w:val="20"/>
        </w:rPr>
        <w:t>Scott A. Smith</w:t>
      </w:r>
      <w:r>
        <w:rPr>
          <w:rFonts w:ascii="Arial;Helvetica;sans-serif" w:hAnsi="Arial;Helvetica;sans-serif"/>
          <w:b w:val="false"/>
          <w:color w:val="404040"/>
          <w:sz w:val="20"/>
        </w:rPr>
        <w:t xml:space="preserve">. Mr. Smith has served as Viatris’ Chief Executive Officer (“CEO”) since April 1, 2023. His responsibilities include leading the daily management and the overall performance of the Company and executing on the strategies developed in collaboration with the Board of Directors of the Company (the “Board”), among other responsibilities. Mr. Smith is also a member of the Board and additional details regarding his background and experience can be found under the heading “Viatris’ Board of Directors” on page </w:t>
      </w:r>
      <w:hyperlink w:anchor="tBOARD3">
        <w:r>
          <w:rPr>
            <w:rStyle w:val="InternetLink"/>
          </w:rPr>
          <w:t>12</w:t>
        </w:r>
      </w:hyperlink>
      <w:r>
        <w:rPr>
          <w:rFonts w:ascii="Arial;Helvetica;sans-serif" w:hAnsi="Arial;Helvetica;sans-serif"/>
          <w:b w:val="false"/>
          <w:color w:val="404040"/>
          <w:sz w:val="20"/>
        </w:rPr>
        <w:t xml:space="preserve">. </w:t>
      </w:r>
    </w:p>
    <w:p>
      <w:pPr>
        <w:pStyle w:val="TextBody"/>
        <w:bidi w:val="0"/>
        <w:spacing w:before="180" w:after="283"/>
        <w:ind w:left="0" w:right="0" w:hanging="0"/>
        <w:jc w:val="both"/>
        <w:rPr>
          <w:rFonts w:ascii="Arial;Helvetica;sans-serif" w:hAnsi="Arial;Helvetica;sans-serif"/>
          <w:b/>
          <w:color w:val="404040"/>
          <w:sz w:val="20"/>
        </w:rPr>
      </w:pPr>
      <w:r>
        <w:rPr>
          <w:rFonts w:ascii="Arial;Helvetica;sans-serif" w:hAnsi="Arial;Helvetica;sans-serif"/>
          <w:b/>
          <w:color w:val="404040"/>
          <w:sz w:val="20"/>
        </w:rPr>
        <w:t>Doretta Mistras</w:t>
      </w:r>
      <w:r>
        <w:rPr>
          <w:rFonts w:ascii="Arial;Helvetica;sans-serif" w:hAnsi="Arial;Helvetica;sans-serif"/>
          <w:b w:val="false"/>
          <w:color w:val="404040"/>
          <w:sz w:val="20"/>
        </w:rPr>
        <w:t xml:space="preserve">. Ms. Mistras has served as Viatris’ Chief Financial Officer ('CFO') since March 1, 2024. Her responsibilities include oversight of the global Finance Department, which includes corporate controllership, financial planning and analysis, internal audit, and tax and Treasury functions, among others. Prior to joining the Company as of January 1, 2024 as CFO-elect, Ms. Mistras was Managing Director, Healthcare Investment Banking at Citigroup Global Markets from September 2019 to December 2023 and prior to that was Managing Director, Healthcare Investment Banking at Goldman Sachs, where she spent over 15 years in their investment banking healthcare group. She has almost two decades of leadership, advisory, and capital markets experience helping guide corporate boards and leadership teams on matters affecting corporate strategy, including business development, financial planning, corporate finance and investor relations. Ms. Mistras has also advised leading healthcare corporations on a multitude of important financial and strategic decisions, including mergers and acquisitions (“M&amp;A”), joint ventures, and capital markets transactions. </w:t>
      </w:r>
    </w:p>
    <w:p>
      <w:pPr>
        <w:pStyle w:val="TextBody"/>
        <w:bidi w:val="0"/>
        <w:spacing w:before="180" w:after="283"/>
        <w:ind w:left="0" w:right="0" w:hanging="0"/>
        <w:jc w:val="both"/>
        <w:rPr>
          <w:rFonts w:ascii="Arial;Helvetica;sans-serif" w:hAnsi="Arial;Helvetica;sans-serif"/>
          <w:b/>
          <w:color w:val="404040"/>
          <w:sz w:val="20"/>
        </w:rPr>
      </w:pPr>
      <w:r>
        <w:rPr>
          <w:rFonts w:ascii="Arial;Helvetica;sans-serif" w:hAnsi="Arial;Helvetica;sans-serif"/>
          <w:b/>
          <w:color w:val="404040"/>
          <w:sz w:val="20"/>
        </w:rPr>
        <w:t>Paul Campbell</w:t>
      </w:r>
      <w:r>
        <w:rPr>
          <w:rFonts w:ascii="Arial;Helvetica;sans-serif" w:hAnsi="Arial;Helvetica;sans-serif"/>
          <w:b w:val="false"/>
          <w:color w:val="404040"/>
          <w:sz w:val="20"/>
        </w:rPr>
        <w:t xml:space="preserve">. Mr. Campbell has served as Viatris’ Chief Accounting Officer and Corporate Controller since the closing of the transaction pursuant to which Viatris, formerly known as Upjohn Inc., Mylan N.V. (“Mylan”) and Pfizer Inc. (“Pfizer”) consummated the combination of Mylan with Pfizer's Upjohn business (the “Upjohn business”) through a Reverse Morris Trust transaction (the “Combination”) on 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 </w:t>
      </w:r>
    </w:p>
    <w:p>
      <w:pPr>
        <w:pStyle w:val="TextBody"/>
        <w:bidi w:val="0"/>
        <w:spacing w:before="180" w:after="283"/>
        <w:ind w:left="0" w:right="0" w:hanging="0"/>
        <w:jc w:val="both"/>
        <w:rPr>
          <w:rFonts w:ascii="Arial;Helvetica;sans-serif" w:hAnsi="Arial;Helvetica;sans-serif"/>
          <w:b/>
          <w:color w:val="404040"/>
          <w:sz w:val="20"/>
        </w:rPr>
      </w:pPr>
      <w:r>
        <w:rPr>
          <w:rFonts w:ascii="Arial;Helvetica;sans-serif" w:hAnsi="Arial;Helvetica;sans-serif"/>
          <w:b/>
          <w:color w:val="404040"/>
          <w:sz w:val="20"/>
        </w:rPr>
        <w:t>Brian Roman</w:t>
      </w:r>
      <w:r>
        <w:rPr>
          <w:rFonts w:ascii="Arial;Helvetica;sans-serif" w:hAnsi="Arial;Helvetica;sans-serif"/>
          <w:b w:val="false"/>
          <w:color w:val="404040"/>
          <w:sz w:val="20"/>
        </w:rPr>
        <w:t xml:space="preserve">. Mr. Roman served as Viatris’ Global General Counsel since the closing of the Combination on November 16, 2020 and was named Chief Legal Officer on April 1, 2024. His responsibilities include oversight of the Company’s global legal organization, including securities, global contracts, labor and employment, global regulatory, business development, litigation, and intellectual property, and, together with the Compliance and Risk Oversight Committee, overseeing the Company’s compliance function, among other areas. From July 2017 until the closing of the Combination, Mr. Roman was Mylan’s Global General Counsel, with similar responsibilities for oversight of the global legal organization. Prior to 2017, Mr. Roman served as Mylan’s Chief Administrative Officer from January 2016 until June 2017, with responsibility for oversight of the Human Relations, Compliance, Facilities,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 w:name="ny20042022x3_10ka_103-executive_pg2"/>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Security, Information Security, and Privacy functions. He served as Mylan’s Senior Vice President and Chief Compliance Officer from April 2010 until December 2015 and Vice President and General Counsel, North America from October 2005 until April 2010. </w:t>
      </w:r>
    </w:p>
    <w:p>
      <w:pPr>
        <w:pStyle w:val="TextBody"/>
        <w:bidi w:val="0"/>
        <w:spacing w:before="180" w:after="283"/>
        <w:ind w:left="0" w:right="0" w:hanging="0"/>
        <w:jc w:val="both"/>
        <w:rPr>
          <w:rFonts w:ascii="Arial;Helvetica;sans-serif" w:hAnsi="Arial;Helvetica;sans-serif"/>
          <w:b/>
          <w:color w:val="404040"/>
          <w:sz w:val="20"/>
        </w:rPr>
      </w:pPr>
      <w:r>
        <w:rPr>
          <w:rFonts w:ascii="Arial;Helvetica;sans-serif" w:hAnsi="Arial;Helvetica;sans-serif"/>
          <w:b/>
          <w:color w:val="404040"/>
          <w:sz w:val="20"/>
        </w:rPr>
        <w:t>Dr. Corinne Le Goff, Pharm D</w:t>
      </w:r>
      <w:r>
        <w:rPr>
          <w:rFonts w:ascii="Arial;Helvetica;sans-serif" w:hAnsi="Arial;Helvetica;sans-serif"/>
          <w:b w:val="false"/>
          <w:color w:val="000000"/>
          <w:sz w:val="20"/>
        </w:rPr>
        <w:t xml:space="preserve">. Dr. Le Goff has served as Chief Commercial Officer since April 15, 2024. Her responsibilities include oversight of the Company’s global commercial organization, including the Developed Markets, Emerging Markets, Japan, Australia and New Zealand and Greater China segments, and the Company's Global Commercial functions, including Global Strategic Marketing, Global Market Access and Value, Global Commercial Insights &amp; Analytics, and Global Commercial Development. Prior to joining the Company, Dr. Le Goff held roles at biotechnology companies, most recently as President, Chief Executive Officer, and Director of Imunon, Inc. (“Imunon”), a clinical stage biotechnology company, from July 2022 until March 2024, where she led an organizational turnaround and rebranding effort (Imunon was known as Celsion Corporation until September 2022). Prior to Imunon, she was Chief Commercial Officer of Moderna, Inc. from January 2021 through January 2022 and served in various roles at Amgen Inc. from June 2015 to January 2021, including President of the U.S. business from March 2019 to January 2021, Senior Vice President of Global Product Strategy and Commercial Innovation from June 2018 to March 2019 and President of the Europe Region from June 2015 to May 2018. Dr. Le Goff also held various positions within the Roche Group, a publicly traded Swiss multinational healthcare company, including President of Roche’s French affiliate from May 2012 to May 2015 and Senior Vice President Global Neuroscience and Rare Diseases Business Unit from 2011 to May 2012. Dr. Le Goff served on the board of directors of Longboard Pharmaceuticals Inc., a clinical-stage biopharmaceutical company from March 2021 until December 2024 when the company was acquired by H. Lundbeck A/S, most recently serving on that company’s Audit and Nominating and Corporate Governance Committees, and previously served on the boards of directors of EuroAPI S.A., which develops, manufactures, markets and distributes active pharmaceutical ingredients (“APIs”) and intermediates used in the formulation of medicines for human and veterinary use, from April 2022 to January 2023, Acticor Biotech SAS, a clinical stage biopharmaceutical company, from May 2022 to December 2023, and CFAO Group, a trading company, from October 2014 to October 2020.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Pursuant to Viatris' Amended and Restated Bylaws (“Bylaws”), officers hold office until their successors are chosen and qualify in their stead or until their earlier death, resignation, or removal.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42022x3_10ka_104-directors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666666"/>
          <w:sz w:val="28"/>
        </w:rPr>
      </w:pPr>
      <w:bookmarkStart w:id="13" w:name="tVBO"/>
      <w:bookmarkEnd w:id="13"/>
      <w:r>
        <w:rPr>
          <w:rFonts w:ascii="Arial;Helvetica;sans-serif" w:hAnsi="Arial;Helvetica;sans-serif"/>
          <w:b/>
          <w:color w:val="666666"/>
          <w:sz w:val="28"/>
        </w:rPr>
        <w:t>Viatris’ Board of Directors</w:t>
      </w:r>
    </w:p>
    <w:p>
      <w:pPr>
        <w:pStyle w:val="TextBody"/>
        <w:bidi w:val="0"/>
        <w:spacing w:before="120" w:after="283"/>
        <w:ind w:left="0" w:right="0" w:hanging="0"/>
        <w:jc w:val="both"/>
        <w:rPr>
          <w:rFonts w:ascii="Arial;Helvetica;sans-serif" w:hAnsi="Arial;Helvetica;sans-serif"/>
          <w:color w:val="404040"/>
          <w:sz w:val="19"/>
        </w:rPr>
      </w:pPr>
      <w:r>
        <w:rPr>
          <w:rFonts w:ascii="Arial;Helvetica;sans-serif" w:hAnsi="Arial;Helvetica;sans-serif"/>
          <w:color w:val="404040"/>
          <w:sz w:val="19"/>
        </w:rPr>
        <w:t xml:space="preserve">The members of the Board collectively have expertise in developing and overseeing strategies in the context of a complex and rapidly changing environment, as well as a deep understanding of the management team and culture of the Company, our global platforms, the healthcare systems in which we operate, and the opportunities and challenges facing the Company around the world. Our Board members have key skills and experiences in the areas outlined below, among many other areas. We are confident that the collective experience and expertise of our Directors enables the Board to effectively guide and oversee the management team and the strategy of the Company. </w:t>
      </w:r>
    </w:p>
    <w:tbl>
      <w:tblPr>
        <w:tblW w:w="10205" w:type="dxa"/>
        <w:jc w:val="left"/>
        <w:tblInd w:w="0" w:type="dxa"/>
        <w:tblLayout w:type="fixed"/>
        <w:tblCellMar>
          <w:top w:w="0" w:type="dxa"/>
          <w:left w:w="0" w:type="dxa"/>
          <w:bottom w:w="0" w:type="dxa"/>
          <w:right w:w="0" w:type="dxa"/>
        </w:tblCellMar>
      </w:tblPr>
      <w:tblGrid>
        <w:gridCol w:w="185"/>
        <w:gridCol w:w="3977"/>
        <w:gridCol w:w="485"/>
        <w:gridCol w:w="440"/>
        <w:gridCol w:w="446"/>
        <w:gridCol w:w="497"/>
        <w:gridCol w:w="458"/>
        <w:gridCol w:w="413"/>
        <w:gridCol w:w="458"/>
        <w:gridCol w:w="434"/>
        <w:gridCol w:w="413"/>
        <w:gridCol w:w="452"/>
        <w:gridCol w:w="440"/>
        <w:gridCol w:w="446"/>
        <w:gridCol w:w="445"/>
        <w:gridCol w:w="216"/>
      </w:tblGrid>
      <w:tr>
        <w:trPr/>
        <w:tc>
          <w:tcPr>
            <w:tcW w:w="185" w:type="dxa"/>
            <w:tcBorders/>
            <w:shd w:fill="722981" w:val="clear"/>
            <w:vAlign w:val="center"/>
          </w:tcPr>
          <w:p>
            <w:pPr>
              <w:pStyle w:val="TableContents"/>
              <w:bidi w:val="0"/>
              <w:spacing w:before="0" w:after="0"/>
              <w:jc w:val="left"/>
              <w:rPr/>
            </w:pPr>
            <w:r>
              <w:rPr/>
              <w:t> </w:t>
            </w:r>
          </w:p>
        </w:tc>
        <w:tc>
          <w:tcPr>
            <w:tcW w:w="3977" w:type="dxa"/>
            <w:tcBorders/>
            <w:shd w:fill="722981" w:val="clear"/>
            <w:vAlign w:val="center"/>
          </w:tcPr>
          <w:p>
            <w:pPr>
              <w:pStyle w:val="TableContents"/>
              <w:bidi w:val="0"/>
              <w:spacing w:before="0" w:after="0"/>
              <w:jc w:val="left"/>
              <w:rPr/>
            </w:pPr>
            <w:r>
              <w:rPr/>
              <w:t> </w:t>
            </w:r>
          </w:p>
        </w:tc>
        <w:tc>
          <w:tcPr>
            <w:tcW w:w="485" w:type="dxa"/>
            <w:tcBorders/>
            <w:shd w:fill="722981" w:val="clear"/>
            <w:vAlign w:val="center"/>
          </w:tcPr>
          <w:p>
            <w:pPr>
              <w:pStyle w:val="TableContents"/>
              <w:bidi w:val="0"/>
              <w:spacing w:before="0" w:after="0"/>
              <w:jc w:val="left"/>
              <w:rPr/>
            </w:pPr>
            <w:r>
              <w:rPr/>
              <w:t> </w:t>
            </w:r>
          </w:p>
        </w:tc>
        <w:tc>
          <w:tcPr>
            <w:tcW w:w="440" w:type="dxa"/>
            <w:tcBorders/>
            <w:shd w:fill="722981" w:val="clear"/>
            <w:vAlign w:val="center"/>
          </w:tcPr>
          <w:p>
            <w:pPr>
              <w:pStyle w:val="TableContents"/>
              <w:bidi w:val="0"/>
              <w:spacing w:before="0" w:after="0"/>
              <w:jc w:val="left"/>
              <w:rPr/>
            </w:pPr>
            <w:r>
              <w:rPr/>
              <w:t> </w:t>
            </w:r>
          </w:p>
        </w:tc>
        <w:tc>
          <w:tcPr>
            <w:tcW w:w="446" w:type="dxa"/>
            <w:tcBorders/>
            <w:shd w:fill="722981" w:val="clear"/>
            <w:vAlign w:val="center"/>
          </w:tcPr>
          <w:p>
            <w:pPr>
              <w:pStyle w:val="TableContents"/>
              <w:bidi w:val="0"/>
              <w:spacing w:before="0" w:after="0"/>
              <w:jc w:val="left"/>
              <w:rPr/>
            </w:pPr>
            <w:r>
              <w:rPr/>
              <w:t> </w:t>
            </w:r>
          </w:p>
        </w:tc>
        <w:tc>
          <w:tcPr>
            <w:tcW w:w="497" w:type="dxa"/>
            <w:tcBorders/>
            <w:shd w:fill="722981" w:val="clear"/>
            <w:vAlign w:val="center"/>
          </w:tcPr>
          <w:p>
            <w:pPr>
              <w:pStyle w:val="TableContents"/>
              <w:bidi w:val="0"/>
              <w:spacing w:before="0" w:after="0"/>
              <w:jc w:val="left"/>
              <w:rPr/>
            </w:pPr>
            <w:r>
              <w:rPr/>
              <w:t> </w:t>
            </w:r>
          </w:p>
        </w:tc>
        <w:tc>
          <w:tcPr>
            <w:tcW w:w="458" w:type="dxa"/>
            <w:tcBorders/>
            <w:shd w:fill="722981" w:val="clear"/>
            <w:vAlign w:val="center"/>
          </w:tcPr>
          <w:p>
            <w:pPr>
              <w:pStyle w:val="TableContents"/>
              <w:bidi w:val="0"/>
              <w:spacing w:before="0" w:after="0"/>
              <w:jc w:val="left"/>
              <w:rPr/>
            </w:pPr>
            <w:r>
              <w:rPr/>
              <w:t> </w:t>
            </w:r>
          </w:p>
        </w:tc>
        <w:tc>
          <w:tcPr>
            <w:tcW w:w="413" w:type="dxa"/>
            <w:tcBorders/>
            <w:shd w:fill="722981" w:val="clear"/>
            <w:vAlign w:val="center"/>
          </w:tcPr>
          <w:p>
            <w:pPr>
              <w:pStyle w:val="TableContents"/>
              <w:bidi w:val="0"/>
              <w:spacing w:before="0" w:after="0"/>
              <w:jc w:val="left"/>
              <w:rPr/>
            </w:pPr>
            <w:r>
              <w:rPr/>
              <w:t> </w:t>
            </w:r>
          </w:p>
        </w:tc>
        <w:tc>
          <w:tcPr>
            <w:tcW w:w="458" w:type="dxa"/>
            <w:tcBorders/>
            <w:shd w:fill="722981" w:val="clear"/>
            <w:vAlign w:val="center"/>
          </w:tcPr>
          <w:p>
            <w:pPr>
              <w:pStyle w:val="TableContents"/>
              <w:bidi w:val="0"/>
              <w:spacing w:before="0" w:after="0"/>
              <w:jc w:val="left"/>
              <w:rPr/>
            </w:pPr>
            <w:r>
              <w:rPr/>
              <w:t> </w:t>
            </w:r>
          </w:p>
        </w:tc>
        <w:tc>
          <w:tcPr>
            <w:tcW w:w="434" w:type="dxa"/>
            <w:tcBorders/>
            <w:shd w:fill="722981" w:val="clear"/>
            <w:vAlign w:val="center"/>
          </w:tcPr>
          <w:p>
            <w:pPr>
              <w:pStyle w:val="TableContents"/>
              <w:bidi w:val="0"/>
              <w:spacing w:before="0" w:after="0"/>
              <w:jc w:val="left"/>
              <w:rPr/>
            </w:pPr>
            <w:r>
              <w:rPr/>
              <w:t> </w:t>
            </w:r>
          </w:p>
        </w:tc>
        <w:tc>
          <w:tcPr>
            <w:tcW w:w="413" w:type="dxa"/>
            <w:tcBorders/>
            <w:shd w:fill="722981" w:val="clear"/>
            <w:vAlign w:val="center"/>
          </w:tcPr>
          <w:p>
            <w:pPr>
              <w:pStyle w:val="TableContents"/>
              <w:bidi w:val="0"/>
              <w:spacing w:before="0" w:after="0"/>
              <w:jc w:val="left"/>
              <w:rPr/>
            </w:pPr>
            <w:r>
              <w:rPr/>
              <w:t> </w:t>
            </w:r>
          </w:p>
        </w:tc>
        <w:tc>
          <w:tcPr>
            <w:tcW w:w="452" w:type="dxa"/>
            <w:tcBorders/>
            <w:shd w:fill="722981" w:val="clear"/>
            <w:vAlign w:val="center"/>
          </w:tcPr>
          <w:p>
            <w:pPr>
              <w:pStyle w:val="TableContents"/>
              <w:bidi w:val="0"/>
              <w:spacing w:before="0" w:after="0"/>
              <w:jc w:val="left"/>
              <w:rPr/>
            </w:pPr>
            <w:r>
              <w:rPr/>
              <w:t> </w:t>
            </w:r>
          </w:p>
        </w:tc>
        <w:tc>
          <w:tcPr>
            <w:tcW w:w="440" w:type="dxa"/>
            <w:tcBorders/>
            <w:shd w:fill="722981" w:val="clear"/>
            <w:vAlign w:val="center"/>
          </w:tcPr>
          <w:p>
            <w:pPr>
              <w:pStyle w:val="TableContents"/>
              <w:bidi w:val="0"/>
              <w:spacing w:before="0" w:after="0"/>
              <w:jc w:val="left"/>
              <w:rPr/>
            </w:pPr>
            <w:r>
              <w:rPr/>
              <w:t> </w:t>
            </w:r>
          </w:p>
        </w:tc>
        <w:tc>
          <w:tcPr>
            <w:tcW w:w="446" w:type="dxa"/>
            <w:tcBorders/>
            <w:shd w:fill="722981" w:val="clear"/>
            <w:vAlign w:val="center"/>
          </w:tcPr>
          <w:p>
            <w:pPr>
              <w:pStyle w:val="TableContents"/>
              <w:bidi w:val="0"/>
              <w:spacing w:before="0" w:after="0"/>
              <w:jc w:val="left"/>
              <w:rPr/>
            </w:pPr>
            <w:r>
              <w:rPr/>
              <w:t> </w:t>
            </w:r>
          </w:p>
        </w:tc>
        <w:tc>
          <w:tcPr>
            <w:tcW w:w="445" w:type="dxa"/>
            <w:tcBorders/>
            <w:shd w:fill="722981" w:val="clear"/>
            <w:vAlign w:val="center"/>
          </w:tcPr>
          <w:p>
            <w:pPr>
              <w:pStyle w:val="TableContents"/>
              <w:bidi w:val="0"/>
              <w:spacing w:before="0" w:after="0"/>
              <w:jc w:val="left"/>
              <w:rPr/>
            </w:pPr>
            <w:r>
              <w:rPr/>
              <w:t> </w:t>
            </w:r>
          </w:p>
        </w:tc>
        <w:tc>
          <w:tcPr>
            <w:tcW w:w="216" w:type="dxa"/>
            <w:tcBorders/>
            <w:shd w:fill="722981" w:val="clear"/>
            <w:vAlign w:val="center"/>
          </w:tcPr>
          <w:p>
            <w:pPr>
              <w:pStyle w:val="TableContents"/>
              <w:bidi w:val="0"/>
              <w:spacing w:before="0" w:after="0"/>
              <w:jc w:val="left"/>
              <w:rPr/>
            </w:pPr>
            <w:r>
              <w:rPr/>
              <w:t> </w:t>
            </w:r>
          </w:p>
        </w:tc>
      </w:tr>
      <w:tr>
        <w:trPr/>
        <w:tc>
          <w:tcPr>
            <w:tcW w:w="185" w:type="dxa"/>
            <w:tcBorders>
              <w:bottom w:val="single" w:sz="8" w:space="0" w:color="722981"/>
            </w:tcBorders>
            <w:shd w:fill="722981" w:val="clear"/>
            <w:tcMar>
              <w:bottom w:w="28" w:type="dxa"/>
            </w:tcMar>
            <w:vAlign w:val="center"/>
          </w:tcPr>
          <w:p>
            <w:pPr>
              <w:pStyle w:val="TableContents"/>
              <w:bidi w:val="0"/>
              <w:spacing w:before="0" w:after="0"/>
              <w:jc w:val="left"/>
              <w:rPr/>
            </w:pPr>
            <w:r>
              <w:rPr/>
              <w:t> </w:t>
            </w:r>
          </w:p>
        </w:tc>
        <w:tc>
          <w:tcPr>
            <w:tcW w:w="3977" w:type="dxa"/>
            <w:tcBorders>
              <w:bottom w:val="single" w:sz="8" w:space="0" w:color="722981"/>
            </w:tcBorders>
            <w:shd w:fill="722981" w:val="clear"/>
            <w:tcMar>
              <w:bottom w:w="33" w:type="dxa"/>
            </w:tcMar>
            <w:vAlign w:val="center"/>
          </w:tcPr>
          <w:p>
            <w:pPr>
              <w:pStyle w:val="TableContents"/>
              <w:bidi w:val="0"/>
              <w:spacing w:before="0" w:after="283"/>
              <w:ind w:left="25" w:right="0" w:hanging="0"/>
              <w:jc w:val="left"/>
              <w:rPr>
                <w:color w:val="FFFFFF"/>
              </w:rPr>
            </w:pPr>
            <w:r>
              <w:rPr>
                <w:color w:val="FFFFFF"/>
              </w:rPr>
              <w:t> </w:t>
            </w:r>
          </w:p>
        </w:tc>
        <w:tc>
          <w:tcPr>
            <w:tcW w:w="485"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7622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 cy="400050"/>
                          </a:xfrm>
                          <a:prstGeom prst="rect">
                            <a:avLst/>
                          </a:prstGeom>
                        </pic:spPr>
                      </pic:pic>
                    </a:graphicData>
                  </a:graphic>
                </wp:inline>
              </w:drawing>
            </w:r>
          </w:p>
        </w:tc>
        <w:tc>
          <w:tcPr>
            <w:tcW w:w="440"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1907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9075" cy="285750"/>
                          </a:xfrm>
                          <a:prstGeom prst="rect">
                            <a:avLst/>
                          </a:prstGeom>
                        </pic:spPr>
                      </pic:pic>
                    </a:graphicData>
                  </a:graphic>
                </wp:inline>
              </w:drawing>
            </w:r>
          </w:p>
        </w:tc>
        <w:tc>
          <w:tcPr>
            <w:tcW w:w="446"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28600" cy="32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8600" cy="323850"/>
                          </a:xfrm>
                          <a:prstGeom prst="rect">
                            <a:avLst/>
                          </a:prstGeom>
                        </pic:spPr>
                      </pic:pic>
                    </a:graphicData>
                  </a:graphic>
                </wp:inline>
              </w:drawing>
            </w:r>
          </w:p>
        </w:tc>
        <w:tc>
          <w:tcPr>
            <w:tcW w:w="497"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952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5275" cy="447675"/>
                          </a:xfrm>
                          <a:prstGeom prst="rect">
                            <a:avLst/>
                          </a:prstGeom>
                        </pic:spPr>
                      </pic:pic>
                    </a:graphicData>
                  </a:graphic>
                </wp:inline>
              </w:drawing>
            </w:r>
          </w:p>
        </w:tc>
        <w:tc>
          <w:tcPr>
            <w:tcW w:w="458"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47650"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7650" cy="352425"/>
                          </a:xfrm>
                          <a:prstGeom prst="rect">
                            <a:avLst/>
                          </a:prstGeom>
                        </pic:spPr>
                      </pic:pic>
                    </a:graphicData>
                  </a:graphic>
                </wp:inline>
              </w:drawing>
            </w:r>
          </w:p>
        </w:tc>
        <w:tc>
          <w:tcPr>
            <w:tcW w:w="413"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190500" cy="228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0500" cy="228600"/>
                          </a:xfrm>
                          <a:prstGeom prst="rect">
                            <a:avLst/>
                          </a:prstGeom>
                        </pic:spPr>
                      </pic:pic>
                    </a:graphicData>
                  </a:graphic>
                </wp:inline>
              </w:drawing>
            </w:r>
          </w:p>
        </w:tc>
        <w:tc>
          <w:tcPr>
            <w:tcW w:w="458"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47650" cy="361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47650" cy="361950"/>
                          </a:xfrm>
                          <a:prstGeom prst="rect">
                            <a:avLst/>
                          </a:prstGeom>
                        </pic:spPr>
                      </pic:pic>
                    </a:graphicData>
                  </a:graphic>
                </wp:inline>
              </w:drawing>
            </w:r>
          </w:p>
        </w:tc>
        <w:tc>
          <w:tcPr>
            <w:tcW w:w="434"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09550" cy="266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09550" cy="266700"/>
                          </a:xfrm>
                          <a:prstGeom prst="rect">
                            <a:avLst/>
                          </a:prstGeom>
                        </pic:spPr>
                      </pic:pic>
                    </a:graphicData>
                  </a:graphic>
                </wp:inline>
              </w:drawing>
            </w:r>
          </w:p>
        </w:tc>
        <w:tc>
          <w:tcPr>
            <w:tcW w:w="413"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190500" cy="247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0500" cy="247650"/>
                          </a:xfrm>
                          <a:prstGeom prst="rect">
                            <a:avLst/>
                          </a:prstGeom>
                        </pic:spPr>
                      </pic:pic>
                    </a:graphicData>
                  </a:graphic>
                </wp:inline>
              </w:drawing>
            </w:r>
          </w:p>
        </w:tc>
        <w:tc>
          <w:tcPr>
            <w:tcW w:w="452"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38125" cy="342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342900"/>
                          </a:xfrm>
                          <a:prstGeom prst="rect">
                            <a:avLst/>
                          </a:prstGeom>
                        </pic:spPr>
                      </pic:pic>
                    </a:graphicData>
                  </a:graphic>
                </wp:inline>
              </w:drawing>
            </w:r>
          </w:p>
        </w:tc>
        <w:tc>
          <w:tcPr>
            <w:tcW w:w="440"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19075" cy="285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9075" cy="285750"/>
                          </a:xfrm>
                          <a:prstGeom prst="rect">
                            <a:avLst/>
                          </a:prstGeom>
                        </pic:spPr>
                      </pic:pic>
                    </a:graphicData>
                  </a:graphic>
                </wp:inline>
              </w:drawing>
            </w:r>
          </w:p>
        </w:tc>
        <w:tc>
          <w:tcPr>
            <w:tcW w:w="446"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28600" cy="323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28600" cy="323850"/>
                          </a:xfrm>
                          <a:prstGeom prst="rect">
                            <a:avLst/>
                          </a:prstGeom>
                        </pic:spPr>
                      </pic:pic>
                    </a:graphicData>
                  </a:graphic>
                </wp:inline>
              </w:drawing>
            </w:r>
          </w:p>
        </w:tc>
        <w:tc>
          <w:tcPr>
            <w:tcW w:w="445" w:type="dxa"/>
            <w:tcBorders>
              <w:bottom w:val="single" w:sz="8" w:space="0" w:color="722981"/>
            </w:tcBorders>
            <w:shd w:fill="722981" w:val="clear"/>
            <w:tcMar>
              <w:bottom w:w="33" w:type="dxa"/>
            </w:tcMar>
            <w:vAlign w:val="center"/>
          </w:tcPr>
          <w:p>
            <w:pPr>
              <w:pStyle w:val="TableContents"/>
              <w:bidi w:val="0"/>
              <w:spacing w:before="0" w:after="283"/>
              <w:jc w:val="center"/>
              <w:rPr>
                <w:color w:val="FFFFFF"/>
              </w:rPr>
            </w:pPr>
            <w:r>
              <w:rPr>
                <w:color w:val="FFFFFF"/>
              </w:rPr>
              <w:drawing>
                <wp:inline distT="0" distB="0" distL="0" distR="0">
                  <wp:extent cx="219075" cy="295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9075" cy="295275"/>
                          </a:xfrm>
                          <a:prstGeom prst="rect">
                            <a:avLst/>
                          </a:prstGeom>
                        </pic:spPr>
                      </pic:pic>
                    </a:graphicData>
                  </a:graphic>
                </wp:inline>
              </w:drawing>
            </w:r>
          </w:p>
        </w:tc>
        <w:tc>
          <w:tcPr>
            <w:tcW w:w="216" w:type="dxa"/>
            <w:tcBorders>
              <w:bottom w:val="single" w:sz="8" w:space="0" w:color="722981"/>
            </w:tcBorders>
            <w:shd w:fill="722981"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77" w:type="dxa"/>
            <w:tcBorders>
              <w:bottom w:val="single" w:sz="8" w:space="0" w:color="999999"/>
              <w:right w:val="single" w:sz="8" w:space="0" w:color="999999"/>
            </w:tcBorders>
            <w:tcMar>
              <w:bottom w:w="28" w:type="dxa"/>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CEO and Public Company Management Experience</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Directors who have experience in management at public companies provide valuable expertise on managing interests held among various stakeholders, including, among others, employees, patients, and shareholders</w:t>
            </w:r>
          </w:p>
        </w:tc>
        <w:tc>
          <w:tcPr>
            <w:tcW w:w="485"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97"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34"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2"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5" w:type="dxa"/>
            <w:tcBorders>
              <w:bottom w:val="single" w:sz="8" w:space="0" w:color="999999"/>
            </w:tcBorders>
            <w:shd w:fill="E4D8FA"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10/12 </w:t>
            </w:r>
          </w:p>
        </w:tc>
        <w:tc>
          <w:tcPr>
            <w:tcW w:w="216" w:type="dxa"/>
            <w:tcBorders>
              <w:bottom w:val="single" w:sz="8" w:space="0" w:color="999999"/>
            </w:tcBorders>
            <w:shd w:fill="E4D8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77" w:type="dxa"/>
            <w:tcBorders>
              <w:bottom w:val="single" w:sz="8" w:space="0" w:color="999999"/>
              <w:right w:val="single" w:sz="8" w:space="0" w:color="999999"/>
            </w:tcBorders>
            <w:tcMar>
              <w:bottom w:w="28" w:type="dxa"/>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 xml:space="preserve">Corporate Governance/Corporate Sustainability (CS) Experience </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Directors with Corporate Governance/CS experience are skilled in the successful operation of board oversight, cognizant of the impact that governance policies have on a public company and/or familiar with oversight of matters related to corporate sustainability</w:t>
            </w:r>
          </w:p>
        </w:tc>
        <w:tc>
          <w:tcPr>
            <w:tcW w:w="485"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97"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34"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2"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5" w:type="dxa"/>
            <w:tcBorders>
              <w:bottom w:val="single" w:sz="8" w:space="0" w:color="999999"/>
            </w:tcBorders>
            <w:shd w:fill="E4D8FA"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11/12 </w:t>
            </w:r>
          </w:p>
        </w:tc>
        <w:tc>
          <w:tcPr>
            <w:tcW w:w="216" w:type="dxa"/>
            <w:tcBorders>
              <w:bottom w:val="single" w:sz="8" w:space="0" w:color="999999"/>
            </w:tcBorders>
            <w:shd w:fill="E4D8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77" w:type="dxa"/>
            <w:tcBorders>
              <w:bottom w:val="single" w:sz="8" w:space="0" w:color="999999"/>
              <w:right w:val="single" w:sz="8" w:space="0" w:color="999999"/>
            </w:tcBorders>
            <w:tcMar>
              <w:bottom w:w="28" w:type="dxa"/>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Finance, Accounting, and Capital Markets Experience</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Directors with a strong understanding of finance and accounting are essential for the Board to oversee our global financial reporting, internal controls, and capital structure, among other matters</w:t>
            </w:r>
          </w:p>
        </w:tc>
        <w:tc>
          <w:tcPr>
            <w:tcW w:w="485"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97"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34"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2"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5" w:type="dxa"/>
            <w:tcBorders>
              <w:bottom w:val="single" w:sz="8" w:space="0" w:color="999999"/>
            </w:tcBorders>
            <w:shd w:fill="E4D8FA"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10/12 </w:t>
            </w:r>
          </w:p>
        </w:tc>
        <w:tc>
          <w:tcPr>
            <w:tcW w:w="216" w:type="dxa"/>
            <w:tcBorders>
              <w:bottom w:val="single" w:sz="8" w:space="0" w:color="999999"/>
            </w:tcBorders>
            <w:shd w:fill="E4D8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77" w:type="dxa"/>
            <w:tcBorders>
              <w:bottom w:val="single" w:sz="8" w:space="0" w:color="999999"/>
              <w:right w:val="single" w:sz="8" w:space="0" w:color="999999"/>
            </w:tcBorders>
            <w:tcMar>
              <w:bottom w:w="28" w:type="dxa"/>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Global Business Experience</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Viatris has operations and facilities around the world and, as such, benefits from Directors who have experience working for companies with multinational reach and who provide insight on unique opportunities, challenges, and requirements associated with working across international markets</w:t>
            </w:r>
          </w:p>
        </w:tc>
        <w:tc>
          <w:tcPr>
            <w:tcW w:w="485"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97"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34"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2"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5" w:type="dxa"/>
            <w:tcBorders>
              <w:bottom w:val="single" w:sz="8" w:space="0" w:color="999999"/>
            </w:tcBorders>
            <w:shd w:fill="E4D8FA"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12/12 </w:t>
            </w:r>
          </w:p>
        </w:tc>
        <w:tc>
          <w:tcPr>
            <w:tcW w:w="216" w:type="dxa"/>
            <w:tcBorders>
              <w:bottom w:val="single" w:sz="8" w:space="0" w:color="999999"/>
            </w:tcBorders>
            <w:shd w:fill="E4D8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77" w:type="dxa"/>
            <w:tcBorders>
              <w:bottom w:val="single" w:sz="8" w:space="0" w:color="999999"/>
              <w:right w:val="single" w:sz="8" w:space="0" w:color="999999"/>
            </w:tcBorders>
            <w:tcMar>
              <w:bottom w:w="28" w:type="dxa"/>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Healthcare Industry Experience</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Directors with experience in the healthcare industry provide valuable perspectives to our Board and management team regarding a broad range of issues and opportunities facing the Company, including industry conditions, product research and development, supply chain, customers, sustainable access to medicine, product quality and patient safety, and marketing</w:t>
            </w:r>
          </w:p>
        </w:tc>
        <w:tc>
          <w:tcPr>
            <w:tcW w:w="485"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97"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34"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2"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5" w:type="dxa"/>
            <w:tcBorders>
              <w:bottom w:val="single" w:sz="8" w:space="0" w:color="999999"/>
            </w:tcBorders>
            <w:shd w:fill="E4D8FA"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9/12 </w:t>
            </w:r>
          </w:p>
        </w:tc>
        <w:tc>
          <w:tcPr>
            <w:tcW w:w="216" w:type="dxa"/>
            <w:tcBorders>
              <w:bottom w:val="single" w:sz="8" w:space="0" w:color="999999"/>
            </w:tcBorders>
            <w:shd w:fill="E4D8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77" w:type="dxa"/>
            <w:tcBorders>
              <w:bottom w:val="single" w:sz="8" w:space="0" w:color="999999"/>
              <w:right w:val="single" w:sz="8" w:space="0" w:color="999999"/>
            </w:tcBorders>
            <w:tcMar>
              <w:bottom w:w="28" w:type="dxa"/>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Human Capital Management Experience</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Attracting, developing, and retaining talent globally are crucial to all aspects of the Company’s business, success, and strategy. We continue to build an inclusive culture that inspires leadership and accountability and encourages innovation. Directors with experience in succession planning, executive and/or Director compensation, company culture and/or employee engagement (among other relevant areas) help to ensure that the Company’s culture reflects our mission and values</w:t>
            </w:r>
          </w:p>
        </w:tc>
        <w:tc>
          <w:tcPr>
            <w:tcW w:w="485"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97"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34"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2"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5" w:type="dxa"/>
            <w:tcBorders>
              <w:bottom w:val="single" w:sz="8" w:space="0" w:color="999999"/>
            </w:tcBorders>
            <w:shd w:fill="E4D8FA"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9/12 </w:t>
            </w:r>
          </w:p>
        </w:tc>
        <w:tc>
          <w:tcPr>
            <w:tcW w:w="216" w:type="dxa"/>
            <w:tcBorders>
              <w:bottom w:val="single" w:sz="8" w:space="0" w:color="999999"/>
            </w:tcBorders>
            <w:shd w:fill="E4D8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77" w:type="dxa"/>
            <w:tcBorders>
              <w:bottom w:val="single" w:sz="8" w:space="0" w:color="999999"/>
              <w:right w:val="single" w:sz="8" w:space="0" w:color="999999"/>
            </w:tcBorders>
            <w:tcMar>
              <w:bottom w:w="28" w:type="dxa"/>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Information Security Experience</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Experience in information security, data privacy, cybersecurity, or use of technology to facilitate business operations</w:t>
            </w:r>
          </w:p>
        </w:tc>
        <w:tc>
          <w:tcPr>
            <w:tcW w:w="485"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97"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34"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2"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45" w:type="dxa"/>
            <w:tcBorders>
              <w:bottom w:val="single" w:sz="8" w:space="0" w:color="999999"/>
            </w:tcBorders>
            <w:shd w:fill="E4D8FA"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7/12 </w:t>
            </w:r>
          </w:p>
        </w:tc>
        <w:tc>
          <w:tcPr>
            <w:tcW w:w="216" w:type="dxa"/>
            <w:tcBorders>
              <w:bottom w:val="single" w:sz="8" w:space="0" w:color="999999"/>
            </w:tcBorders>
            <w:shd w:fill="E4D8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77" w:type="dxa"/>
            <w:tcBorders>
              <w:bottom w:val="single" w:sz="8" w:space="0" w:color="999999"/>
              <w:right w:val="single" w:sz="8" w:space="0" w:color="999999"/>
            </w:tcBorders>
            <w:tcMar>
              <w:bottom w:w="28" w:type="dxa"/>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Legal and Regulatory Oversight Experience</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We operate in an industry that is closely scrutinized and highly regulated. Directors who have experience navigating challenges associated with this environment provide valuable insight to our Board and management team</w:t>
            </w:r>
          </w:p>
        </w:tc>
        <w:tc>
          <w:tcPr>
            <w:tcW w:w="485"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97"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34"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2"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45" w:type="dxa"/>
            <w:tcBorders>
              <w:bottom w:val="single" w:sz="8" w:space="0" w:color="999999"/>
            </w:tcBorders>
            <w:shd w:fill="E4D8FA"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4/12 </w:t>
            </w:r>
          </w:p>
        </w:tc>
        <w:tc>
          <w:tcPr>
            <w:tcW w:w="216" w:type="dxa"/>
            <w:tcBorders>
              <w:bottom w:val="single" w:sz="8" w:space="0" w:color="999999"/>
            </w:tcBorders>
            <w:shd w:fill="E4D8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77" w:type="dxa"/>
            <w:tcBorders>
              <w:bottom w:val="single" w:sz="8" w:space="0" w:color="999999"/>
              <w:right w:val="single" w:sz="8" w:space="0" w:color="999999"/>
            </w:tcBorders>
            <w:tcMar>
              <w:bottom w:w="28" w:type="dxa"/>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Risk Oversight/Compliance Experience</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Pharmaceutical companies face a variety of complex opportunities, risks, and compliance challenges. Directors who have experience monitoring and creating plans to address risk provide important insights that assist our Board and management in ensuring the long-term sustainability of our business</w:t>
            </w:r>
          </w:p>
        </w:tc>
        <w:tc>
          <w:tcPr>
            <w:tcW w:w="485"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97"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color w:val="722981"/>
              </w:rPr>
            </w:pPr>
            <w:r>
              <w:rPr>
                <w:color w:val="722981"/>
              </w:rPr>
              <w:t> </w:t>
            </w:r>
          </w:p>
        </w:tc>
        <w:tc>
          <w:tcPr>
            <w:tcW w:w="458"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34"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13"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52"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0"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6" w:type="dxa"/>
            <w:tcBorders>
              <w:bottom w:val="single" w:sz="8" w:space="0" w:color="999999"/>
              <w:right w:val="single" w:sz="8" w:space="0" w:color="999999"/>
            </w:tcBorders>
            <w:tcMar>
              <w:bottom w:w="28" w:type="dxa"/>
              <w:right w:w="28" w:type="dxa"/>
            </w:tcMar>
            <w:vAlign w:val="center"/>
          </w:tcPr>
          <w:p>
            <w:pPr>
              <w:pStyle w:val="TableContents"/>
              <w:bidi w:val="0"/>
              <w:spacing w:before="0" w:after="283"/>
              <w:jc w:val="center"/>
              <w:rPr>
                <w:color w:val="722981"/>
              </w:rPr>
            </w:pPr>
            <w:r>
              <w:rPr>
                <w:color w:val="722981"/>
              </w:rPr>
              <w:t>•</w:t>
            </w:r>
          </w:p>
        </w:tc>
        <w:tc>
          <w:tcPr>
            <w:tcW w:w="445" w:type="dxa"/>
            <w:tcBorders>
              <w:bottom w:val="single" w:sz="8" w:space="0" w:color="999999"/>
            </w:tcBorders>
            <w:shd w:fill="E4D8FA"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10/12 </w:t>
            </w:r>
          </w:p>
        </w:tc>
        <w:tc>
          <w:tcPr>
            <w:tcW w:w="216" w:type="dxa"/>
            <w:tcBorders>
              <w:bottom w:val="single" w:sz="8" w:space="0" w:color="999999"/>
            </w:tcBorders>
            <w:shd w:fill="E4D8FA"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77" w:type="dxa"/>
            <w:tcBorders>
              <w:right w:val="single" w:sz="8" w:space="0" w:color="999999"/>
            </w:tcBorders>
            <w:tcMar>
              <w:right w:w="28" w:type="dxa"/>
            </w:tcMar>
            <w:vAlign w:val="center"/>
          </w:tcPr>
          <w:p>
            <w:pPr>
              <w:pStyle w:val="TableContents"/>
              <w:bidi w:val="0"/>
              <w:spacing w:before="0" w:after="283"/>
              <w:ind w:left="25" w:right="0" w:hanging="0"/>
              <w:jc w:val="left"/>
              <w:rPr>
                <w:rFonts w:ascii="Arial;Helvetica;sans-serif" w:hAnsi="Arial;Helvetica;sans-serif"/>
                <w:b/>
                <w:color w:val="26215F"/>
                <w:sz w:val="16"/>
              </w:rPr>
            </w:pPr>
            <w:r>
              <w:rPr>
                <w:rFonts w:ascii="Arial;Helvetica;sans-serif" w:hAnsi="Arial;Helvetica;sans-serif"/>
                <w:b/>
                <w:color w:val="26215F"/>
                <w:sz w:val="16"/>
              </w:rPr>
              <w:t>Strategy and M&amp;A Experience</w:t>
            </w:r>
          </w:p>
          <w:p>
            <w:pPr>
              <w:pStyle w:val="TableContents"/>
              <w:bidi w:val="0"/>
              <w:spacing w:before="0" w:after="283"/>
              <w:ind w:left="25"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Viatris’ Directors are responsible for developing the Company’s successful differentiated strategy, both organically and through strategic and opportunistic acquisitions</w:t>
            </w:r>
          </w:p>
        </w:tc>
        <w:tc>
          <w:tcPr>
            <w:tcW w:w="485"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40"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46"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97"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58"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13"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58"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34"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13"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52"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40"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46" w:type="dxa"/>
            <w:tcBorders>
              <w:right w:val="single" w:sz="8" w:space="0" w:color="999999"/>
            </w:tcBorders>
            <w:tcMar>
              <w:right w:w="28" w:type="dxa"/>
            </w:tcMar>
            <w:vAlign w:val="center"/>
          </w:tcPr>
          <w:p>
            <w:pPr>
              <w:pStyle w:val="TableContents"/>
              <w:bidi w:val="0"/>
              <w:spacing w:before="0" w:after="283"/>
              <w:jc w:val="center"/>
              <w:rPr>
                <w:color w:val="722981"/>
              </w:rPr>
            </w:pPr>
            <w:r>
              <w:rPr>
                <w:color w:val="722981"/>
              </w:rPr>
              <w:t>•</w:t>
            </w:r>
          </w:p>
        </w:tc>
        <w:tc>
          <w:tcPr>
            <w:tcW w:w="445" w:type="dxa"/>
            <w:tcBorders/>
            <w:shd w:fill="E4D8FA"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12/12</w:t>
            </w:r>
          </w:p>
        </w:tc>
        <w:tc>
          <w:tcPr>
            <w:tcW w:w="216" w:type="dxa"/>
            <w:tcBorders/>
            <w:shd w:fill="E4D8F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77" w:type="dxa"/>
            <w:tcBorders>
              <w:right w:val="single" w:sz="8" w:space="0" w:color="999999"/>
            </w:tcBorders>
            <w:tcMar>
              <w:right w:w="28" w:type="dxa"/>
            </w:tcMar>
            <w:vAlign w:val="center"/>
          </w:tcPr>
          <w:p>
            <w:pPr>
              <w:pStyle w:val="TableContents"/>
              <w:bidi w:val="0"/>
              <w:spacing w:before="0" w:after="0"/>
              <w:jc w:val="left"/>
              <w:rPr/>
            </w:pPr>
            <w:r>
              <w:rPr/>
              <w:t> </w:t>
            </w:r>
          </w:p>
        </w:tc>
        <w:tc>
          <w:tcPr>
            <w:tcW w:w="485" w:type="dxa"/>
            <w:tcBorders>
              <w:right w:val="single" w:sz="8" w:space="0" w:color="999999"/>
            </w:tcBorders>
            <w:tcMar>
              <w:right w:w="28" w:type="dxa"/>
            </w:tcMar>
            <w:vAlign w:val="center"/>
          </w:tcPr>
          <w:p>
            <w:pPr>
              <w:pStyle w:val="TableContents"/>
              <w:bidi w:val="0"/>
              <w:spacing w:before="0" w:after="0"/>
              <w:jc w:val="left"/>
              <w:rPr/>
            </w:pPr>
            <w:r>
              <w:rPr/>
              <w:t> </w:t>
            </w:r>
          </w:p>
        </w:tc>
        <w:tc>
          <w:tcPr>
            <w:tcW w:w="440" w:type="dxa"/>
            <w:tcBorders>
              <w:right w:val="single" w:sz="8" w:space="0" w:color="999999"/>
            </w:tcBorders>
            <w:tcMar>
              <w:right w:w="28" w:type="dxa"/>
            </w:tcMar>
            <w:vAlign w:val="center"/>
          </w:tcPr>
          <w:p>
            <w:pPr>
              <w:pStyle w:val="TableContents"/>
              <w:bidi w:val="0"/>
              <w:spacing w:before="0" w:after="0"/>
              <w:jc w:val="left"/>
              <w:rPr/>
            </w:pPr>
            <w:r>
              <w:rPr/>
              <w:t> </w:t>
            </w:r>
          </w:p>
        </w:tc>
        <w:tc>
          <w:tcPr>
            <w:tcW w:w="446" w:type="dxa"/>
            <w:tcBorders>
              <w:right w:val="single" w:sz="8" w:space="0" w:color="999999"/>
            </w:tcBorders>
            <w:tcMar>
              <w:right w:w="28" w:type="dxa"/>
            </w:tcMar>
            <w:vAlign w:val="center"/>
          </w:tcPr>
          <w:p>
            <w:pPr>
              <w:pStyle w:val="TableContents"/>
              <w:bidi w:val="0"/>
              <w:spacing w:before="0" w:after="0"/>
              <w:jc w:val="left"/>
              <w:rPr/>
            </w:pPr>
            <w:r>
              <w:rPr/>
              <w:t> </w:t>
            </w:r>
          </w:p>
        </w:tc>
        <w:tc>
          <w:tcPr>
            <w:tcW w:w="497" w:type="dxa"/>
            <w:tcBorders>
              <w:right w:val="single" w:sz="8" w:space="0" w:color="999999"/>
            </w:tcBorders>
            <w:tcMar>
              <w:right w:w="28" w:type="dxa"/>
            </w:tcMar>
            <w:vAlign w:val="center"/>
          </w:tcPr>
          <w:p>
            <w:pPr>
              <w:pStyle w:val="TableContents"/>
              <w:bidi w:val="0"/>
              <w:spacing w:before="0" w:after="0"/>
              <w:jc w:val="left"/>
              <w:rPr/>
            </w:pPr>
            <w:r>
              <w:rPr/>
              <w:t> </w:t>
            </w:r>
          </w:p>
        </w:tc>
        <w:tc>
          <w:tcPr>
            <w:tcW w:w="458" w:type="dxa"/>
            <w:tcBorders>
              <w:right w:val="single" w:sz="8" w:space="0" w:color="999999"/>
            </w:tcBorders>
            <w:tcMar>
              <w:right w:w="28" w:type="dxa"/>
            </w:tcMar>
            <w:vAlign w:val="center"/>
          </w:tcPr>
          <w:p>
            <w:pPr>
              <w:pStyle w:val="TableContents"/>
              <w:bidi w:val="0"/>
              <w:spacing w:before="0" w:after="0"/>
              <w:jc w:val="left"/>
              <w:rPr/>
            </w:pPr>
            <w:r>
              <w:rPr/>
              <w:t> </w:t>
            </w:r>
          </w:p>
        </w:tc>
        <w:tc>
          <w:tcPr>
            <w:tcW w:w="413" w:type="dxa"/>
            <w:tcBorders>
              <w:right w:val="single" w:sz="8" w:space="0" w:color="999999"/>
            </w:tcBorders>
            <w:tcMar>
              <w:right w:w="28" w:type="dxa"/>
            </w:tcMar>
            <w:vAlign w:val="center"/>
          </w:tcPr>
          <w:p>
            <w:pPr>
              <w:pStyle w:val="TableContents"/>
              <w:bidi w:val="0"/>
              <w:spacing w:before="0" w:after="0"/>
              <w:jc w:val="left"/>
              <w:rPr/>
            </w:pPr>
            <w:r>
              <w:rPr/>
              <w:t> </w:t>
            </w:r>
          </w:p>
        </w:tc>
        <w:tc>
          <w:tcPr>
            <w:tcW w:w="458" w:type="dxa"/>
            <w:tcBorders>
              <w:right w:val="single" w:sz="8" w:space="0" w:color="999999"/>
            </w:tcBorders>
            <w:tcMar>
              <w:right w:w="28" w:type="dxa"/>
            </w:tcMar>
            <w:vAlign w:val="center"/>
          </w:tcPr>
          <w:p>
            <w:pPr>
              <w:pStyle w:val="TableContents"/>
              <w:bidi w:val="0"/>
              <w:spacing w:before="0" w:after="0"/>
              <w:jc w:val="left"/>
              <w:rPr/>
            </w:pPr>
            <w:r>
              <w:rPr/>
              <w:t> </w:t>
            </w:r>
          </w:p>
        </w:tc>
        <w:tc>
          <w:tcPr>
            <w:tcW w:w="434" w:type="dxa"/>
            <w:tcBorders>
              <w:right w:val="single" w:sz="8" w:space="0" w:color="999999"/>
            </w:tcBorders>
            <w:tcMar>
              <w:right w:w="28" w:type="dxa"/>
            </w:tcMar>
            <w:vAlign w:val="center"/>
          </w:tcPr>
          <w:p>
            <w:pPr>
              <w:pStyle w:val="TableContents"/>
              <w:bidi w:val="0"/>
              <w:spacing w:before="0" w:after="0"/>
              <w:jc w:val="left"/>
              <w:rPr/>
            </w:pPr>
            <w:r>
              <w:rPr/>
              <w:t> </w:t>
            </w:r>
          </w:p>
        </w:tc>
        <w:tc>
          <w:tcPr>
            <w:tcW w:w="413" w:type="dxa"/>
            <w:tcBorders>
              <w:right w:val="single" w:sz="8" w:space="0" w:color="999999"/>
            </w:tcBorders>
            <w:tcMar>
              <w:right w:w="28" w:type="dxa"/>
            </w:tcMar>
            <w:vAlign w:val="center"/>
          </w:tcPr>
          <w:p>
            <w:pPr>
              <w:pStyle w:val="TableContents"/>
              <w:bidi w:val="0"/>
              <w:spacing w:before="0" w:after="0"/>
              <w:jc w:val="left"/>
              <w:rPr/>
            </w:pPr>
            <w:r>
              <w:rPr/>
              <w:t> </w:t>
            </w:r>
          </w:p>
        </w:tc>
        <w:tc>
          <w:tcPr>
            <w:tcW w:w="452" w:type="dxa"/>
            <w:tcBorders>
              <w:right w:val="single" w:sz="8" w:space="0" w:color="999999"/>
            </w:tcBorders>
            <w:tcMar>
              <w:right w:w="28" w:type="dxa"/>
            </w:tcMar>
            <w:vAlign w:val="center"/>
          </w:tcPr>
          <w:p>
            <w:pPr>
              <w:pStyle w:val="TableContents"/>
              <w:bidi w:val="0"/>
              <w:spacing w:before="0" w:after="0"/>
              <w:jc w:val="left"/>
              <w:rPr/>
            </w:pPr>
            <w:r>
              <w:rPr/>
              <w:t> </w:t>
            </w:r>
          </w:p>
        </w:tc>
        <w:tc>
          <w:tcPr>
            <w:tcW w:w="440" w:type="dxa"/>
            <w:tcBorders>
              <w:right w:val="single" w:sz="8" w:space="0" w:color="999999"/>
            </w:tcBorders>
            <w:tcMar>
              <w:right w:w="28" w:type="dxa"/>
            </w:tcMar>
            <w:vAlign w:val="center"/>
          </w:tcPr>
          <w:p>
            <w:pPr>
              <w:pStyle w:val="TableContents"/>
              <w:bidi w:val="0"/>
              <w:spacing w:before="0" w:after="0"/>
              <w:jc w:val="left"/>
              <w:rPr/>
            </w:pPr>
            <w:r>
              <w:rPr/>
              <w:t> </w:t>
            </w:r>
          </w:p>
        </w:tc>
        <w:tc>
          <w:tcPr>
            <w:tcW w:w="446" w:type="dxa"/>
            <w:tcBorders>
              <w:right w:val="single" w:sz="8" w:space="0" w:color="999999"/>
            </w:tcBorders>
            <w:tcMar>
              <w:right w:w="28" w:type="dxa"/>
            </w:tcMar>
            <w:vAlign w:val="center"/>
          </w:tcPr>
          <w:p>
            <w:pPr>
              <w:pStyle w:val="TableContents"/>
              <w:bidi w:val="0"/>
              <w:spacing w:before="0" w:after="0"/>
              <w:jc w:val="left"/>
              <w:rPr/>
            </w:pPr>
            <w:r>
              <w:rPr/>
              <w:t> </w:t>
            </w:r>
          </w:p>
        </w:tc>
        <w:tc>
          <w:tcPr>
            <w:tcW w:w="445" w:type="dxa"/>
            <w:tcBorders/>
            <w:shd w:fill="E4D8FA" w:val="clear"/>
            <w:vAlign w:val="center"/>
          </w:tcPr>
          <w:p>
            <w:pPr>
              <w:pStyle w:val="TableContents"/>
              <w:bidi w:val="0"/>
              <w:spacing w:before="0" w:after="0"/>
              <w:jc w:val="left"/>
              <w:rPr/>
            </w:pPr>
            <w:r>
              <w:rPr/>
              <w:t> </w:t>
            </w:r>
          </w:p>
        </w:tc>
        <w:tc>
          <w:tcPr>
            <w:tcW w:w="216" w:type="dxa"/>
            <w:tcBorders/>
            <w:shd w:fill="E4D8FA" w:val="clear"/>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 w:name="ny20042022x3_10ka_104-directors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Additional background information for each Director is set forth immediately below. </w:t>
      </w:r>
    </w:p>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Director since </w:t>
            </w:r>
            <w:r>
              <w:rPr>
                <w:rFonts w:ascii="Arial;Helvetica;sans-serif" w:hAnsi="Arial;Helvetica;sans-serif"/>
                <w:color w:val="404040"/>
                <w:sz w:val="18"/>
              </w:rPr>
              <w:t>2020</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Age: </w:t>
            </w:r>
            <w:r>
              <w:rPr>
                <w:rFonts w:ascii="Arial;Helvetica;sans-serif" w:hAnsi="Arial;Helvetica;sans-serif"/>
                <w:color w:val="404040"/>
                <w:sz w:val="18"/>
              </w:rPr>
              <w:t>77*</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Audit</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Compliance and </w:t>
              <w:br/>
              <w:t>Risk Oversight</w:t>
            </w:r>
          </w:p>
          <w:p>
            <w:pPr>
              <w:pStyle w:val="TableContents"/>
              <w:bidi w:val="0"/>
              <w:spacing w:before="8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W. Don Cornwell</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Vice Chair (2009), Founder, Chairman, and Chief Executive Officer (1988 - 2009), </w:t>
            </w:r>
            <w:r>
              <w:rPr>
                <w:rFonts w:ascii="Arial;Helvetica;sans-serif" w:hAnsi="Arial;Helvetica;sans-serif"/>
                <w:b/>
                <w:color w:val="404040"/>
                <w:sz w:val="18"/>
              </w:rPr>
              <w:t>Granite Broadcasting Corporation</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Chief Operating Officer (“COO”), Corporate Finance Department (1980 - 1988), Vice President, Investment Banking (1976 - 1988); joined the company in 1971, </w:t>
            </w:r>
            <w:r>
              <w:rPr>
                <w:rFonts w:ascii="Arial;Helvetica;sans-serif" w:hAnsi="Arial;Helvetica;sans-serif"/>
                <w:b/>
                <w:color w:val="404040"/>
                <w:sz w:val="18"/>
              </w:rPr>
              <w:t>Goldman, Sachs &amp; Co.</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CEO and Public Company Management, Corporate Governance, Finance, Accounting, and Capital Markets, Global Business, </w:t>
            </w:r>
            <w:r>
              <w:rPr>
                <w:rFonts w:ascii="Arial;Helvetica;sans-serif" w:hAnsi="Arial;Helvetica;sans-serif"/>
                <w:b w:val="false"/>
                <w:color w:val="404040"/>
                <w:sz w:val="18"/>
              </w:rPr>
              <w:t>and</w:t>
            </w:r>
            <w:r>
              <w:rPr>
                <w:rFonts w:ascii="Arial;Helvetica;sans-serif" w:hAnsi="Arial;Helvetica;sans-serif"/>
                <w:b/>
                <w:color w:val="404040"/>
                <w:sz w:val="24"/>
              </w:rPr>
              <w:t xml:space="preserve">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developed during his various executive roles, more specifically during his years at Goldman Sachs, where he engaged in public and private financing and advised M&amp;A transactions for publicly traded and privately owned companies, and further advanced through his founding and leadership of Granite Broadcasting</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Human Capital Management </w:t>
            </w:r>
            <w:r>
              <w:rPr>
                <w:rFonts w:ascii="Arial;Helvetica;sans-serif" w:hAnsi="Arial;Helvetica;sans-serif"/>
                <w:b w:val="false"/>
                <w:color w:val="404040"/>
                <w:sz w:val="18"/>
              </w:rPr>
              <w:t>and</w:t>
            </w:r>
            <w:r>
              <w:rPr>
                <w:rFonts w:ascii="Arial;Helvetica;sans-serif" w:hAnsi="Arial;Helvetica;sans-serif"/>
                <w:b/>
                <w:color w:val="404040"/>
                <w:sz w:val="24"/>
              </w:rPr>
              <w:t xml:space="preserve"> </w:t>
            </w:r>
            <w:r>
              <w:rPr>
                <w:rFonts w:ascii="Arial;Helvetica;sans-serif" w:hAnsi="Arial;Helvetica;sans-serif"/>
                <w:b/>
                <w:color w:val="404040"/>
                <w:sz w:val="18"/>
              </w:rPr>
              <w:t>Information Security Experience</w:t>
            </w:r>
            <w:r>
              <w:rPr>
                <w:rFonts w:ascii="Arial;Helvetica;sans-serif" w:hAnsi="Arial;Helvetica;sans-serif"/>
                <w:b/>
                <w:color w:val="404040"/>
                <w:sz w:val="24"/>
              </w:rPr>
              <w:t xml:space="preserve"> </w:t>
            </w:r>
            <w:r>
              <w:rPr>
                <w:rFonts w:ascii="Arial;Helvetica;sans-serif" w:hAnsi="Arial;Helvetica;sans-serif"/>
                <w:b w:val="false"/>
                <w:color w:val="404040"/>
                <w:sz w:val="18"/>
              </w:rPr>
              <w:t>gained while serving as the COO of the Corporate Finance Department of the Investment Banking Division of Goldman Sachs where he was responsible for the management of the department including building the operational infrastructure—IT, document production, training, and recruiting—while the department of over 150 investment banking professionals was experiencing significant staffing growth in response to a dramatic increase in the volume of transactions they were handling</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Mr. Cornwell also brings </w:t>
            </w:r>
            <w:r>
              <w:rPr>
                <w:rFonts w:ascii="Arial;Helvetica;sans-serif" w:hAnsi="Arial;Helvetica;sans-serif"/>
                <w:b/>
                <w:color w:val="404040"/>
                <w:sz w:val="18"/>
              </w:rPr>
              <w:t xml:space="preserve">Healthcare Industry </w:t>
            </w:r>
            <w:r>
              <w:rPr>
                <w:rFonts w:ascii="Arial;Helvetica;sans-serif" w:hAnsi="Arial;Helvetica;sans-serif"/>
                <w:b w:val="false"/>
                <w:color w:val="404040"/>
                <w:sz w:val="18"/>
              </w:rPr>
              <w:t xml:space="preserve">and </w:t>
            </w:r>
            <w:r>
              <w:rPr>
                <w:rFonts w:ascii="Arial;Helvetica;sans-serif" w:hAnsi="Arial;Helvetica;sans-serif"/>
                <w:b/>
                <w:color w:val="404040"/>
                <w:sz w:val="18"/>
              </w:rPr>
              <w:t>Legal and Regulatory Oversight Experience</w:t>
            </w:r>
            <w:r>
              <w:rPr>
                <w:rFonts w:ascii="Arial;Helvetica;sans-serif" w:hAnsi="Arial;Helvetica;sans-serif"/>
                <w:b/>
                <w:color w:val="404040"/>
                <w:sz w:val="24"/>
              </w:rPr>
              <w:t xml:space="preserve"> </w:t>
            </w:r>
            <w:r>
              <w:rPr>
                <w:rFonts w:ascii="Arial;Helvetica;sans-serif" w:hAnsi="Arial;Helvetica;sans-serif"/>
                <w:b w:val="false"/>
                <w:color w:val="404040"/>
                <w:sz w:val="18"/>
              </w:rPr>
              <w:t>to the Board</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American International Group, Inc.</w:t>
            </w:r>
            <w:r>
              <w:rPr>
                <w:rFonts w:ascii="Arial;Helvetica;sans-serif" w:hAnsi="Arial;Helvetica;sans-serif"/>
                <w:b/>
                <w:color w:val="404040"/>
                <w:sz w:val="24"/>
              </w:rPr>
              <w:t xml:space="preserve"> </w:t>
            </w:r>
            <w:r>
              <w:rPr>
                <w:rFonts w:ascii="Arial;Helvetica;sans-serif" w:hAnsi="Arial;Helvetica;sans-serif"/>
                <w:b w:val="false"/>
                <w:color w:val="404040"/>
                <w:sz w:val="18"/>
              </w:rPr>
              <w:t>(NYSE: AIG) (2011 - 2024), Director, and most recently member of the Audit and Nominating and Corporate Governance Committees; also previously Chairman of the Compensation and Management Resources Committee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Natura &amp; Co Holding S.A.</w:t>
            </w:r>
            <w:r>
              <w:rPr>
                <w:rFonts w:ascii="Arial;Helvetica;sans-serif" w:hAnsi="Arial;Helvetica;sans-serif"/>
                <w:b/>
                <w:color w:val="404040"/>
                <w:sz w:val="24"/>
              </w:rPr>
              <w:t xml:space="preserve"> </w:t>
            </w:r>
            <w:r>
              <w:rPr>
                <w:rFonts w:ascii="Arial;Helvetica;sans-serif" w:hAnsi="Arial;Helvetica;sans-serif"/>
                <w:b w:val="false"/>
                <w:color w:val="404040"/>
                <w:sz w:val="18"/>
              </w:rPr>
              <w:t>(NYSE: NTCO) (2020 - 2023), Director and most recently member of the Corporate Governance Committee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Avon Products, Inc.</w:t>
            </w:r>
            <w:r>
              <w:rPr>
                <w:rFonts w:ascii="Arial;Helvetica;sans-serif" w:hAnsi="Arial;Helvetica;sans-serif"/>
                <w:b/>
                <w:color w:val="404040"/>
                <w:sz w:val="24"/>
              </w:rPr>
              <w:t xml:space="preserve"> </w:t>
            </w:r>
            <w:r>
              <w:rPr>
                <w:rFonts w:ascii="Arial;Helvetica;sans-serif" w:hAnsi="Arial;Helvetica;sans-serif"/>
                <w:b w:val="false"/>
                <w:color w:val="404040"/>
                <w:sz w:val="18"/>
              </w:rPr>
              <w:t>(2002 - 2020 when acquired by Natura), Director and Lead Independent Director</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Pfizer </w:t>
            </w:r>
            <w:r>
              <w:rPr>
                <w:rFonts w:ascii="Arial;Helvetica;sans-serif" w:hAnsi="Arial;Helvetica;sans-serif"/>
                <w:b w:val="false"/>
                <w:color w:val="404040"/>
                <w:sz w:val="18"/>
              </w:rPr>
              <w:t>(NYSE: PFE) (1997 - the closing of the Combination in 2020), Director, and most recently Chair of the Regulatory and Compliance Committee and member of the Governance and Sustainability Committee; also previously Chair of the Audit Committee</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Organizations:</w:t>
            </w:r>
          </w:p>
          <w:p>
            <w:pPr>
              <w:pStyle w:val="TableContents"/>
              <w:bidi w:val="0"/>
              <w:spacing w:before="0" w:after="283"/>
              <w:ind w:left="0" w:right="0" w:hanging="0"/>
              <w:jc w:val="left"/>
              <w:rPr>
                <w:color w:val="404040"/>
              </w:rPr>
            </w:pPr>
            <w:r>
              <w:rPr>
                <w:color w:val="404040"/>
              </w:rPr>
              <w:t> </w:t>
            </w:r>
          </w:p>
          <w:p>
            <w:pPr>
              <w:pStyle w:val="TableContents"/>
              <w:bidi w:val="0"/>
              <w:spacing w:before="0" w:after="283"/>
              <w:jc w:val="left"/>
              <w:rPr>
                <w:color w:val="26215F"/>
              </w:rPr>
            </w:pPr>
            <w:r>
              <w:rPr>
                <w:color w:val="404040"/>
              </w:rPr>
              <w:t>• </w:t>
            </w:r>
            <w:r>
              <w:rPr>
                <w:rFonts w:ascii="Arial;Helvetica;sans-serif" w:hAnsi="Arial;Helvetica;sans-serif"/>
                <w:b w:val="false"/>
                <w:color w:val="404040"/>
                <w:sz w:val="18"/>
              </w:rPr>
              <w:t xml:space="preserve">Board of Trustees, </w:t>
            </w:r>
            <w:r>
              <w:rPr>
                <w:rFonts w:ascii="Arial;Helvetica;sans-serif" w:hAnsi="Arial;Helvetica;sans-serif"/>
                <w:b/>
                <w:color w:val="404040"/>
                <w:sz w:val="18"/>
              </w:rPr>
              <w:t>Big Brothers Big Sisters of New York City</w:t>
            </w:r>
          </w:p>
          <w:p>
            <w:pPr>
              <w:pStyle w:val="TableContents"/>
              <w:bidi w:val="0"/>
              <w:spacing w:before="0" w:after="283"/>
              <w:ind w:left="180" w:right="0" w:hanging="0"/>
              <w:jc w:val="both"/>
              <w:rPr>
                <w:color w:val="404040"/>
              </w:rPr>
            </w:pPr>
            <w:r>
              <w:rPr>
                <w:color w:val="404040"/>
              </w:rPr>
              <w:t>• 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Vice Chairman and Lead Director of the Board of Directors, </w:t>
            </w:r>
            <w:r>
              <w:rPr>
                <w:rFonts w:ascii="Arial;Helvetica;sans-serif" w:hAnsi="Arial;Helvetica;sans-serif"/>
                <w:b/>
                <w:color w:val="404040"/>
                <w:sz w:val="18"/>
              </w:rPr>
              <w:t>Blue Meridian Partners</w:t>
            </w:r>
            <w:r>
              <w:rPr>
                <w:rFonts w:ascii="Arial;Helvetica;sans-serif" w:hAnsi="Arial;Helvetica;sans-serif"/>
                <w:b w:val="false"/>
                <w:color w:val="404040"/>
                <w:sz w:val="18"/>
              </w:rPr>
              <w:t>, a partnership of philanthropists that invests in strategies to impact social problems confronting young people and families in poverty</w:t>
            </w:r>
          </w:p>
          <w:p>
            <w:pPr>
              <w:pStyle w:val="TableContents"/>
              <w:bidi w:val="0"/>
              <w:spacing w:before="0" w:after="283"/>
              <w:ind w:left="180" w:right="0" w:hanging="0"/>
              <w:jc w:val="left"/>
              <w:rPr>
                <w:color w:val="404040"/>
              </w:rPr>
            </w:pPr>
            <w:r>
              <w:rPr>
                <w:color w:val="404040"/>
              </w:rPr>
              <w:t>• 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Board of Trustees, </w:t>
            </w:r>
            <w:r>
              <w:rPr>
                <w:rFonts w:ascii="Arial;Helvetica;sans-serif" w:hAnsi="Arial;Helvetica;sans-serif"/>
                <w:b/>
                <w:color w:val="404040"/>
                <w:sz w:val="18"/>
              </w:rPr>
              <w:t>Occidental College</w:t>
            </w:r>
            <w:r>
              <w:rPr>
                <w:rFonts w:ascii="Arial;Helvetica;sans-serif" w:hAnsi="Arial;Helvetica;sans-serif"/>
                <w:b w:val="false"/>
                <w:color w:val="404040"/>
                <w:sz w:val="18"/>
              </w:rPr>
              <w:t>, and Vice Chair of the Investment Committee</w:t>
            </w:r>
          </w:p>
          <w:p>
            <w:pPr>
              <w:pStyle w:val="TableContents"/>
              <w:bidi w:val="0"/>
              <w:spacing w:before="0" w:after="283"/>
              <w:ind w:left="180" w:right="0" w:hanging="0"/>
              <w:jc w:val="both"/>
              <w:rPr>
                <w:color w:val="404040"/>
              </w:rPr>
            </w:pPr>
            <w:r>
              <w:rPr>
                <w:color w:val="404040"/>
              </w:rPr>
              <w:t>• 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Advisory, </w:t>
            </w:r>
            <w:r>
              <w:rPr>
                <w:rFonts w:ascii="Arial;Helvetica;sans-serif" w:hAnsi="Arial;Helvetica;sans-serif"/>
                <w:b/>
                <w:color w:val="404040"/>
                <w:sz w:val="18"/>
              </w:rPr>
              <w:t>Orca Biosystems, Inc.</w:t>
            </w:r>
            <w:r>
              <w:rPr>
                <w:rFonts w:ascii="Arial;Helvetica;sans-serif" w:hAnsi="Arial;Helvetica;sans-serif"/>
                <w:b w:val="false"/>
                <w:color w:val="404040"/>
                <w:sz w:val="18"/>
              </w:rPr>
              <w:t xml:space="preserve">, a private biotechnology company developing high-precision cell therapies for the treatment of cancer and autoimmune diseases </w:t>
            </w:r>
          </w:p>
          <w:p>
            <w:pPr>
              <w:pStyle w:val="TableContents"/>
              <w:bidi w:val="0"/>
              <w:spacing w:before="60" w:after="283"/>
              <w:ind w:left="0" w:right="0" w:hanging="0"/>
              <w:jc w:val="both"/>
              <w:rPr>
                <w:rFonts w:ascii="Arial;Helvetica;sans-serif" w:hAnsi="Arial;Helvetica;sans-serif"/>
                <w:b w:val="false"/>
                <w:color w:val="404040"/>
                <w:sz w:val="18"/>
              </w:rPr>
            </w:pPr>
            <w:r>
              <w:rPr>
                <w:rFonts w:ascii="Arial;Helvetica;sans-serif" w:hAnsi="Arial;Helvetica;sans-serif"/>
                <w:b w:val="false"/>
                <w:color w:val="404040"/>
                <w:sz w:val="18"/>
              </w:rPr>
              <w:t>*   </w:t>
            </w:r>
          </w:p>
          <w:p>
            <w:pPr>
              <w:pStyle w:val="TableContents"/>
              <w:bidi w:val="0"/>
              <w:spacing w:before="60" w:after="283"/>
              <w:jc w:val="both"/>
              <w:rPr>
                <w:rFonts w:ascii="Arial;Helvetica;sans-serif" w:hAnsi="Arial;Helvetica;sans-serif"/>
                <w:b w:val="false"/>
                <w:color w:val="404040"/>
                <w:sz w:val="18"/>
              </w:rPr>
            </w:pPr>
            <w:r>
              <w:rPr>
                <w:rFonts w:ascii="Arial;Helvetica;sans-serif" w:hAnsi="Arial;Helvetica;sans-serif"/>
                <w:b w:val="false"/>
                <w:color w:val="404040"/>
                <w:sz w:val="18"/>
              </w:rPr>
              <w:t>The Board, on the recommendation of the Governance and Sustainability Committee, has, in accordance with its Corporate Governance Principles, approved a waiver to the mandatory retirement age for Directors for Mr. Cornwell and determined that such waiver was in the best interests of the Company because of his continued extensive contributions to the Board and his knowledge and familiarity with the legacy Upjohn business.</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42022x3_10ka_104-directors_pg3"/>
        <w:bookmarkEnd w:id="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Director since </w:t>
            </w:r>
            <w:r>
              <w:rPr>
                <w:rFonts w:ascii="Arial;Helvetica;sans-serif" w:hAnsi="Arial;Helvetica;sans-serif"/>
                <w:color w:val="404040"/>
                <w:sz w:val="18"/>
              </w:rPr>
              <w:t>2020</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Age:</w:t>
            </w:r>
            <w:r>
              <w:rPr>
                <w:rFonts w:ascii="Arial;Helvetica;sans-serif" w:hAnsi="Arial;Helvetica;sans-serif"/>
                <w:color w:val="404040"/>
                <w:sz w:val="18"/>
              </w:rPr>
              <w:t xml:space="preserve"> 61</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Board Committees:</w:t>
            </w:r>
            <w:r>
              <w:rPr>
                <w:rFonts w:ascii="Arial;Helvetica;sans-serif" w:hAnsi="Arial;Helvetica;sans-serif"/>
                <w:color w:val="404040"/>
                <w:sz w:val="18"/>
              </w:rPr>
              <w:br/>
              <w:t> • Audit</w:t>
              <w:br/>
              <w:t> • Compensation</w:t>
              <w:br/>
              <w:t> • Executive</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Governance and </w:t>
              <w:br/>
              <w:t>Sustainability (Chair)</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JoEllen Lyons Dillon</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Executive Vice President, Strategic Developments and Capital Markets (2014 - 2017); Chief Legal Officer and Corporate Secretary, </w:t>
            </w:r>
            <w:r>
              <w:rPr>
                <w:rFonts w:ascii="Arial;Helvetica;sans-serif" w:hAnsi="Arial;Helvetica;sans-serif"/>
                <w:b/>
                <w:color w:val="404040"/>
                <w:sz w:val="18"/>
              </w:rPr>
              <w:t>The ExOne Company</w:t>
            </w:r>
            <w:r>
              <w:rPr>
                <w:rFonts w:ascii="Arial;Helvetica;sans-serif" w:hAnsi="Arial;Helvetica;sans-serif"/>
                <w:b/>
                <w:color w:val="404040"/>
                <w:sz w:val="24"/>
              </w:rPr>
              <w:t xml:space="preserve"> </w:t>
            </w:r>
            <w:r>
              <w:rPr>
                <w:rFonts w:ascii="Arial;Helvetica;sans-serif" w:hAnsi="Arial;Helvetica;sans-serif"/>
                <w:b w:val="false"/>
                <w:color w:val="404040"/>
                <w:sz w:val="18"/>
              </w:rPr>
              <w:t>(2013 - 2017). ExOne merged with Desktop Metal (NYSE: DM) in November 2021. ExOne was a global provider of three-dimensional (3D) printing machines and printed products, materials, and other services to industrial customers creating products in metal on a worldwide basis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Partner (2002 - 2011), </w:t>
            </w:r>
            <w:r>
              <w:rPr>
                <w:rFonts w:ascii="Arial;Helvetica;sans-serif" w:hAnsi="Arial;Helvetica;sans-serif"/>
                <w:b/>
                <w:color w:val="404040"/>
                <w:sz w:val="18"/>
              </w:rPr>
              <w:t>Reed Smith LLP</w:t>
            </w:r>
            <w:r>
              <w:rPr>
                <w:rFonts w:ascii="Arial;Helvetica;sans-serif" w:hAnsi="Arial;Helvetica;sans-serif"/>
                <w:b w:val="false"/>
                <w:color w:val="404040"/>
                <w:sz w:val="18"/>
              </w:rPr>
              <w:t>, a law firm</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Partner (1997 - 2002), </w:t>
            </w:r>
            <w:r>
              <w:rPr>
                <w:rFonts w:ascii="Arial;Helvetica;sans-serif" w:hAnsi="Arial;Helvetica;sans-serif"/>
                <w:b/>
                <w:color w:val="404040"/>
                <w:sz w:val="18"/>
              </w:rPr>
              <w:t>Buchanan Ingersoll &amp; Rooney PC</w:t>
            </w:r>
            <w:r>
              <w:rPr>
                <w:rFonts w:ascii="Arial;Helvetica;sans-serif" w:hAnsi="Arial;Helvetica;sans-serif"/>
                <w:b w:val="false"/>
                <w:color w:val="404040"/>
                <w:sz w:val="18"/>
              </w:rPr>
              <w:t>, a law firm (joined the firm in 1988)</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Public Company Management, Corporate Governance, Finance, Accounting, and Capital Markets, Global Business, Human Capital Management, Information Security, Legal and Regulatory Oversight, Risk Oversight/Compliance, </w:t>
            </w:r>
            <w:r>
              <w:rPr>
                <w:rFonts w:ascii="Arial;Helvetica;sans-serif" w:hAnsi="Arial;Helvetica;sans-serif"/>
                <w:b w:val="false"/>
                <w:color w:val="404040"/>
                <w:sz w:val="18"/>
              </w:rPr>
              <w:t>and</w:t>
            </w:r>
            <w:r>
              <w:rPr>
                <w:rFonts w:ascii="Arial;Helvetica;sans-serif" w:hAnsi="Arial;Helvetica;sans-serif"/>
                <w:b/>
                <w:color w:val="404040"/>
                <w:sz w:val="24"/>
              </w:rPr>
              <w:t xml:space="preserve">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gained during her almost 25-year legal career in corporate M&amp;A and securities, where she represented both public and private companies in a variety of complex matters, and further developed while at ExOne, where she was responsible for capital markets development, corporate strategic planning, human resources, global compliance, investor relations, and international business development within Europe and Asia, through which she became a thought leader in the areas of corporate governance, legal and regulatory oversight, capital markets, and M&amp;A and is regularly invited to speak at major conferences, including, among others, the 2023 and 2024 Stanford Directors’ College, on such topics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Ms. Dillon also brings </w:t>
            </w:r>
            <w:r>
              <w:rPr>
                <w:rFonts w:ascii="Arial;Helvetica;sans-serif" w:hAnsi="Arial;Helvetica;sans-serif"/>
                <w:b/>
                <w:color w:val="404040"/>
                <w:sz w:val="18"/>
              </w:rPr>
              <w:t>CS Experience</w:t>
            </w:r>
            <w:r>
              <w:rPr>
                <w:rFonts w:ascii="Arial;Helvetica;sans-serif" w:hAnsi="Arial;Helvetica;sans-serif"/>
                <w:b/>
                <w:color w:val="404040"/>
                <w:sz w:val="24"/>
              </w:rPr>
              <w:t xml:space="preserve"> </w:t>
            </w:r>
            <w:r>
              <w:rPr>
                <w:rFonts w:ascii="Arial;Helvetica;sans-serif" w:hAnsi="Arial;Helvetica;sans-serif"/>
                <w:b w:val="false"/>
                <w:color w:val="404040"/>
                <w:sz w:val="18"/>
              </w:rPr>
              <w:t>obtained through her legal and regulatory background, in addition to ongoing education programs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val="false"/>
                <w:color w:val="404040"/>
                <w:sz w:val="18"/>
              </w:rPr>
            </w:pPr>
            <w:r>
              <w:rPr>
                <w:rFonts w:ascii="Arial;Helvetica;sans-serif" w:hAnsi="Arial;Helvetica;sans-serif"/>
                <w:b w:val="false"/>
                <w:color w:val="404040"/>
                <w:sz w:val="18"/>
              </w:rPr>
              <w:t>Completed certification “Board Governance: Navigating Emerging Technologies and More in a Complex World” at Cornell University in November 2023</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r>
              <w:rPr>
                <w:rFonts w:ascii="Arial;Helvetica;sans-serif" w:hAnsi="Arial;Helvetica;sans-serif"/>
                <w:b/>
                <w:color w:val="404040"/>
                <w:sz w:val="18"/>
              </w:rPr>
              <w:t xml:space="preserve">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World Wrestling Entertainment, Inc.</w:t>
            </w:r>
            <w:r>
              <w:rPr>
                <w:rFonts w:ascii="Arial;Helvetica;sans-serif" w:hAnsi="Arial;Helvetica;sans-serif"/>
                <w:b/>
                <w:color w:val="404040"/>
                <w:sz w:val="24"/>
              </w:rPr>
              <w:t xml:space="preserve"> </w:t>
            </w:r>
            <w:r>
              <w:rPr>
                <w:rFonts w:ascii="Arial;Helvetica;sans-serif" w:hAnsi="Arial;Helvetica;sans-serif"/>
                <w:b w:val="false"/>
                <w:color w:val="404040"/>
                <w:sz w:val="18"/>
              </w:rPr>
              <w:t>(2022 - 2023) (now known as World Wrestling, LLC), Director</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Mylan</w:t>
            </w:r>
            <w:r>
              <w:rPr>
                <w:rFonts w:ascii="Arial;Helvetica;sans-serif" w:hAnsi="Arial;Helvetica;sans-serif"/>
                <w:b/>
                <w:color w:val="404040"/>
                <w:sz w:val="24"/>
              </w:rPr>
              <w:t xml:space="preserve"> </w:t>
            </w:r>
            <w:r>
              <w:rPr>
                <w:rFonts w:ascii="Arial;Helvetica;sans-serif" w:hAnsi="Arial;Helvetica;sans-serif"/>
                <w:b w:val="false"/>
                <w:color w:val="404040"/>
                <w:sz w:val="18"/>
              </w:rPr>
              <w:t>(2014 - the closing of the Combination in 2020), Director, most recently Chair of the Compensation and Governance and Nominating Committees and member of the Audit, Compliance, and Executive Committees</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Organizations: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Trustee, </w:t>
            </w:r>
            <w:r>
              <w:rPr>
                <w:rFonts w:ascii="Arial;Helvetica;sans-serif" w:hAnsi="Arial;Helvetica;sans-serif"/>
                <w:b/>
                <w:color w:val="404040"/>
                <w:sz w:val="18"/>
              </w:rPr>
              <w:t>S. K. Rockwell Conservation Fund</w:t>
            </w:r>
            <w:r>
              <w:rPr>
                <w:rFonts w:ascii="Arial;Helvetica;sans-serif" w:hAnsi="Arial;Helvetica;sans-serif"/>
                <w:b w:val="false"/>
                <w:color w:val="404040"/>
                <w:sz w:val="18"/>
              </w:rPr>
              <w:t>, a non-profit corporation established with the principal concept to preserve and enhance environmental resources</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5</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ny20042022x3_10ka_104-directors_pg4"/>
        <w:bookmarkEnd w:id="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71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33500" cy="1371600"/>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Director since </w:t>
            </w:r>
            <w:r>
              <w:rPr>
                <w:rFonts w:ascii="Arial;Helvetica;sans-serif" w:hAnsi="Arial;Helvetica;sans-serif"/>
                <w:color w:val="404040"/>
                <w:sz w:val="18"/>
              </w:rPr>
              <w:t>2022</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Age: </w:t>
            </w:r>
            <w:r>
              <w:rPr>
                <w:rFonts w:ascii="Arial;Helvetica;sans-serif" w:hAnsi="Arial;Helvetica;sans-serif"/>
                <w:color w:val="404040"/>
                <w:sz w:val="18"/>
              </w:rPr>
              <w:t>63</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Audit</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Finance</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Elisha Finney</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Executive Vice President (2012 - 2017), Chief Financial Officer (April 1999 - May 2017), Senior Vice President (2005 - 2012), Vice President of Finance (1999 - 2005), joined the company in 1988, </w:t>
            </w:r>
            <w:r>
              <w:rPr>
                <w:rFonts w:ascii="Arial;Helvetica;sans-serif" w:hAnsi="Arial;Helvetica;sans-serif"/>
                <w:b/>
                <w:color w:val="404040"/>
                <w:sz w:val="18"/>
              </w:rPr>
              <w:t>Varian Medical Systems, Inc.</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Public Company Management, Corporate Governance, Finance, Accounting, and Capital Markets, Healthcare Industry, Human Capital Management, Information Security,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Risk Oversight/Compliance Experience </w:t>
            </w:r>
            <w:r>
              <w:rPr>
                <w:rFonts w:ascii="Arial;Helvetica;sans-serif" w:hAnsi="Arial;Helvetica;sans-serif"/>
                <w:b w:val="false"/>
                <w:color w:val="404040"/>
                <w:sz w:val="18"/>
              </w:rPr>
              <w:t>gained during her time at Varian Medical Systems, where she oversaw corporate accounting, corporate communications and investor relations, internal audit, risk management, tax and treasury, and corporate information systems, and helped the company grow to be a world-leading manufacturer of medical devices and software for treating cancer and other medical conditions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Ms. Finney also brings </w:t>
            </w:r>
            <w:r>
              <w:rPr>
                <w:rFonts w:ascii="Arial;Helvetica;sans-serif" w:hAnsi="Arial;Helvetica;sans-serif"/>
                <w:b/>
                <w:color w:val="404040"/>
                <w:sz w:val="18"/>
              </w:rPr>
              <w:t xml:space="preserve">Global Business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to the Board</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Current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Mettler-Toledo International Inc.</w:t>
            </w:r>
            <w:r>
              <w:rPr>
                <w:rFonts w:ascii="Arial;Helvetica;sans-serif" w:hAnsi="Arial;Helvetica;sans-serif"/>
                <w:b/>
                <w:color w:val="404040"/>
                <w:sz w:val="24"/>
              </w:rPr>
              <w:t xml:space="preserve"> </w:t>
            </w:r>
            <w:r>
              <w:rPr>
                <w:rFonts w:ascii="Arial;Helvetica;sans-serif" w:hAnsi="Arial;Helvetica;sans-serif"/>
                <w:b w:val="false"/>
                <w:color w:val="404040"/>
                <w:sz w:val="18"/>
              </w:rPr>
              <w:t>(NYSE: MTD) (since 2017), Director and Chair of the Audit Committee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ICU Medical, Inc.</w:t>
            </w:r>
            <w:r>
              <w:rPr>
                <w:rFonts w:ascii="Arial;Helvetica;sans-serif" w:hAnsi="Arial;Helvetica;sans-serif"/>
                <w:b/>
                <w:color w:val="404040"/>
                <w:sz w:val="24"/>
              </w:rPr>
              <w:t xml:space="preserve"> </w:t>
            </w:r>
            <w:r>
              <w:rPr>
                <w:rFonts w:ascii="Arial;Helvetica;sans-serif" w:hAnsi="Arial;Helvetica;sans-serif"/>
                <w:b w:val="false"/>
                <w:color w:val="404040"/>
                <w:sz w:val="18"/>
              </w:rPr>
              <w:t>(NASDAQ: ICUI) (since 2016), Director, Chair of the Nominating and Governance Committee, and member of the Audit and Compliance Committee</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 xml:space="preserve">NanoString Technologies, Inc. </w:t>
            </w:r>
            <w:r>
              <w:rPr>
                <w:rFonts w:ascii="Arial;Helvetica;sans-serif" w:hAnsi="Arial;Helvetica;sans-serif"/>
                <w:b w:val="false"/>
                <w:color w:val="404040"/>
                <w:sz w:val="18"/>
              </w:rPr>
              <w:t xml:space="preserve">(2017 - 2024), Director and Chair of the Audit Committee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iRobot Corporation</w:t>
            </w:r>
            <w:r>
              <w:rPr>
                <w:rFonts w:ascii="Arial;Helvetica;sans-serif" w:hAnsi="Arial;Helvetica;sans-serif"/>
                <w:b/>
                <w:color w:val="404040"/>
                <w:sz w:val="24"/>
              </w:rPr>
              <w:t xml:space="preserve"> </w:t>
            </w:r>
            <w:r>
              <w:rPr>
                <w:rFonts w:ascii="Arial;Helvetica;sans-serif" w:hAnsi="Arial;Helvetica;sans-serif"/>
                <w:b w:val="false"/>
                <w:color w:val="404040"/>
                <w:sz w:val="18"/>
              </w:rPr>
              <w:t>(NASDAQ: IRBT) (2017 - 2021), Director and member of the Audit and Compensation and Talent Committees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Cutera, Inc. </w:t>
            </w:r>
            <w:r>
              <w:rPr>
                <w:rFonts w:ascii="Arial;Helvetica;sans-serif" w:hAnsi="Arial;Helvetica;sans-serif"/>
                <w:b w:val="false"/>
                <w:color w:val="404040"/>
                <w:sz w:val="18"/>
              </w:rPr>
              <w:t>(NASDAQ: CUTR) (2017 - 2019), Director, Chair of the Audit Committee, and member of the Enterprise Risk Committee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Altera Corporation</w:t>
            </w:r>
            <w:r>
              <w:rPr>
                <w:rFonts w:ascii="Arial;Helvetica;sans-serif" w:hAnsi="Arial;Helvetica;sans-serif"/>
                <w:b/>
                <w:color w:val="404040"/>
                <w:sz w:val="24"/>
              </w:rPr>
              <w:t xml:space="preserve"> </w:t>
            </w:r>
            <w:r>
              <w:rPr>
                <w:rFonts w:ascii="Arial;Helvetica;sans-serif" w:hAnsi="Arial;Helvetica;sans-serif"/>
                <w:b w:val="false"/>
                <w:color w:val="404040"/>
                <w:sz w:val="18"/>
              </w:rPr>
              <w:t>(2011 - 2015 when acquired by Intel Corporation), Director and Chair of the Audit Committee</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Thoratec Corporation</w:t>
            </w:r>
            <w:r>
              <w:rPr>
                <w:rFonts w:ascii="Arial;Helvetica;sans-serif" w:hAnsi="Arial;Helvetica;sans-serif"/>
                <w:b/>
                <w:color w:val="404040"/>
                <w:sz w:val="24"/>
              </w:rPr>
              <w:t xml:space="preserve"> </w:t>
            </w:r>
            <w:r>
              <w:rPr>
                <w:rFonts w:ascii="Arial;Helvetica;sans-serif" w:hAnsi="Arial;Helvetica;sans-serif"/>
                <w:b w:val="false"/>
                <w:color w:val="404040"/>
                <w:sz w:val="18"/>
              </w:rPr>
              <w:t>(2007 - 2013), Director and Chair of the Audit Committee</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71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333500" cy="1371600"/>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Director since</w:t>
            </w:r>
            <w:r>
              <w:rPr>
                <w:rFonts w:ascii="Arial;Helvetica;sans-serif" w:hAnsi="Arial;Helvetica;sans-serif"/>
                <w:color w:val="404040"/>
                <w:sz w:val="18"/>
              </w:rPr>
              <w:t xml:space="preserve"> 2023</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Age: </w:t>
            </w:r>
            <w:r>
              <w:rPr>
                <w:rFonts w:ascii="Arial;Helvetica;sans-serif" w:hAnsi="Arial;Helvetica;sans-serif"/>
                <w:color w:val="404040"/>
                <w:sz w:val="18"/>
              </w:rPr>
              <w:t>52</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Compliance and </w:t>
              <w:br/>
              <w:t>Risk Oversight</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Executive</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Governance and </w:t>
              <w:br/>
              <w:t>Sustainability</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Leo Groothuis</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General Counsel (2022 - present), </w:t>
            </w:r>
            <w:r>
              <w:rPr>
                <w:rFonts w:ascii="Arial;Helvetica;sans-serif" w:hAnsi="Arial;Helvetica;sans-serif"/>
                <w:b/>
                <w:color w:val="404040"/>
                <w:sz w:val="18"/>
              </w:rPr>
              <w:t>HAL Investments</w:t>
            </w:r>
            <w:r>
              <w:rPr>
                <w:rFonts w:ascii="Arial;Helvetica;sans-serif" w:hAnsi="Arial;Helvetica;sans-serif"/>
                <w:b w:val="false"/>
                <w:color w:val="404040"/>
                <w:sz w:val="18"/>
              </w:rPr>
              <w:t>, the Dutch investment subsidiary of HAL Holding N.V., a public international investment company listed on the Amsterdam stock exchange, which is focused on increasing shareholder value</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Partner (2006 - 2022), </w:t>
            </w:r>
            <w:r>
              <w:rPr>
                <w:rFonts w:ascii="Arial;Helvetica;sans-serif" w:hAnsi="Arial;Helvetica;sans-serif"/>
                <w:b/>
                <w:color w:val="404040"/>
                <w:sz w:val="18"/>
              </w:rPr>
              <w:t>NautaDutilh</w:t>
            </w:r>
            <w:r>
              <w:rPr>
                <w:rFonts w:ascii="Arial;Helvetica;sans-serif" w:hAnsi="Arial;Helvetica;sans-serif"/>
                <w:b w:val="false"/>
                <w:color w:val="404040"/>
                <w:sz w:val="18"/>
              </w:rPr>
              <w:t>, a law firm (joined the firm in October 1996)</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Corporate Governance, Global Business, Legal and Regulatory Oversight, Risk Oversight/Compliance,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acquired during his legal career at NautaDutilh, where he had been a trusted C-suite and board advisor to some of the largest companies in both Europe and the U.S., which resulted in him being recognized as a top lawyer and thought leader in corporate governance, capital markets, and M&amp;A for the guidance he had provided to numerous multi-national private and public companies on significant complex strategic transactions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Mr. Groothuis also brings </w:t>
            </w:r>
            <w:r>
              <w:rPr>
                <w:rFonts w:ascii="Arial;Helvetica;sans-serif" w:hAnsi="Arial;Helvetica;sans-serif"/>
                <w:b/>
                <w:color w:val="404040"/>
                <w:sz w:val="18"/>
              </w:rPr>
              <w:t xml:space="preserve">CS Experience </w:t>
            </w:r>
            <w:r>
              <w:rPr>
                <w:rFonts w:ascii="Arial;Helvetica;sans-serif" w:hAnsi="Arial;Helvetica;sans-serif"/>
                <w:b w:val="false"/>
                <w:color w:val="404040"/>
                <w:sz w:val="18"/>
              </w:rPr>
              <w:t xml:space="preserve">obtained through his active involvement in the development and execution of HAL Investments’ CS strategies </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Organizations: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Director, </w:t>
            </w:r>
            <w:r>
              <w:rPr>
                <w:rFonts w:ascii="Arial;Helvetica;sans-serif" w:hAnsi="Arial;Helvetica;sans-serif"/>
                <w:b/>
                <w:color w:val="404040"/>
                <w:sz w:val="18"/>
              </w:rPr>
              <w:t>Stichting Continuiteit IHC</w:t>
            </w:r>
            <w:r>
              <w:rPr>
                <w:rFonts w:ascii="Arial;Helvetica;sans-serif" w:hAnsi="Arial;Helvetica;sans-serif"/>
                <w:b/>
                <w:color w:val="404040"/>
                <w:sz w:val="24"/>
              </w:rPr>
              <w:t xml:space="preserve"> </w:t>
            </w:r>
            <w:r>
              <w:rPr>
                <w:rFonts w:ascii="Arial;Helvetica;sans-serif" w:hAnsi="Arial;Helvetica;sans-serif"/>
                <w:b w:val="false"/>
                <w:color w:val="404040"/>
                <w:sz w:val="18"/>
              </w:rPr>
              <w:t xml:space="preserve">and </w:t>
            </w:r>
            <w:r>
              <w:rPr>
                <w:rFonts w:ascii="Arial;Helvetica;sans-serif" w:hAnsi="Arial;Helvetica;sans-serif"/>
                <w:b/>
                <w:color w:val="404040"/>
                <w:sz w:val="18"/>
              </w:rPr>
              <w:t>B.V. Finance Continuiteit IHC</w:t>
            </w:r>
            <w:r>
              <w:rPr>
                <w:rFonts w:ascii="Arial;Helvetica;sans-serif" w:hAnsi="Arial;Helvetica;sans-serif"/>
                <w:b w:val="false"/>
                <w:color w:val="404040"/>
                <w:sz w:val="18"/>
              </w:rPr>
              <w:t>, Dutch foundations that together are the sole shareholders of Royal IHC, a private international shipbuilding company</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6</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 w:name="ny20042022x3_10ka_104-directors_pg5"/>
        <w:bookmarkEnd w:id="17"/>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8" w:name="tMH"/>
      <w:bookmarkStart w:id="19" w:name="tMH"/>
      <w:bookmarkEnd w:id="19"/>
    </w:p>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Director since</w:t>
            </w:r>
            <w:r>
              <w:rPr>
                <w:rFonts w:ascii="Arial;Helvetica;sans-serif" w:hAnsi="Arial;Helvetica;sans-serif"/>
                <w:color w:val="404040"/>
                <w:sz w:val="18"/>
              </w:rPr>
              <w:t xml:space="preserve"> 2020</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Age:</w:t>
            </w:r>
            <w:r>
              <w:rPr>
                <w:rFonts w:ascii="Arial;Helvetica;sans-serif" w:hAnsi="Arial;Helvetica;sans-serif"/>
                <w:color w:val="404040"/>
                <w:sz w:val="18"/>
              </w:rPr>
              <w:t xml:space="preserve"> 57</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Executive (Chair)</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Finance (Chair)</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 xml:space="preserve">Chair of the Board and </w:t>
              <w:b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Melina Higgins</w:t>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Held senior roles of increasing responsibility including Partner (2002 - 2010) and Managing Director (2001 - 2010) and served as a member of the Investment Committee of the Principal Investment Area, Head of the Americas for Private Debt, and co-Chairperson of the Investment Advisory Committee for GS Mezzanine Partners funds, </w:t>
            </w:r>
            <w:r>
              <w:rPr>
                <w:rFonts w:ascii="Arial;Helvetica;sans-serif" w:hAnsi="Arial;Helvetica;sans-serif"/>
                <w:b/>
                <w:color w:val="404040"/>
                <w:sz w:val="18"/>
              </w:rPr>
              <w:t>The Goldman Sachs Group, Inc.</w:t>
            </w:r>
            <w:r>
              <w:rPr>
                <w:rFonts w:ascii="Arial;Helvetica;sans-serif" w:hAnsi="Arial;Helvetica;sans-serif"/>
                <w:b/>
                <w:color w:val="404040"/>
                <w:sz w:val="24"/>
              </w:rPr>
              <w:t xml:space="preserve"> </w:t>
            </w:r>
            <w:r>
              <w:rPr>
                <w:rFonts w:ascii="Arial;Helvetica;sans-serif" w:hAnsi="Arial;Helvetica;sans-serif"/>
                <w:b w:val="false"/>
                <w:color w:val="404040"/>
                <w:sz w:val="18"/>
              </w:rPr>
              <w:t>(NYSE: GS)</w:t>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Corporate Governance, Finance, Accounting, and Capital Markets, Global Business, Risk Oversight/Compliance, </w:t>
            </w:r>
            <w:r>
              <w:rPr>
                <w:rFonts w:ascii="Arial;Helvetica;sans-serif" w:hAnsi="Arial;Helvetica;sans-serif"/>
                <w:b w:val="false"/>
                <w:color w:val="404040"/>
                <w:sz w:val="18"/>
              </w:rPr>
              <w:t xml:space="preserve">and </w:t>
            </w:r>
            <w:r>
              <w:rPr>
                <w:rFonts w:ascii="Arial;Helvetica;sans-serif" w:hAnsi="Arial;Helvetica;sans-serif"/>
                <w:b/>
                <w:color w:val="404040"/>
                <w:sz w:val="18"/>
              </w:rPr>
              <w:t>Strategy and M&amp;A Experience</w:t>
            </w:r>
            <w:r>
              <w:rPr>
                <w:rFonts w:ascii="Arial;Helvetica;sans-serif" w:hAnsi="Arial;Helvetica;sans-serif"/>
                <w:b/>
                <w:color w:val="404040"/>
                <w:sz w:val="24"/>
              </w:rPr>
              <w:t xml:space="preserve"> </w:t>
            </w:r>
            <w:r>
              <w:rPr>
                <w:rFonts w:ascii="Arial;Helvetica;sans-serif" w:hAnsi="Arial;Helvetica;sans-serif"/>
                <w:b w:val="false"/>
                <w:color w:val="404040"/>
                <w:sz w:val="18"/>
              </w:rPr>
              <w:t>obtained during her nearly 20 years at Goldman Sachs, where she built and led a successful investment business and became well-versed in portfolio management, assessing market risks and building businesses, especially during her time as a member of Goldman’s Investment Committee of the Principal Investment Area, one of the largest alternative asset managers in the world, where she oversaw and approved global private equity and private debt investments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Ms. Higgins also brings </w:t>
            </w:r>
            <w:r>
              <w:rPr>
                <w:rFonts w:ascii="Arial;Helvetica;sans-serif" w:hAnsi="Arial;Helvetica;sans-serif"/>
                <w:b/>
                <w:color w:val="404040"/>
                <w:sz w:val="18"/>
              </w:rPr>
              <w:t>Human Capital Management Experience</w:t>
            </w:r>
            <w:r>
              <w:rPr>
                <w:rFonts w:ascii="Arial;Helvetica;sans-serif" w:hAnsi="Arial;Helvetica;sans-serif"/>
                <w:b w:val="false"/>
                <w:color w:val="404040"/>
                <w:sz w:val="18"/>
              </w:rPr>
              <w:t>, including compensation and succession planning, to the Board</w:t>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Current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Genworth Financial Inc.</w:t>
            </w:r>
            <w:r>
              <w:rPr>
                <w:rFonts w:ascii="Arial;Helvetica;sans-serif" w:hAnsi="Arial;Helvetica;sans-serif"/>
                <w:b/>
                <w:color w:val="404040"/>
                <w:sz w:val="24"/>
              </w:rPr>
              <w:t xml:space="preserve"> </w:t>
            </w:r>
            <w:r>
              <w:rPr>
                <w:rFonts w:ascii="Arial;Helvetica;sans-serif" w:hAnsi="Arial;Helvetica;sans-serif"/>
                <w:b w:val="false"/>
                <w:color w:val="404040"/>
                <w:sz w:val="18"/>
              </w:rPr>
              <w:t>(NYSE: GNW) (since 2013), non-executive Chair (since 2021) and member of the Audit and Management Development &amp; Compensation Committees</w:t>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Current Private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Director and non-executive chair of the Board (since 2016), </w:t>
            </w:r>
            <w:r>
              <w:rPr>
                <w:rFonts w:ascii="Arial;Helvetica;sans-serif" w:hAnsi="Arial;Helvetica;sans-serif"/>
                <w:b/>
                <w:color w:val="404040"/>
                <w:sz w:val="18"/>
              </w:rPr>
              <w:t>Antares Midco Inc.</w:t>
            </w:r>
            <w:r>
              <w:rPr>
                <w:rFonts w:ascii="Arial;Helvetica;sans-serif" w:hAnsi="Arial;Helvetica;sans-serif"/>
                <w:b w:val="false"/>
                <w:color w:val="404040"/>
                <w:sz w:val="18"/>
              </w:rPr>
              <w:t>, a private company that provides financing solutions for middle market, private equity-backed transactions</w:t>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Mylan </w:t>
            </w:r>
            <w:r>
              <w:rPr>
                <w:rFonts w:ascii="Arial;Helvetica;sans-serif" w:hAnsi="Arial;Helvetica;sans-serif"/>
                <w:b w:val="false"/>
                <w:color w:val="404040"/>
                <w:sz w:val="18"/>
              </w:rPr>
              <w:t>(2013 - the closing of the Combination in 2020), Director, most recently Chair of the Finance Committee, and member of the Audit, Compensation, and Executive Committees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NextGen Acquisition Corp. II </w:t>
            </w:r>
            <w:r>
              <w:rPr>
                <w:rFonts w:ascii="Arial;Helvetica;sans-serif" w:hAnsi="Arial;Helvetica;sans-serif"/>
                <w:b w:val="false"/>
                <w:color w:val="404040"/>
                <w:sz w:val="18"/>
              </w:rPr>
              <w:t>(March 2021 until its merger with Virgin Orbit in December 2021) (a special purpose acquisition company), Director, Chair of the Nominating and Corporate Governance Committee and member of the Audit and Compensation Committees</w:t>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Organizations: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Member, </w:t>
            </w:r>
            <w:r>
              <w:rPr>
                <w:rFonts w:ascii="Arial;Helvetica;sans-serif" w:hAnsi="Arial;Helvetica;sans-serif"/>
                <w:b/>
                <w:color w:val="404040"/>
                <w:sz w:val="18"/>
              </w:rPr>
              <w:t>Women’s Leadership Board of Harvard University’s John F. Kennedy School of Government</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7</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42022x3_10ka_104-directors_pg6"/>
        <w:bookmarkEnd w:id="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Director since</w:t>
            </w:r>
            <w:r>
              <w:rPr>
                <w:rFonts w:ascii="Arial;Helvetica;sans-serif" w:hAnsi="Arial;Helvetica;sans-serif"/>
                <w:color w:val="404040"/>
                <w:sz w:val="18"/>
              </w:rPr>
              <w:t xml:space="preserve"> 2020</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Age: </w:t>
            </w:r>
            <w:r>
              <w:rPr>
                <w:rFonts w:ascii="Arial;Helvetica;sans-serif" w:hAnsi="Arial;Helvetica;sans-serif"/>
                <w:color w:val="404040"/>
                <w:sz w:val="18"/>
              </w:rPr>
              <w:t>77*</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Compensation</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Finance</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James M. Kilts</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Founding Partner (since 2006), </w:t>
            </w:r>
            <w:r>
              <w:rPr>
                <w:rFonts w:ascii="Arial;Helvetica;sans-serif" w:hAnsi="Arial;Helvetica;sans-serif"/>
                <w:b/>
                <w:color w:val="404040"/>
                <w:sz w:val="18"/>
              </w:rPr>
              <w:t>Centerview Capital</w:t>
            </w:r>
            <w:r>
              <w:rPr>
                <w:rFonts w:ascii="Arial;Helvetica;sans-serif" w:hAnsi="Arial;Helvetica;sans-serif"/>
                <w:b w:val="false"/>
                <w:color w:val="404040"/>
                <w:sz w:val="18"/>
              </w:rPr>
              <w:t>, a private equity firm</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Special Advisor to the Board (2023), Co-Chief Executive Officer (2021 - 2023), </w:t>
            </w:r>
            <w:r>
              <w:rPr>
                <w:rFonts w:ascii="Arial;Helvetica;sans-serif" w:hAnsi="Arial;Helvetica;sans-serif"/>
                <w:b/>
                <w:color w:val="404040"/>
                <w:sz w:val="18"/>
              </w:rPr>
              <w:t>Conyers Park III Acquisition Corp.</w:t>
            </w:r>
            <w:r>
              <w:rPr>
                <w:rFonts w:ascii="Arial;Helvetica;sans-serif" w:hAnsi="Arial;Helvetica;sans-serif"/>
                <w:b/>
                <w:color w:val="404040"/>
                <w:sz w:val="24"/>
              </w:rPr>
              <w:t xml:space="preserve"> </w:t>
            </w:r>
            <w:r>
              <w:rPr>
                <w:rFonts w:ascii="Arial;Helvetica;sans-serif" w:hAnsi="Arial;Helvetica;sans-serif"/>
                <w:b w:val="false"/>
                <w:color w:val="404040"/>
                <w:sz w:val="18"/>
              </w:rPr>
              <w:t>(a special purpose acquisition company)</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Chairman and Chief Executive Officer (2001 - 2005 when it merged with The Procter &amp; Gamble Company), President (2003 - 2005), </w:t>
            </w:r>
            <w:r>
              <w:rPr>
                <w:rFonts w:ascii="Arial;Helvetica;sans-serif" w:hAnsi="Arial;Helvetica;sans-serif"/>
                <w:b/>
                <w:color w:val="404040"/>
                <w:sz w:val="18"/>
              </w:rPr>
              <w:t>The Gillette Company</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President and Chief Executive Officer (1998 - 2000 when it was acquired by The Philip Morris Companies), </w:t>
            </w:r>
            <w:r>
              <w:rPr>
                <w:rFonts w:ascii="Arial;Helvetica;sans-serif" w:hAnsi="Arial;Helvetica;sans-serif"/>
                <w:b/>
                <w:color w:val="404040"/>
                <w:sz w:val="18"/>
              </w:rPr>
              <w:t>Nabisco Group Holdings Corporation</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CEO and Public Company Management, Corporate Governance, Finance, Accounting and Capital Markets, Global Business, </w:t>
            </w:r>
            <w:r>
              <w:rPr>
                <w:rFonts w:ascii="Arial;Helvetica;sans-serif" w:hAnsi="Arial;Helvetica;sans-serif"/>
                <w:b w:val="false"/>
                <w:color w:val="404040"/>
                <w:sz w:val="18"/>
              </w:rPr>
              <w:t>and</w:t>
            </w:r>
            <w:r>
              <w:rPr>
                <w:rFonts w:ascii="Arial;Helvetica;sans-serif" w:hAnsi="Arial;Helvetica;sans-serif"/>
                <w:b/>
                <w:color w:val="404040"/>
                <w:sz w:val="24"/>
              </w:rPr>
              <w:t xml:space="preserve">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acquired during his more than 40 years leading a range of multi-national companies and iconic brands, where he is credited with building domestic and international strategies to increase sales and successfully overseeing organizations through significant M&amp;A activity resulting in him being sought out for his business expertise and advice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Mr. Kilts also brings </w:t>
            </w:r>
            <w:r>
              <w:rPr>
                <w:rFonts w:ascii="Arial;Helvetica;sans-serif" w:hAnsi="Arial;Helvetica;sans-serif"/>
                <w:b/>
                <w:color w:val="404040"/>
                <w:sz w:val="18"/>
              </w:rPr>
              <w:t xml:space="preserve">Healthcare Industry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Human Capital Management Experience </w:t>
            </w:r>
            <w:r>
              <w:rPr>
                <w:rFonts w:ascii="Arial;Helvetica;sans-serif" w:hAnsi="Arial;Helvetica;sans-serif"/>
                <w:b w:val="false"/>
                <w:color w:val="404040"/>
                <w:sz w:val="18"/>
              </w:rPr>
              <w:t>to the Board</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Current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Advantage Solutions Inc.</w:t>
            </w:r>
            <w:r>
              <w:rPr>
                <w:rFonts w:ascii="Arial;Helvetica;sans-serif" w:hAnsi="Arial;Helvetica;sans-serif"/>
                <w:b/>
                <w:color w:val="404040"/>
                <w:sz w:val="24"/>
              </w:rPr>
              <w:t xml:space="preserve"> </w:t>
            </w:r>
            <w:r>
              <w:rPr>
                <w:rFonts w:ascii="Arial;Helvetica;sans-serif" w:hAnsi="Arial;Helvetica;sans-serif"/>
                <w:b w:val="false"/>
                <w:color w:val="404040"/>
                <w:sz w:val="18"/>
              </w:rPr>
              <w:t>(NASDAQ: ADV) (since 2020 when it combined with Conyers Park II Acquisition Corp.), non-executive Chairman and previously Lead Director</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The Simply Good Foods Company</w:t>
            </w:r>
            <w:r>
              <w:rPr>
                <w:rFonts w:ascii="Arial;Helvetica;sans-serif" w:hAnsi="Arial;Helvetica;sans-serif"/>
                <w:b/>
                <w:color w:val="404040"/>
                <w:sz w:val="24"/>
              </w:rPr>
              <w:t xml:space="preserve"> </w:t>
            </w:r>
            <w:r>
              <w:rPr>
                <w:rFonts w:ascii="Arial;Helvetica;sans-serif" w:hAnsi="Arial;Helvetica;sans-serif"/>
                <w:b w:val="false"/>
                <w:color w:val="404040"/>
                <w:sz w:val="18"/>
              </w:rPr>
              <w:t>(NASDAQ: SMPL) (since 2017), Chairman and member of the Nominating and Corporate Governance Committee</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Unifi Inc. </w:t>
            </w:r>
            <w:r>
              <w:rPr>
                <w:rFonts w:ascii="Arial;Helvetica;sans-serif" w:hAnsi="Arial;Helvetica;sans-serif"/>
                <w:b w:val="false"/>
                <w:color w:val="404040"/>
                <w:sz w:val="18"/>
              </w:rPr>
              <w:t>(NYSE: UFI) (2016 - 2022), Director and most recently member of the Compensation Committee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Pfizer </w:t>
            </w:r>
            <w:r>
              <w:rPr>
                <w:rFonts w:ascii="Arial;Helvetica;sans-serif" w:hAnsi="Arial;Helvetica;sans-serif"/>
                <w:b w:val="false"/>
                <w:color w:val="404040"/>
                <w:sz w:val="18"/>
              </w:rPr>
              <w:t>(NYSE: PFE) (2007 - the closing of the Combination in 2020), Director and most recently member of the Compensation Committee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Conyers Park II Acquisition Corp.</w:t>
            </w:r>
            <w:r>
              <w:rPr>
                <w:rFonts w:ascii="Arial;Helvetica;sans-serif" w:hAnsi="Arial;Helvetica;sans-serif"/>
                <w:b/>
                <w:color w:val="404040"/>
                <w:sz w:val="24"/>
              </w:rPr>
              <w:t xml:space="preserve"> </w:t>
            </w:r>
            <w:r>
              <w:rPr>
                <w:rFonts w:ascii="Arial;Helvetica;sans-serif" w:hAnsi="Arial;Helvetica;sans-serif"/>
                <w:b w:val="false"/>
                <w:color w:val="404040"/>
                <w:sz w:val="18"/>
              </w:rPr>
              <w:t>(2019 to 2020 when it combined with Advantage Solutions Inc.), Executive Chairman</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MetLife, Inc. </w:t>
            </w:r>
            <w:r>
              <w:rPr>
                <w:rFonts w:ascii="Arial;Helvetica;sans-serif" w:hAnsi="Arial;Helvetica;sans-serif"/>
                <w:b w:val="false"/>
                <w:color w:val="404040"/>
                <w:sz w:val="18"/>
              </w:rPr>
              <w:t>(NYSE: MET) (2005 - 2020), Director, most recently Chair of the Compensation Committee and member of the Governance and Corporate Responsibility Committee</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The Procter &amp; Gamble Company</w:t>
            </w:r>
            <w:r>
              <w:rPr>
                <w:rFonts w:ascii="Arial;Helvetica;sans-serif" w:hAnsi="Arial;Helvetica;sans-serif"/>
                <w:b/>
                <w:color w:val="404040"/>
                <w:sz w:val="24"/>
              </w:rPr>
              <w:t xml:space="preserve"> </w:t>
            </w:r>
            <w:r>
              <w:rPr>
                <w:rFonts w:ascii="Arial;Helvetica;sans-serif" w:hAnsi="Arial;Helvetica;sans-serif"/>
                <w:b w:val="false"/>
                <w:color w:val="404040"/>
                <w:sz w:val="18"/>
              </w:rPr>
              <w:t>(NYSE: PG) (2005 - 2006), Director</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Conyers Park Acquisition Corporation</w:t>
            </w:r>
            <w:r>
              <w:rPr>
                <w:rFonts w:ascii="Arial;Helvetica;sans-serif" w:hAnsi="Arial;Helvetica;sans-serif"/>
                <w:b/>
                <w:color w:val="404040"/>
                <w:sz w:val="24"/>
              </w:rPr>
              <w:t xml:space="preserve"> </w:t>
            </w:r>
            <w:r>
              <w:rPr>
                <w:rFonts w:ascii="Arial;Helvetica;sans-serif" w:hAnsi="Arial;Helvetica;sans-serif"/>
                <w:b w:val="false"/>
                <w:color w:val="404040"/>
                <w:sz w:val="18"/>
              </w:rPr>
              <w:t>(2016 - 2017 when it merged with The Simply Good Foods Company), Chairman</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Nielsen Holdings plc</w:t>
            </w:r>
            <w:r>
              <w:rPr>
                <w:rFonts w:ascii="Arial;Helvetica;sans-serif" w:hAnsi="Arial;Helvetica;sans-serif"/>
                <w:b w:val="false"/>
                <w:color w:val="404040"/>
                <w:sz w:val="18"/>
              </w:rPr>
              <w:t>, (NYSE: NLSN) non-executive Director (2006 - 2017) and Chairman (2011 - 2013)</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Nielsen Company B.V.</w:t>
            </w:r>
            <w:r>
              <w:rPr>
                <w:rFonts w:ascii="Arial;Helvetica;sans-serif" w:hAnsi="Arial;Helvetica;sans-serif"/>
                <w:b/>
                <w:color w:val="404040"/>
                <w:sz w:val="24"/>
              </w:rPr>
              <w:t xml:space="preserve"> </w:t>
            </w:r>
            <w:r>
              <w:rPr>
                <w:rFonts w:ascii="Arial;Helvetica;sans-serif" w:hAnsi="Arial;Helvetica;sans-serif"/>
                <w:b w:val="false"/>
                <w:color w:val="404040"/>
                <w:sz w:val="18"/>
              </w:rPr>
              <w:t>(2009 - 2014), Chairman</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 xml:space="preserve">MeadWestvaco Corporation </w:t>
            </w:r>
            <w:r>
              <w:rPr>
                <w:rFonts w:ascii="Arial;Helvetica;sans-serif" w:hAnsi="Arial;Helvetica;sans-serif"/>
                <w:b w:val="false"/>
                <w:color w:val="404040"/>
                <w:sz w:val="18"/>
              </w:rPr>
              <w:t>(2006 - 2014), Director</w:t>
            </w:r>
          </w:p>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r>
          </w:p>
          <w:p>
            <w:pPr>
              <w:pStyle w:val="TableContents"/>
              <w:bidi w:val="0"/>
              <w:spacing w:before="60" w:after="283"/>
              <w:ind w:left="0" w:right="0" w:hanging="0"/>
              <w:jc w:val="both"/>
              <w:rPr>
                <w:rFonts w:ascii="Arial;Helvetica;sans-serif" w:hAnsi="Arial;Helvetica;sans-serif"/>
                <w:b w:val="false"/>
                <w:color w:val="404040"/>
                <w:sz w:val="18"/>
              </w:rPr>
            </w:pPr>
            <w:r>
              <w:rPr>
                <w:rFonts w:ascii="Arial;Helvetica;sans-serif" w:hAnsi="Arial;Helvetica;sans-serif"/>
                <w:b w:val="false"/>
                <w:color w:val="404040"/>
                <w:sz w:val="18"/>
              </w:rPr>
              <w:t>*   </w:t>
            </w:r>
          </w:p>
          <w:p>
            <w:pPr>
              <w:pStyle w:val="TableContents"/>
              <w:bidi w:val="0"/>
              <w:spacing w:before="60" w:after="283"/>
              <w:jc w:val="both"/>
              <w:rPr>
                <w:rFonts w:ascii="Arial;Helvetica;sans-serif" w:hAnsi="Arial;Helvetica;sans-serif"/>
                <w:b w:val="false"/>
                <w:color w:val="404040"/>
                <w:sz w:val="18"/>
              </w:rPr>
            </w:pPr>
            <w:r>
              <w:rPr>
                <w:rFonts w:ascii="Arial;Helvetica;sans-serif" w:hAnsi="Arial;Helvetica;sans-serif"/>
                <w:b w:val="false"/>
                <w:color w:val="404040"/>
                <w:sz w:val="18"/>
              </w:rPr>
              <w:t>The Board, on the recommendation of the Governance and Sustainability Committee, has, in accordance with its Corporate Governance Principles, approved a waiver to the mandatory retirement age for Directors for Mr. Kilts and determined that such waiver was in the best interests of the Company because of his continued extensive contributions to the Board and his knowledge and familiarity with the legacy Upjohn business.</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8</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42022x3_10ka_104-directors_pg7"/>
        <w:bookmarkEnd w:id="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Director since </w:t>
            </w:r>
            <w:r>
              <w:rPr>
                <w:rFonts w:ascii="Arial;Helvetica;sans-serif" w:hAnsi="Arial;Helvetica;sans-serif"/>
                <w:color w:val="404040"/>
                <w:sz w:val="18"/>
              </w:rPr>
              <w:t>2020</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Age: </w:t>
            </w:r>
            <w:r>
              <w:rPr>
                <w:rFonts w:ascii="Arial;Helvetica;sans-serif" w:hAnsi="Arial;Helvetica;sans-serif"/>
                <w:color w:val="404040"/>
                <w:sz w:val="18"/>
              </w:rPr>
              <w:t>67</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Compensation (Chair)</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Compliance and </w:t>
              <w:br/>
              <w:t>Risk Oversight</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Governance and </w:t>
              <w:br/>
              <w:t>Sustainability</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Science and </w:t>
              <w:br/>
              <w:t xml:space="preserve">Technology </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Harry Korman</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Held senior executive roles of increasing responsibility, including Global Chief Operating Officer (2012 - 2014, after which he served as a consultant (2014 - 2015)), President, North America (2007 - 2012), President, Mylan Pharmaceuticals Inc. (2005 - 2009); joined in 1996 after the company’s acquisition of UDL Laboratories, Inc. (n/k/a Mylan Institutional Inc.), </w:t>
            </w:r>
            <w:r>
              <w:rPr>
                <w:rFonts w:ascii="Arial;Helvetica;sans-serif" w:hAnsi="Arial;Helvetica;sans-serif"/>
                <w:b/>
                <w:color w:val="404040"/>
                <w:sz w:val="18"/>
              </w:rPr>
              <w:t>Mylan Inc.</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Public Company Management, Corporate Governance/CS, Global Business, Healthcare Industry, Risk Oversight/Compliance,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gained during his almost 20 years serving in leadership roles at Mylan, where he helped grow their generics business and ultimately had responsibility for all operations as Global Chief Operating Officer</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Mr. Korman also brings </w:t>
            </w:r>
            <w:r>
              <w:rPr>
                <w:rFonts w:ascii="Arial;Helvetica;sans-serif" w:hAnsi="Arial;Helvetica;sans-serif"/>
                <w:b/>
                <w:color w:val="404040"/>
                <w:sz w:val="18"/>
              </w:rPr>
              <w:t xml:space="preserve">Information Security Experience </w:t>
            </w:r>
            <w:r>
              <w:rPr>
                <w:rFonts w:ascii="Arial;Helvetica;sans-serif" w:hAnsi="Arial;Helvetica;sans-serif"/>
                <w:b w:val="false"/>
                <w:color w:val="404040"/>
                <w:sz w:val="18"/>
              </w:rPr>
              <w:t>to the Board</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Mylan </w:t>
            </w:r>
            <w:r>
              <w:rPr>
                <w:rFonts w:ascii="Arial;Helvetica;sans-serif" w:hAnsi="Arial;Helvetica;sans-serif"/>
                <w:b w:val="false"/>
                <w:color w:val="404040"/>
                <w:sz w:val="18"/>
              </w:rPr>
              <w:t>(2018 - the closing of the Combination in 2020), Director, most recently Chair of the Risk Oversight Committee and member of the Compliance, Governance and Nominating, and Science and Technology Committees</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Organizations: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Past Director and Vice Chairman, </w:t>
            </w:r>
            <w:r>
              <w:rPr>
                <w:rFonts w:ascii="Arial;Helvetica;sans-serif" w:hAnsi="Arial;Helvetica;sans-serif"/>
                <w:b/>
                <w:color w:val="404040"/>
                <w:sz w:val="18"/>
              </w:rPr>
              <w:t>Generic Pharmaceutical Association,</w:t>
            </w:r>
            <w:r>
              <w:rPr>
                <w:rFonts w:ascii="Arial;Helvetica;sans-serif" w:hAnsi="Arial;Helvetica;sans-serif"/>
                <w:b/>
                <w:color w:val="404040"/>
                <w:sz w:val="24"/>
              </w:rPr>
              <w:t xml:space="preserve"> </w:t>
            </w:r>
            <w:r>
              <w:rPr>
                <w:rFonts w:ascii="Arial;Helvetica;sans-serif" w:hAnsi="Arial;Helvetica;sans-serif"/>
                <w:b w:val="false"/>
                <w:color w:val="404040"/>
                <w:sz w:val="18"/>
              </w:rPr>
              <w:t>now known as the Association for Accessible Medicines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Previous Director and Vice Chairman, </w:t>
            </w:r>
            <w:r>
              <w:rPr>
                <w:rFonts w:ascii="Arial;Helvetica;sans-serif" w:hAnsi="Arial;Helvetica;sans-serif"/>
                <w:b/>
                <w:color w:val="404040"/>
                <w:sz w:val="18"/>
              </w:rPr>
              <w:t>HDMA Foundation,</w:t>
            </w:r>
            <w:r>
              <w:rPr>
                <w:rFonts w:ascii="Arial;Helvetica;sans-serif" w:hAnsi="Arial;Helvetica;sans-serif"/>
                <w:b/>
                <w:color w:val="404040"/>
                <w:sz w:val="24"/>
              </w:rPr>
              <w:t xml:space="preserve"> </w:t>
            </w:r>
            <w:r>
              <w:rPr>
                <w:rFonts w:ascii="Arial;Helvetica;sans-serif" w:hAnsi="Arial;Helvetica;sans-serif"/>
                <w:b w:val="false"/>
                <w:color w:val="404040"/>
                <w:sz w:val="18"/>
              </w:rPr>
              <w:t>which serves the healthcare industry by providing research and education focused on healthcare supply issues</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Director since</w:t>
            </w:r>
            <w:r>
              <w:rPr>
                <w:rFonts w:ascii="Arial;Helvetica;sans-serif" w:hAnsi="Arial;Helvetica;sans-serif"/>
                <w:color w:val="404040"/>
                <w:sz w:val="18"/>
              </w:rPr>
              <w:t xml:space="preserve"> 2020</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Age: </w:t>
            </w:r>
            <w:r>
              <w:rPr>
                <w:rFonts w:ascii="Arial;Helvetica;sans-serif" w:hAnsi="Arial;Helvetica;sans-serif"/>
                <w:color w:val="404040"/>
                <w:sz w:val="18"/>
              </w:rPr>
              <w:t>64</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Science and </w:t>
              <w:br/>
              <w:t>Technology (Chair)</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Director</w:t>
            </w:r>
            <w:r>
              <w:rPr>
                <w:rFonts w:ascii="Arial;Helvetica;sans-serif" w:hAnsi="Arial;Helvetica;sans-serif"/>
                <w:color w:val="40404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Rajiv Malik</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Retired President (from the closing of the Combination in 2020 to April 2024), </w:t>
            </w:r>
            <w:r>
              <w:rPr>
                <w:rFonts w:ascii="Arial;Helvetica;sans-serif" w:hAnsi="Arial;Helvetica;sans-serif"/>
                <w:b/>
                <w:color w:val="404040"/>
                <w:sz w:val="18"/>
              </w:rPr>
              <w:t>Viatris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President (2012 - the closing of the Combination in 2020), Executive Vice President and Chief Operating Officer (2009 - 2012), Head of Global Technical Operations (2007 - 2009); joined the company in 2007, </w:t>
            </w:r>
            <w:r>
              <w:rPr>
                <w:rFonts w:ascii="Arial;Helvetica;sans-serif" w:hAnsi="Arial;Helvetica;sans-serif"/>
                <w:b/>
                <w:color w:val="404040"/>
                <w:sz w:val="18"/>
              </w:rPr>
              <w:t>Mylan</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Chief Executive Officer (2005 - 2008), </w:t>
            </w:r>
            <w:r>
              <w:rPr>
                <w:rFonts w:ascii="Arial;Helvetica;sans-serif" w:hAnsi="Arial;Helvetica;sans-serif"/>
                <w:b/>
                <w:color w:val="404040"/>
                <w:sz w:val="18"/>
              </w:rPr>
              <w:t>Matrix Laboratories Limited</w:t>
            </w:r>
            <w:r>
              <w:rPr>
                <w:rFonts w:ascii="Arial;Helvetica;sans-serif" w:hAnsi="Arial;Helvetica;sans-serif"/>
                <w:b/>
                <w:color w:val="404040"/>
                <w:sz w:val="24"/>
              </w:rPr>
              <w:t xml:space="preserve"> </w:t>
            </w:r>
            <w:r>
              <w:rPr>
                <w:rFonts w:ascii="Arial;Helvetica;sans-serif" w:hAnsi="Arial;Helvetica;sans-serif"/>
                <w:b w:val="false"/>
                <w:color w:val="404040"/>
                <w:sz w:val="18"/>
              </w:rPr>
              <w:t>(now Mylan Laboratories Limited)</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Head of Global Development and Registrations (2003 - 2005), </w:t>
            </w:r>
            <w:r>
              <w:rPr>
                <w:rFonts w:ascii="Arial;Helvetica;sans-serif" w:hAnsi="Arial;Helvetica;sans-serif"/>
                <w:b/>
                <w:color w:val="404040"/>
                <w:sz w:val="18"/>
              </w:rPr>
              <w:t>Sandoz GmbH</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Head of Global Regulatory Affairs and Head of Pharma Research (1999 - 2003), </w:t>
            </w:r>
            <w:r>
              <w:rPr>
                <w:rFonts w:ascii="Arial;Helvetica;sans-serif" w:hAnsi="Arial;Helvetica;sans-serif"/>
                <w:b/>
                <w:color w:val="404040"/>
                <w:sz w:val="18"/>
              </w:rPr>
              <w:t>Ranbaxy</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Public Company Management, Finance, Accounting, and Capital Markets, Global Business, Healthcare Industry, Information Security, Legal and Regulatory Oversight, Risk Oversight/Compliance,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acquired over his extensive career in the healthcare industry, including at Mylan where he was integral in helping to develop the strategies for the company’s acquisitions for over 10 years, as well as the execution and integration of those acquisitions, and was responsible for leading global commercial, scientific, operational, IT, and business development activities globally, and was responsible for the day-to-day operations of the Company, overseeing the Company’s commercial business units, the Commercial Development, Medical, IT, and Quality functions, as well as Research and Development (“R&amp;D”) and Operations until his retirement in April 2024</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Mr. Malik also brings </w:t>
            </w:r>
            <w:r>
              <w:rPr>
                <w:rFonts w:ascii="Arial;Helvetica;sans-serif" w:hAnsi="Arial;Helvetica;sans-serif"/>
                <w:b/>
                <w:color w:val="404040"/>
                <w:sz w:val="18"/>
              </w:rPr>
              <w:t xml:space="preserve">Human Capital Management Experience </w:t>
            </w:r>
            <w:r>
              <w:rPr>
                <w:rFonts w:ascii="Arial;Helvetica;sans-serif" w:hAnsi="Arial;Helvetica;sans-serif"/>
                <w:b w:val="false"/>
                <w:color w:val="404040"/>
                <w:sz w:val="18"/>
              </w:rPr>
              <w:t>to the Board</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Current Private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Non-executive non-independent and Viatris nominee Director (since 2022), </w:t>
            </w:r>
            <w:r>
              <w:rPr>
                <w:rFonts w:ascii="Arial;Helvetica;sans-serif" w:hAnsi="Arial;Helvetica;sans-serif"/>
                <w:b/>
                <w:color w:val="404040"/>
                <w:sz w:val="18"/>
              </w:rPr>
              <w:t xml:space="preserve">Biocon Biologics Limited, </w:t>
            </w:r>
            <w:r>
              <w:rPr>
                <w:rFonts w:ascii="Arial;Helvetica;sans-serif" w:hAnsi="Arial;Helvetica;sans-serif"/>
                <w:b w:val="false"/>
                <w:color w:val="404040"/>
                <w:sz w:val="18"/>
              </w:rPr>
              <w:t>a majority owned subsidiary of Biocon Limited</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Director (since 2025), </w:t>
            </w:r>
            <w:r>
              <w:rPr>
                <w:rFonts w:ascii="Arial;Helvetica;sans-serif" w:hAnsi="Arial;Helvetica;sans-serif"/>
                <w:b/>
                <w:color w:val="404040"/>
                <w:sz w:val="18"/>
              </w:rPr>
              <w:t>Rapidue Technologies Private Limited</w:t>
            </w:r>
            <w:r>
              <w:rPr>
                <w:rFonts w:ascii="Arial;Helvetica;sans-serif" w:hAnsi="Arial;Helvetica;sans-serif"/>
                <w:b w:val="false"/>
                <w:color w:val="404040"/>
                <w:sz w:val="18"/>
              </w:rPr>
              <w:t>, a digital technology company that provides cloud-based solutions for waste management and recycling</w:t>
            </w:r>
          </w:p>
          <w:p>
            <w:pPr>
              <w:pStyle w:val="TableContents"/>
              <w:bidi w:val="0"/>
              <w:spacing w:before="0" w:after="283"/>
              <w:ind w:left="423"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 xml:space="preserve">Mylan </w:t>
            </w:r>
            <w:r>
              <w:rPr>
                <w:rFonts w:ascii="Arial;Helvetica;sans-serif" w:hAnsi="Arial;Helvetica;sans-serif"/>
                <w:b w:val="false"/>
                <w:color w:val="404040"/>
                <w:sz w:val="18"/>
              </w:rPr>
              <w:t>(2012 - the closing of the Combination in 2020), Director</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9</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42022x3_10ka_104-directors_pg8"/>
        <w:bookmarkEnd w:id="2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Director since</w:t>
            </w:r>
            <w:r>
              <w:rPr>
                <w:rFonts w:ascii="Arial;Helvetica;sans-serif" w:hAnsi="Arial;Helvetica;sans-serif"/>
                <w:color w:val="404040"/>
                <w:sz w:val="18"/>
              </w:rPr>
              <w:t xml:space="preserve"> 2020</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Age: </w:t>
            </w:r>
            <w:r>
              <w:rPr>
                <w:rFonts w:ascii="Arial;Helvetica;sans-serif" w:hAnsi="Arial;Helvetica;sans-serif"/>
                <w:color w:val="404040"/>
                <w:sz w:val="18"/>
              </w:rPr>
              <w:t>71</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Audit* (Chair)</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Compliance and </w:t>
              <w:br/>
              <w:t>Risk Oversight</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Executive</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Finance</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Richard Mark, C.P.A.</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Partner (2002 - 2015), </w:t>
            </w:r>
            <w:r>
              <w:rPr>
                <w:rFonts w:ascii="Arial;Helvetica;sans-serif" w:hAnsi="Arial;Helvetica;sans-serif"/>
                <w:b/>
                <w:color w:val="404040"/>
                <w:sz w:val="18"/>
              </w:rPr>
              <w:t xml:space="preserve">Deloitte &amp; Touche LLP </w:t>
            </w:r>
            <w:r>
              <w:rPr>
                <w:rFonts w:ascii="Arial;Helvetica;sans-serif" w:hAnsi="Arial;Helvetica;sans-serif"/>
                <w:b w:val="false"/>
                <w:color w:val="404040"/>
                <w:sz w:val="18"/>
              </w:rPr>
              <w:t>(“Deloitte”)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Audit Partner (1988 - 2002), Audit Manager (1981 - 1988), Senior Auditor (1977 - 1981), </w:t>
            </w:r>
            <w:r>
              <w:rPr>
                <w:rFonts w:ascii="Arial;Helvetica;sans-serif" w:hAnsi="Arial;Helvetica;sans-serif"/>
                <w:b/>
                <w:color w:val="404040"/>
                <w:sz w:val="18"/>
              </w:rPr>
              <w:t>Arthur Andersen &amp; Co.</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Public Company Management, Corporate Governance, Finance, Accounting, and Capital Markets, Global Business, Risk Oversight/Compliance,</w:t>
            </w:r>
            <w:r>
              <w:rPr>
                <w:rFonts w:ascii="Arial;Helvetica;sans-serif" w:hAnsi="Arial;Helvetica;sans-serif"/>
                <w:b/>
                <w:color w:val="404040"/>
                <w:sz w:val="24"/>
              </w:rPr>
              <w:t xml:space="preserve"> </w:t>
            </w:r>
            <w:r>
              <w:rPr>
                <w:rFonts w:ascii="Arial;Helvetica;sans-serif" w:hAnsi="Arial;Helvetica;sans-serif"/>
                <w:b w:val="false"/>
                <w:color w:val="404040"/>
                <w:sz w:val="18"/>
              </w:rPr>
              <w:t xml:space="preserve">and </w:t>
            </w:r>
            <w:r>
              <w:rPr>
                <w:rFonts w:ascii="Arial;Helvetica;sans-serif" w:hAnsi="Arial;Helvetica;sans-serif"/>
                <w:b/>
                <w:color w:val="404040"/>
                <w:sz w:val="18"/>
              </w:rPr>
              <w:t>Strategy and M&amp;A Experience</w:t>
            </w:r>
            <w:r>
              <w:rPr>
                <w:rFonts w:ascii="Arial;Helvetica;sans-serif" w:hAnsi="Arial;Helvetica;sans-serif"/>
                <w:b/>
                <w:color w:val="404040"/>
                <w:sz w:val="24"/>
              </w:rPr>
              <w:t xml:space="preserve"> </w:t>
            </w:r>
            <w:r>
              <w:rPr>
                <w:rFonts w:ascii="Arial;Helvetica;sans-serif" w:hAnsi="Arial;Helvetica;sans-serif"/>
                <w:b w:val="false"/>
                <w:color w:val="404040"/>
                <w:sz w:val="18"/>
              </w:rPr>
              <w:t>gained over his extensive career auditing financial statements of public and private companies, consulting on financial issues with companies, and performing transaction diligence on behalf of financial and strategic buyers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Mr. Mark also brings </w:t>
            </w:r>
            <w:r>
              <w:rPr>
                <w:rFonts w:ascii="Arial;Helvetica;sans-serif" w:hAnsi="Arial;Helvetica;sans-serif"/>
                <w:b/>
                <w:color w:val="404040"/>
                <w:sz w:val="18"/>
              </w:rPr>
              <w:t xml:space="preserve">Healthcare Industry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Information Security Experience </w:t>
            </w:r>
            <w:r>
              <w:rPr>
                <w:rFonts w:ascii="Arial;Helvetica;sans-serif" w:hAnsi="Arial;Helvetica;sans-serif"/>
                <w:b w:val="false"/>
                <w:color w:val="404040"/>
                <w:sz w:val="18"/>
              </w:rPr>
              <w:t>to the Board</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Current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Goldman Sachs BDC, Inc.</w:t>
            </w:r>
            <w:r>
              <w:rPr>
                <w:rFonts w:ascii="Arial;Helvetica;sans-serif" w:hAnsi="Arial;Helvetica;sans-serif"/>
                <w:b/>
                <w:color w:val="404040"/>
                <w:sz w:val="24"/>
              </w:rPr>
              <w:t xml:space="preserve"> </w:t>
            </w:r>
            <w:r>
              <w:rPr>
                <w:rFonts w:ascii="Arial;Helvetica;sans-serif" w:hAnsi="Arial;Helvetica;sans-serif"/>
                <w:b w:val="false"/>
                <w:color w:val="404040"/>
                <w:sz w:val="18"/>
              </w:rPr>
              <w:t>(“GSBDC”) (NYSE: GSBD) (since 2020), Director, Chair of the Audit Committee and member of the Compliance, Governance and Nominating, and Contract Review Committees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Goldman Sachs Private Credit Corp.</w:t>
            </w:r>
            <w:r>
              <w:rPr>
                <w:rFonts w:ascii="Arial;Helvetica;sans-serif" w:hAnsi="Arial;Helvetica;sans-serif"/>
                <w:b/>
                <w:color w:val="404040"/>
                <w:sz w:val="24"/>
              </w:rPr>
              <w:t xml:space="preserve"> </w:t>
            </w:r>
            <w:r>
              <w:rPr>
                <w:rFonts w:ascii="Arial;Helvetica;sans-serif" w:hAnsi="Arial;Helvetica;sans-serif"/>
                <w:b w:val="false"/>
                <w:color w:val="404040"/>
                <w:sz w:val="18"/>
              </w:rPr>
              <w:t xml:space="preserve">(since 2022) and </w:t>
            </w:r>
            <w:r>
              <w:rPr>
                <w:rFonts w:ascii="Arial;Helvetica;sans-serif" w:hAnsi="Arial;Helvetica;sans-serif"/>
                <w:b/>
                <w:color w:val="404040"/>
                <w:sz w:val="18"/>
              </w:rPr>
              <w:t>Goldman Sachs Middle Market Lending Corp. II</w:t>
            </w:r>
            <w:r>
              <w:rPr>
                <w:rFonts w:ascii="Arial;Helvetica;sans-serif" w:hAnsi="Arial;Helvetica;sans-serif"/>
                <w:b/>
                <w:color w:val="404040"/>
                <w:sz w:val="24"/>
              </w:rPr>
              <w:t xml:space="preserve"> </w:t>
            </w:r>
            <w:r>
              <w:rPr>
                <w:rFonts w:ascii="Arial;Helvetica;sans-serif" w:hAnsi="Arial;Helvetica;sans-serif"/>
                <w:b w:val="false"/>
                <w:color w:val="404040"/>
                <w:sz w:val="18"/>
              </w:rPr>
              <w:t>(since 2020), Director, Chair of the Audit Committee and member of the Compliance, Governance and Nominating, and Contract Review Committees</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Mylan</w:t>
            </w:r>
            <w:r>
              <w:rPr>
                <w:rFonts w:ascii="Arial;Helvetica;sans-serif" w:hAnsi="Arial;Helvetica;sans-serif"/>
                <w:b/>
                <w:color w:val="404040"/>
                <w:sz w:val="24"/>
              </w:rPr>
              <w:t xml:space="preserve"> </w:t>
            </w:r>
            <w:r>
              <w:rPr>
                <w:rFonts w:ascii="Arial;Helvetica;sans-serif" w:hAnsi="Arial;Helvetica;sans-serif"/>
                <w:b w:val="false"/>
                <w:color w:val="404040"/>
                <w:sz w:val="18"/>
              </w:rPr>
              <w:t>(2019 - the closing of the Combination in 2020), Director and most recently member of the Audit and Finance Committees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Goldman Sachs Middle Market Lending Corp. </w:t>
            </w:r>
            <w:r>
              <w:rPr>
                <w:rFonts w:ascii="Arial;Helvetica;sans-serif" w:hAnsi="Arial;Helvetica;sans-serif"/>
                <w:b w:val="false"/>
                <w:color w:val="404040"/>
                <w:sz w:val="18"/>
              </w:rPr>
              <w:t>(2016 - 2020 when it merged with GSBDC), Director, most recently Chair of the Audit Committee and member of Compliance, Governance and Nominating, and Contract Review Committees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Katy Industries, Inc. </w:t>
            </w:r>
            <w:r>
              <w:rPr>
                <w:rFonts w:ascii="Arial;Helvetica;sans-serif" w:hAnsi="Arial;Helvetica;sans-serif"/>
                <w:b w:val="false"/>
                <w:color w:val="404040"/>
                <w:sz w:val="18"/>
              </w:rPr>
              <w:t>(2015 - 2016), Chairman and most recently member of the Audit Committee</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Private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Northwestern Memorial Healthcare</w:t>
            </w:r>
            <w:r>
              <w:rPr>
                <w:rFonts w:ascii="Arial;Helvetica;sans-serif" w:hAnsi="Arial;Helvetica;sans-serif"/>
                <w:b/>
                <w:color w:val="404040"/>
                <w:sz w:val="24"/>
              </w:rPr>
              <w:t xml:space="preserve"> </w:t>
            </w:r>
            <w:r>
              <w:rPr>
                <w:rFonts w:ascii="Arial;Helvetica;sans-serif" w:hAnsi="Arial;Helvetica;sans-serif"/>
                <w:b w:val="false"/>
                <w:color w:val="404040"/>
                <w:sz w:val="18"/>
              </w:rPr>
              <w:t>(2014 - 2015), Director and member of the Executive and Nominating and Governance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 xml:space="preserve">Cadence Health </w:t>
            </w:r>
            <w:r>
              <w:rPr>
                <w:rFonts w:ascii="Arial;Helvetica;sans-serif" w:hAnsi="Arial;Helvetica;sans-serif"/>
                <w:b w:val="false"/>
                <w:color w:val="404040"/>
                <w:sz w:val="18"/>
              </w:rPr>
              <w:t>(1993 - 2014 when it merged with Northwestern), Director</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Organizations: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Director and Chair of the Finance Committee, </w:t>
            </w:r>
            <w:r>
              <w:rPr>
                <w:rFonts w:ascii="Arial;Helvetica;sans-serif" w:hAnsi="Arial;Helvetica;sans-serif"/>
                <w:b/>
                <w:color w:val="404040"/>
                <w:sz w:val="18"/>
              </w:rPr>
              <w:t>Home Centered Care Institute,</w:t>
            </w:r>
            <w:r>
              <w:rPr>
                <w:rFonts w:ascii="Arial;Helvetica;sans-serif" w:hAnsi="Arial;Helvetica;sans-serif"/>
                <w:b/>
                <w:color w:val="404040"/>
                <w:sz w:val="24"/>
              </w:rPr>
              <w:t xml:space="preserve"> </w:t>
            </w:r>
            <w:r>
              <w:rPr>
                <w:rFonts w:ascii="Arial;Helvetica;sans-serif" w:hAnsi="Arial;Helvetica;sans-serif"/>
                <w:b w:val="false"/>
                <w:color w:val="404040"/>
                <w:sz w:val="18"/>
              </w:rPr>
              <w:t>a not-for-profit corporation, which promotes access to home-based primary care for medically complex patients who are either homebound or home-limited</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Former Director, </w:t>
            </w:r>
            <w:r>
              <w:rPr>
                <w:rFonts w:ascii="Arial;Helvetica;sans-serif" w:hAnsi="Arial;Helvetica;sans-serif"/>
                <w:b/>
                <w:color w:val="404040"/>
                <w:sz w:val="18"/>
              </w:rPr>
              <w:t>Almost Home Kids,</w:t>
            </w:r>
            <w:r>
              <w:rPr>
                <w:rFonts w:ascii="Arial;Helvetica;sans-serif" w:hAnsi="Arial;Helvetica;sans-serif"/>
                <w:b/>
                <w:color w:val="404040"/>
                <w:sz w:val="24"/>
              </w:rPr>
              <w:t xml:space="preserve"> </w:t>
            </w:r>
            <w:r>
              <w:rPr>
                <w:rFonts w:ascii="Arial;Helvetica;sans-serif" w:hAnsi="Arial;Helvetica;sans-serif"/>
                <w:b w:val="false"/>
                <w:color w:val="404040"/>
                <w:sz w:val="18"/>
              </w:rPr>
              <w:t>a not-for-profit corporation affiliated with Lurie Children’s Hospital of Chicago, a provider of transitional care to children with complicated health needs, training for their families, and respite care</w:t>
            </w:r>
          </w:p>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r>
          </w:p>
          <w:p>
            <w:pPr>
              <w:pStyle w:val="TableContents"/>
              <w:bidi w:val="0"/>
              <w:spacing w:before="60" w:after="283"/>
              <w:ind w:left="0" w:right="0" w:hanging="0"/>
              <w:jc w:val="both"/>
              <w:rPr>
                <w:rFonts w:ascii="Arial;Helvetica;sans-serif" w:hAnsi="Arial;Helvetica;sans-serif"/>
                <w:b w:val="false"/>
                <w:color w:val="404040"/>
                <w:sz w:val="18"/>
              </w:rPr>
            </w:pPr>
            <w:r>
              <w:rPr>
                <w:rFonts w:ascii="Arial;Helvetica;sans-serif" w:hAnsi="Arial;Helvetica;sans-serif"/>
                <w:b w:val="false"/>
                <w:color w:val="404040"/>
                <w:sz w:val="18"/>
              </w:rPr>
              <w:t>*   </w:t>
            </w:r>
          </w:p>
          <w:p>
            <w:pPr>
              <w:pStyle w:val="TableContents"/>
              <w:bidi w:val="0"/>
              <w:spacing w:before="60" w:after="283"/>
              <w:jc w:val="both"/>
              <w:rPr>
                <w:rFonts w:ascii="Arial;Helvetica;sans-serif" w:hAnsi="Arial;Helvetica;sans-serif"/>
                <w:b w:val="false"/>
                <w:color w:val="404040"/>
                <w:sz w:val="18"/>
              </w:rPr>
            </w:pPr>
            <w:r>
              <w:rPr>
                <w:rFonts w:ascii="Arial;Helvetica;sans-serif" w:hAnsi="Arial;Helvetica;sans-serif"/>
                <w:b w:val="false"/>
                <w:color w:val="404040"/>
                <w:sz w:val="18"/>
              </w:rPr>
              <w:t>The Board has, in accordance with its Corporate Governance Principles, approved Mr. Mark’s concurrent service on the Audit Committee and the audit committees of more than two other public companies and determined that such service does not impair his ability to effectively serve on the Audit Committee.</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42022x3_10ka_104-directors_pg9"/>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60"/>
        <w:gridCol w:w="170"/>
        <w:gridCol w:w="170"/>
        <w:gridCol w:w="7705"/>
      </w:tblGrid>
      <w:tr>
        <w:trPr/>
        <w:tc>
          <w:tcPr>
            <w:tcW w:w="2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5" w:type="dxa"/>
            <w:tcBorders/>
            <w:vAlign w:val="center"/>
          </w:tcPr>
          <w:p>
            <w:pPr>
              <w:pStyle w:val="TableContents"/>
              <w:bidi w:val="0"/>
              <w:spacing w:before="0" w:after="0"/>
              <w:jc w:val="left"/>
              <w:rPr/>
            </w:pPr>
            <w:r>
              <w:rPr/>
              <w:t> </w:t>
            </w:r>
          </w:p>
        </w:tc>
      </w:tr>
      <w:tr>
        <w:trPr/>
        <w:tc>
          <w:tcPr>
            <w:tcW w:w="2160"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Director since</w:t>
            </w:r>
            <w:r>
              <w:rPr>
                <w:rFonts w:ascii="Arial;Helvetica;sans-serif" w:hAnsi="Arial;Helvetica;sans-serif"/>
                <w:color w:val="404040"/>
                <w:sz w:val="18"/>
              </w:rPr>
              <w:t xml:space="preserve"> 2020</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Age:</w:t>
            </w:r>
            <w:r>
              <w:rPr>
                <w:rFonts w:ascii="Arial;Helvetica;sans-serif" w:hAnsi="Arial;Helvetica;sans-serif"/>
                <w:color w:val="404040"/>
                <w:sz w:val="18"/>
              </w:rPr>
              <w:t xml:space="preserve"> 69</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Compliance and </w:t>
              <w:br/>
              <w:t>Risk Oversight (Chair)</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Executive</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Governance and </w:t>
              <w:br/>
              <w:t>Sustainability</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Science and </w:t>
              <w:br/>
              <w:t>Technology</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 xml:space="preserve">Vice Chair of the Board </w:t>
              <w:br/>
              <w:t>and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5"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Mark Parrish</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Senior Adviser, </w:t>
            </w:r>
            <w:r>
              <w:rPr>
                <w:rFonts w:ascii="Arial;Helvetica;sans-serif" w:hAnsi="Arial;Helvetica;sans-serif"/>
                <w:b/>
                <w:color w:val="404040"/>
                <w:sz w:val="18"/>
              </w:rPr>
              <w:t>Frazier Healthcare Ventures</w:t>
            </w:r>
            <w:r>
              <w:rPr>
                <w:rFonts w:ascii="Arial;Helvetica;sans-serif" w:hAnsi="Arial;Helvetica;sans-serif"/>
                <w:b w:val="false"/>
                <w:color w:val="404040"/>
                <w:sz w:val="18"/>
              </w:rPr>
              <w:t>, a healthcare-oriented growth equity firm</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Executive Chairman (2018 - 2019), Chief Executive Officer (2008 - 2018), Executive Chairman (2008 - 2013), </w:t>
            </w:r>
            <w:r>
              <w:rPr>
                <w:rFonts w:ascii="Arial;Helvetica;sans-serif" w:hAnsi="Arial;Helvetica;sans-serif"/>
                <w:b/>
                <w:color w:val="404040"/>
                <w:sz w:val="18"/>
              </w:rPr>
              <w:t>TridentUSA Health Services</w:t>
            </w:r>
            <w:r>
              <w:rPr>
                <w:rFonts w:ascii="Arial;Helvetica;sans-serif" w:hAnsi="Arial;Helvetica;sans-serif"/>
                <w:b w:val="false"/>
                <w:color w:val="404040"/>
                <w:sz w:val="18"/>
              </w:rPr>
              <w:t>, a provider of mobile X-ray and laboratory services to the long-term care industry. In February 2019, TridentUSA filed for protection under Chapter 11 of the U.S. Bankruptcy Code and emerged from bankruptcy in September 2019</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Held management roles of increasing responsibility (1993 - 2007) including Chief Executive Officer, Healthcare Supply Chain Services (2006 - 2007), </w:t>
            </w:r>
            <w:r>
              <w:rPr>
                <w:rFonts w:ascii="Arial;Helvetica;sans-serif" w:hAnsi="Arial;Helvetica;sans-serif"/>
                <w:b/>
                <w:color w:val="404040"/>
                <w:sz w:val="18"/>
              </w:rPr>
              <w:t>Cardinal Health Inc.</w:t>
            </w:r>
            <w:r>
              <w:rPr>
                <w:rFonts w:ascii="Arial;Helvetica;sans-serif" w:hAnsi="Arial;Helvetica;sans-serif"/>
                <w:b/>
                <w:color w:val="404040"/>
                <w:sz w:val="24"/>
              </w:rPr>
              <w:t xml:space="preserve"> </w:t>
            </w:r>
            <w:r>
              <w:rPr>
                <w:rFonts w:ascii="Arial;Helvetica;sans-serif" w:hAnsi="Arial;Helvetica;sans-serif"/>
                <w:b w:val="false"/>
                <w:color w:val="404040"/>
                <w:sz w:val="18"/>
              </w:rPr>
              <w:t>and its affiliates</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CEO and Public Company Management, Corporate Governance, Finance, Accounting, and Capital Markets, Healthcare Industry, Risk Oversight/Compliance,</w:t>
            </w:r>
            <w:r>
              <w:rPr>
                <w:rFonts w:ascii="Arial;Helvetica;sans-serif" w:hAnsi="Arial;Helvetica;sans-serif"/>
                <w:b/>
                <w:color w:val="404040"/>
                <w:sz w:val="24"/>
              </w:rPr>
              <w:t xml:space="preserve">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obtained over his many years in leadership positions in the healthcare industry, where he gained extensive expertise in managing governmental oversight, as well as experience in business restructuring and M&amp;A</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CS Experience </w:t>
            </w:r>
            <w:r>
              <w:rPr>
                <w:rFonts w:ascii="Arial;Helvetica;sans-serif" w:hAnsi="Arial;Helvetica;sans-serif"/>
                <w:b w:val="false"/>
                <w:color w:val="404040"/>
                <w:sz w:val="18"/>
              </w:rPr>
              <w:t>obtained through his public company and executive experience and his work in the heavily regulated healthcare industry</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Mr. Parrish also brings </w:t>
            </w:r>
            <w:r>
              <w:rPr>
                <w:rFonts w:ascii="Arial;Helvetica;sans-serif" w:hAnsi="Arial;Helvetica;sans-serif"/>
                <w:b/>
                <w:color w:val="404040"/>
                <w:sz w:val="18"/>
              </w:rPr>
              <w:t>Global Business</w:t>
            </w:r>
            <w:r>
              <w:rPr>
                <w:rFonts w:ascii="Arial;Helvetica;sans-serif" w:hAnsi="Arial;Helvetica;sans-serif"/>
                <w:b w:val="false"/>
                <w:color w:val="404040"/>
                <w:sz w:val="18"/>
              </w:rPr>
              <w:t xml:space="preserve">, </w:t>
            </w:r>
            <w:r>
              <w:rPr>
                <w:rFonts w:ascii="Arial;Helvetica;sans-serif" w:hAnsi="Arial;Helvetica;sans-serif"/>
                <w:b/>
                <w:color w:val="404040"/>
                <w:sz w:val="18"/>
              </w:rPr>
              <w:t xml:space="preserve">Human Capital Management, </w:t>
            </w:r>
            <w:r>
              <w:rPr>
                <w:rFonts w:ascii="Arial;Helvetica;sans-serif" w:hAnsi="Arial;Helvetica;sans-serif"/>
                <w:b w:val="false"/>
                <w:color w:val="404040"/>
                <w:sz w:val="18"/>
              </w:rPr>
              <w:t xml:space="preserve">and </w:t>
            </w:r>
            <w:r>
              <w:rPr>
                <w:rFonts w:ascii="Arial;Helvetica;sans-serif" w:hAnsi="Arial;Helvetica;sans-serif"/>
                <w:b/>
                <w:color w:val="404040"/>
                <w:sz w:val="18"/>
              </w:rPr>
              <w:t>Information Security Experience</w:t>
            </w:r>
            <w:r>
              <w:rPr>
                <w:rFonts w:ascii="Arial;Helvetica;sans-serif" w:hAnsi="Arial;Helvetica;sans-serif"/>
                <w:b/>
                <w:color w:val="404040"/>
                <w:sz w:val="24"/>
              </w:rPr>
              <w:t xml:space="preserve"> </w:t>
            </w:r>
            <w:r>
              <w:rPr>
                <w:rFonts w:ascii="Arial;Helvetica;sans-serif" w:hAnsi="Arial;Helvetica;sans-serif"/>
                <w:b w:val="false"/>
                <w:color w:val="404040"/>
                <w:sz w:val="18"/>
              </w:rPr>
              <w:t>to the Board</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Current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Omnicell, Inc. </w:t>
            </w:r>
            <w:r>
              <w:rPr>
                <w:rFonts w:ascii="Arial;Helvetica;sans-serif" w:hAnsi="Arial;Helvetica;sans-serif"/>
                <w:b w:val="false"/>
                <w:color w:val="404040"/>
                <w:sz w:val="18"/>
              </w:rPr>
              <w:t>(NASDAQ: OMCL) (since 2013), Director, and member of the Audit and Compensation Committees</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Current Private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Safecor Health, LLC</w:t>
            </w:r>
            <w:r>
              <w:rPr>
                <w:rFonts w:ascii="Arial;Helvetica;sans-serif" w:hAnsi="Arial;Helvetica;sans-serif"/>
                <w:b/>
                <w:color w:val="404040"/>
                <w:sz w:val="24"/>
              </w:rPr>
              <w:t xml:space="preserve"> </w:t>
            </w:r>
            <w:r>
              <w:rPr>
                <w:rFonts w:ascii="Arial;Helvetica;sans-serif" w:hAnsi="Arial;Helvetica;sans-serif"/>
                <w:b w:val="false"/>
                <w:color w:val="404040"/>
                <w:sz w:val="18"/>
              </w:rPr>
              <w:t>(since 2022), a private limited liability company that provides unit dose drug packaging services to hospitals and long-term care facilities, non-executive Chair</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Mylan </w:t>
            </w:r>
            <w:r>
              <w:rPr>
                <w:rFonts w:ascii="Arial;Helvetica;sans-serif" w:hAnsi="Arial;Helvetica;sans-serif"/>
                <w:b w:val="false"/>
                <w:color w:val="404040"/>
                <w:sz w:val="18"/>
              </w:rPr>
              <w:t>(2009 - the closing of the Combination in 2020), most recently Lead Independent Director and Vice Chairman, Chair of the Compliance Committee and member of the Audit, Executive, Governance and Nominating, and Risk Oversight Committees</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Private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Comprehensive Pharmacy Services</w:t>
            </w:r>
            <w:r>
              <w:rPr>
                <w:rFonts w:ascii="Arial;Helvetica;sans-serif" w:hAnsi="Arial;Helvetica;sans-serif"/>
                <w:b/>
                <w:color w:val="404040"/>
                <w:sz w:val="24"/>
              </w:rPr>
              <w:t xml:space="preserve"> </w:t>
            </w:r>
            <w:r>
              <w:rPr>
                <w:rFonts w:ascii="Arial;Helvetica;sans-serif" w:hAnsi="Arial;Helvetica;sans-serif"/>
                <w:b w:val="false"/>
                <w:color w:val="404040"/>
                <w:sz w:val="18"/>
              </w:rPr>
              <w:t>(2019 - 2023), a private company that specializes in the outsourcing of hospital pharmacies, Director</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Golden State Medical Supply</w:t>
            </w:r>
            <w:r>
              <w:rPr>
                <w:rFonts w:ascii="Arial;Helvetica;sans-serif" w:hAnsi="Arial;Helvetica;sans-serif"/>
                <w:b/>
                <w:color w:val="404040"/>
                <w:sz w:val="24"/>
              </w:rPr>
              <w:t xml:space="preserve"> </w:t>
            </w:r>
            <w:r>
              <w:rPr>
                <w:rFonts w:ascii="Arial;Helvetica;sans-serif" w:hAnsi="Arial;Helvetica;sans-serif"/>
                <w:b w:val="false"/>
                <w:color w:val="404040"/>
                <w:sz w:val="18"/>
              </w:rPr>
              <w:t>(2014 - 2019 when it was acquired by Court Square), a private company that specializes in meeting unique labeling and sizing needs and pharmaceutical packaging, serialization, and distribution, Director</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Silvergate Pharmaceuticals</w:t>
            </w:r>
            <w:r>
              <w:rPr>
                <w:rFonts w:ascii="Arial;Helvetica;sans-serif" w:hAnsi="Arial;Helvetica;sans-serif"/>
                <w:b/>
                <w:color w:val="404040"/>
                <w:sz w:val="24"/>
              </w:rPr>
              <w:t xml:space="preserve"> </w:t>
            </w:r>
            <w:r>
              <w:rPr>
                <w:rFonts w:ascii="Arial;Helvetica;sans-serif" w:hAnsi="Arial;Helvetica;sans-serif"/>
                <w:b w:val="false"/>
                <w:color w:val="404040"/>
                <w:sz w:val="18"/>
              </w:rPr>
              <w:t>(2013 - 2019), a private company that develops and commercializes pediatric medications, Director</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Organizations: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President and Chief Executive Officer, </w:t>
            </w:r>
            <w:r>
              <w:rPr>
                <w:rFonts w:ascii="Arial;Helvetica;sans-serif" w:hAnsi="Arial;Helvetica;sans-serif"/>
                <w:b/>
                <w:color w:val="404040"/>
                <w:sz w:val="18"/>
              </w:rPr>
              <w:t>International Federation of Pharmaceutical Wholesalers,</w:t>
            </w:r>
            <w:r>
              <w:rPr>
                <w:rFonts w:ascii="Arial;Helvetica;sans-serif" w:hAnsi="Arial;Helvetica;sans-serif"/>
                <w:b/>
                <w:color w:val="404040"/>
                <w:sz w:val="24"/>
              </w:rPr>
              <w:t xml:space="preserve"> </w:t>
            </w:r>
            <w:r>
              <w:rPr>
                <w:rFonts w:ascii="Arial;Helvetica;sans-serif" w:hAnsi="Arial;Helvetica;sans-serif"/>
                <w:b w:val="false"/>
                <w:color w:val="404040"/>
                <w:sz w:val="18"/>
              </w:rPr>
              <w:t>an association of pharmaceutical wholesalers and pharmaceutical supply chain service companies</w:t>
            </w:r>
          </w:p>
        </w:tc>
      </w:tr>
      <w:tr>
        <w:trPr/>
        <w:tc>
          <w:tcPr>
            <w:tcW w:w="2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42022x3_10ka_104-directors_pg10"/>
        <w:bookmarkEnd w:id="24"/>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25" w:name="tBOARD3"/>
      <w:bookmarkStart w:id="26" w:name="tBOARD3"/>
      <w:bookmarkEnd w:id="26"/>
    </w:p>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Director since </w:t>
            </w:r>
            <w:r>
              <w:rPr>
                <w:rFonts w:ascii="Arial;Helvetica;sans-serif" w:hAnsi="Arial;Helvetica;sans-serif"/>
                <w:color w:val="404040"/>
                <w:sz w:val="18"/>
              </w:rPr>
              <w:t>2022</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 xml:space="preserve">Age: </w:t>
            </w:r>
            <w:r>
              <w:rPr>
                <w:rFonts w:ascii="Arial;Helvetica;sans-serif" w:hAnsi="Arial;Helvetica;sans-serif"/>
                <w:color w:val="404040"/>
                <w:sz w:val="18"/>
              </w:rPr>
              <w:t>63</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Science and </w:t>
              <w:br/>
              <w:t>Technology</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 xml:space="preserve">Chief Executive Officer </w:t>
              <w:br/>
              <w:t>and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Scott A. Smith</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val="false"/>
                <w:color w:val="404040"/>
                <w:sz w:val="18"/>
              </w:rPr>
              <w:t xml:space="preserve">Chief Executive Officer (since April 2023), </w:t>
            </w:r>
            <w:r>
              <w:rPr>
                <w:rFonts w:ascii="Arial;Helvetica;sans-serif" w:hAnsi="Arial;Helvetica;sans-serif"/>
                <w:b/>
                <w:color w:val="404040"/>
                <w:sz w:val="18"/>
              </w:rPr>
              <w:t>Viatris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President (2018 - 2023), </w:t>
            </w:r>
            <w:r>
              <w:rPr>
                <w:rFonts w:ascii="Arial;Helvetica;sans-serif" w:hAnsi="Arial;Helvetica;sans-serif"/>
                <w:b/>
                <w:color w:val="404040"/>
                <w:sz w:val="18"/>
              </w:rPr>
              <w:t>BioAtla, Inc.</w:t>
            </w:r>
            <w:r>
              <w:rPr>
                <w:rFonts w:ascii="Arial;Helvetica;sans-serif" w:hAnsi="Arial;Helvetica;sans-serif"/>
                <w:b/>
                <w:color w:val="404040"/>
                <w:sz w:val="24"/>
              </w:rPr>
              <w:t xml:space="preserve"> </w:t>
            </w:r>
            <w:r>
              <w:rPr>
                <w:rFonts w:ascii="Arial;Helvetica;sans-serif" w:hAnsi="Arial;Helvetica;sans-serif"/>
                <w:b w:val="false"/>
                <w:color w:val="404040"/>
                <w:sz w:val="18"/>
              </w:rPr>
              <w:t>(NASDAQ: BCAB) (“BioAtla”), a global biotechnology company focused on the development of Conditionally Active Biologics™ antibody therapeutics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Served as an executive (2008 - 2018), rising up the ranks from SVP and Global Head of Immunology to President of Inflammation and Immunology and then, beginning in 2017, President and Chief Operating Officer, </w:t>
            </w:r>
            <w:r>
              <w:rPr>
                <w:rFonts w:ascii="Arial;Helvetica;sans-serif" w:hAnsi="Arial;Helvetica;sans-serif"/>
                <w:b/>
                <w:color w:val="404040"/>
                <w:sz w:val="18"/>
              </w:rPr>
              <w:t>Celgene Corporation,</w:t>
            </w:r>
            <w:r>
              <w:rPr>
                <w:rFonts w:ascii="Arial;Helvetica;sans-serif" w:hAnsi="Arial;Helvetica;sans-serif"/>
                <w:b/>
                <w:color w:val="404040"/>
                <w:sz w:val="24"/>
              </w:rPr>
              <w:t xml:space="preserve"> </w:t>
            </w:r>
            <w:r>
              <w:rPr>
                <w:rFonts w:ascii="Arial;Helvetica;sans-serif" w:hAnsi="Arial;Helvetica;sans-serif"/>
                <w:b w:val="false"/>
                <w:color w:val="404040"/>
                <w:sz w:val="18"/>
              </w:rPr>
              <w:t>a global biopharmaceutical company</w:t>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r>
              <w:rPr>
                <w:rFonts w:ascii="Arial;Helvetica;sans-serif" w:hAnsi="Arial;Helvetica;sans-serif"/>
                <w:b/>
                <w:color w:val="404040"/>
                <w:sz w:val="18"/>
              </w:rPr>
              <w:t xml:space="preserve">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Public Company Management, Corporate Governance, Global Business, Healthcare Industry, Risk Oversight/Compliance,</w:t>
            </w:r>
            <w:r>
              <w:rPr>
                <w:rFonts w:ascii="Arial;Helvetica;sans-serif" w:hAnsi="Arial;Helvetica;sans-serif"/>
                <w:b/>
                <w:color w:val="404040"/>
                <w:sz w:val="24"/>
              </w:rPr>
              <w:t xml:space="preserve">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acquired during his more than 35 years in the healthcare industry, which has resulted in him possessing vast global commercial and pharmaceutical expertise and a proven ability to build, grow, and manage large complex organizations utilizing his substantial experience in developing and executing regulatory, clinical, and business development strategies as displayed by his time at BioAtla, where he built a clinical development structure that moved multiple assets from investigational new drug applications into late stage clinical development, drove the company’s long-term strategic operational plan, and led all business development activities, and, prior to that, his time at Celgene where he led the company’s oncology, inflammation, and immunology franchise, commercial operations, and clinical development</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Mr. Smith also brings </w:t>
            </w:r>
            <w:r>
              <w:rPr>
                <w:rFonts w:ascii="Arial;Helvetica;sans-serif" w:hAnsi="Arial;Helvetica;sans-serif"/>
                <w:b/>
                <w:color w:val="404040"/>
                <w:sz w:val="18"/>
              </w:rPr>
              <w:t xml:space="preserve">Finance, Accounting and, Capital Markets </w:t>
            </w:r>
            <w:r>
              <w:rPr>
                <w:rFonts w:ascii="Arial;Helvetica;sans-serif" w:hAnsi="Arial;Helvetica;sans-serif"/>
                <w:b w:val="false"/>
                <w:color w:val="404040"/>
                <w:sz w:val="18"/>
              </w:rPr>
              <w:t xml:space="preserve">and </w:t>
            </w:r>
            <w:r>
              <w:rPr>
                <w:rFonts w:ascii="Arial;Helvetica;sans-serif" w:hAnsi="Arial;Helvetica;sans-serif"/>
                <w:b/>
                <w:color w:val="404040"/>
                <w:sz w:val="18"/>
              </w:rPr>
              <w:t>Human Capital Management Experience</w:t>
            </w:r>
            <w:r>
              <w:rPr>
                <w:rFonts w:ascii="Arial;Helvetica;sans-serif" w:hAnsi="Arial;Helvetica;sans-serif"/>
                <w:b/>
                <w:color w:val="404040"/>
                <w:sz w:val="24"/>
              </w:rPr>
              <w:t xml:space="preserve"> </w:t>
            </w:r>
            <w:r>
              <w:rPr>
                <w:rFonts w:ascii="Arial;Helvetica;sans-serif" w:hAnsi="Arial;Helvetica;sans-serif"/>
                <w:b w:val="false"/>
                <w:color w:val="404040"/>
                <w:sz w:val="18"/>
              </w:rPr>
              <w:t>to the Board</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Current Public Company Boards:</w:t>
            </w:r>
            <w:r>
              <w:rPr>
                <w:rFonts w:ascii="Arial;Helvetica;sans-serif" w:hAnsi="Arial;Helvetica;sans-serif"/>
                <w:b/>
                <w:color w:val="404040"/>
                <w:sz w:val="18"/>
              </w:rPr>
              <w:t xml:space="preserve"> </w:t>
            </w:r>
            <w:r>
              <w:rPr>
                <w:rFonts w:ascii="Arial;Helvetica;sans-serif" w:hAnsi="Arial;Helvetica;sans-serif"/>
                <w:b w:val="false"/>
                <w:color w:val="404040"/>
                <w:sz w:val="18"/>
              </w:rPr>
              <w:br/>
              <w:t> • </w:t>
            </w:r>
            <w:r>
              <w:rPr>
                <w:rFonts w:ascii="Arial;Helvetica;sans-serif" w:hAnsi="Arial;Helvetica;sans-serif"/>
                <w:b/>
                <w:color w:val="404040"/>
                <w:sz w:val="18"/>
              </w:rPr>
              <w:t xml:space="preserve">BioAtla </w:t>
            </w:r>
            <w:r>
              <w:rPr>
                <w:rFonts w:ascii="Arial;Helvetica;sans-serif" w:hAnsi="Arial;Helvetica;sans-serif"/>
                <w:b w:val="false"/>
                <w:color w:val="404040"/>
                <w:sz w:val="18"/>
              </w:rPr>
              <w:t>(since 2020), Director</w:t>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Apexigen, Inc.</w:t>
            </w:r>
            <w:r>
              <w:rPr>
                <w:rFonts w:ascii="Arial;Helvetica;sans-serif" w:hAnsi="Arial;Helvetica;sans-serif"/>
                <w:b/>
                <w:color w:val="404040"/>
                <w:sz w:val="24"/>
              </w:rPr>
              <w:t xml:space="preserve"> </w:t>
            </w:r>
            <w:r>
              <w:rPr>
                <w:rFonts w:ascii="Arial;Helvetica;sans-serif" w:hAnsi="Arial;Helvetica;sans-serif"/>
                <w:b w:val="false"/>
                <w:color w:val="404040"/>
                <w:sz w:val="18"/>
              </w:rPr>
              <w:t>(2019 - 2023 when it was acquired by Pyxis Oncology, Inc.), Director and most recently member of the Compensation and Corporate Governance and Nominating Committees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Titan Pharmaceuticals, Inc.</w:t>
            </w:r>
            <w:r>
              <w:rPr>
                <w:rFonts w:ascii="Arial;Helvetica;sans-serif" w:hAnsi="Arial;Helvetica;sans-serif"/>
                <w:b/>
                <w:color w:val="404040"/>
                <w:sz w:val="24"/>
              </w:rPr>
              <w:t xml:space="preserve"> </w:t>
            </w:r>
            <w:r>
              <w:rPr>
                <w:rFonts w:ascii="Arial;Helvetica;sans-serif" w:hAnsi="Arial;Helvetica;sans-serif"/>
                <w:b w:val="false"/>
                <w:color w:val="404040"/>
                <w:sz w:val="18"/>
              </w:rPr>
              <w:t>(NASDAQ: TTNP) (2017 - 2020), Director and Chair of the Compensation and Nominating and Governance Committees</w:t>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Private Company Boards: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Triumvira Immunologics, Inc.</w:t>
            </w:r>
            <w:r>
              <w:rPr>
                <w:rFonts w:ascii="Arial;Helvetica;sans-serif" w:hAnsi="Arial;Helvetica;sans-serif"/>
                <w:b/>
                <w:color w:val="404040"/>
                <w:sz w:val="24"/>
              </w:rPr>
              <w:t xml:space="preserve"> </w:t>
            </w:r>
            <w:r>
              <w:rPr>
                <w:rFonts w:ascii="Arial;Helvetica;sans-serif" w:hAnsi="Arial;Helvetica;sans-serif"/>
                <w:b w:val="false"/>
                <w:color w:val="404040"/>
                <w:sz w:val="18"/>
              </w:rPr>
              <w:t>(2018 - 2023), Director and Chairman</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Refuge Biotechnologies, Inc.</w:t>
            </w:r>
            <w:r>
              <w:rPr>
                <w:rFonts w:ascii="Arial;Helvetica;sans-serif" w:hAnsi="Arial;Helvetica;sans-serif"/>
                <w:b/>
                <w:color w:val="404040"/>
                <w:sz w:val="24"/>
              </w:rPr>
              <w:t xml:space="preserve"> </w:t>
            </w:r>
            <w:r>
              <w:rPr>
                <w:rFonts w:ascii="Arial;Helvetica;sans-serif" w:hAnsi="Arial;Helvetica;sans-serif"/>
                <w:b w:val="false"/>
                <w:color w:val="404040"/>
                <w:sz w:val="18"/>
              </w:rPr>
              <w:t>(2018 - 2022), Director</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F-star Therapeutics, Inc.</w:t>
            </w:r>
            <w:r>
              <w:rPr>
                <w:rFonts w:ascii="Arial;Helvetica;sans-serif" w:hAnsi="Arial;Helvetica;sans-serif"/>
                <w:b/>
                <w:color w:val="404040"/>
                <w:sz w:val="24"/>
              </w:rPr>
              <w:t xml:space="preserve"> </w:t>
            </w:r>
            <w:r>
              <w:rPr>
                <w:rFonts w:ascii="Arial;Helvetica;sans-serif" w:hAnsi="Arial;Helvetica;sans-serif"/>
                <w:b w:val="false"/>
                <w:color w:val="404040"/>
                <w:sz w:val="18"/>
              </w:rPr>
              <w:t>(2018 - 2020), Chairman and member of the Audit and Nominating and Corporate Governance Committees</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7" w:name="ny20042022x3_10ka_104-directors_pg11"/>
        <w:bookmarkEnd w:id="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5"/>
        <w:gridCol w:w="170"/>
        <w:gridCol w:w="170"/>
        <w:gridCol w:w="7720"/>
      </w:tblGrid>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333500" cy="13620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333500" cy="1362075"/>
                          </a:xfrm>
                          <a:prstGeom prst="rect">
                            <a:avLst/>
                          </a:prstGeom>
                        </pic:spPr>
                      </pic:pic>
                    </a:graphicData>
                  </a:graphic>
                </wp:inline>
              </w:drawing>
            </w:r>
          </w:p>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Director since</w:t>
            </w:r>
            <w:r>
              <w:rPr>
                <w:rFonts w:ascii="Arial;Helvetica;sans-serif" w:hAnsi="Arial;Helvetica;sans-serif"/>
                <w:color w:val="404040"/>
                <w:sz w:val="18"/>
              </w:rPr>
              <w:t xml:space="preserve"> 2024</w:t>
            </w:r>
          </w:p>
          <w:p>
            <w:pPr>
              <w:pStyle w:val="TableContents"/>
              <w:bidi w:val="0"/>
              <w:spacing w:before="40" w:after="283"/>
              <w:ind w:left="0" w:right="0" w:hanging="0"/>
              <w:jc w:val="left"/>
              <w:rPr>
                <w:rFonts w:ascii="Arial;Helvetica;sans-serif" w:hAnsi="Arial;Helvetica;sans-serif"/>
                <w:color w:val="404040"/>
                <w:sz w:val="18"/>
              </w:rPr>
            </w:pPr>
            <w:r>
              <w:rPr>
                <w:rFonts w:ascii="Arial;Helvetica;sans-serif" w:hAnsi="Arial;Helvetica;sans-serif"/>
                <w:b/>
                <w:color w:val="26215F"/>
                <w:sz w:val="18"/>
              </w:rPr>
              <w:t>Age:</w:t>
            </w:r>
            <w:r>
              <w:rPr>
                <w:rFonts w:ascii="Arial;Helvetica;sans-serif" w:hAnsi="Arial;Helvetica;sans-serif"/>
                <w:color w:val="404040"/>
                <w:sz w:val="18"/>
              </w:rPr>
              <w:t xml:space="preserve"> 61 </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Board Committees: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Compliance and </w:t>
              <w:br/>
              <w:t>Risk Oversight</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color w:val="404040"/>
                <w:sz w:val="18"/>
              </w:rPr>
              <w:t xml:space="preserve">Science and </w:t>
              <w:br/>
              <w:t xml:space="preserve">Technology </w:t>
            </w:r>
          </w:p>
          <w:p>
            <w:pPr>
              <w:pStyle w:val="TableContents"/>
              <w:bidi w:val="0"/>
              <w:spacing w:before="4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283"/>
              <w:ind w:left="0" w:right="0" w:hanging="0"/>
              <w:jc w:val="left"/>
              <w:rPr>
                <w:rFonts w:ascii="Arial;Helvetica;sans-serif" w:hAnsi="Arial;Helvetica;sans-serif"/>
                <w:b/>
                <w:color w:val="26215F"/>
                <w:sz w:val="24"/>
              </w:rPr>
            </w:pPr>
            <w:r>
              <w:rPr>
                <w:rFonts w:ascii="Arial;Helvetica;sans-serif" w:hAnsi="Arial;Helvetica;sans-serif"/>
                <w:b/>
                <w:color w:val="26215F"/>
                <w:sz w:val="24"/>
              </w:rPr>
              <w:t>Rogério Vivaldi Coelho, M.D., M.B.A.</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val="false"/>
                <w:color w:val="404040"/>
                <w:sz w:val="18"/>
              </w:rPr>
            </w:pPr>
            <w:r>
              <w:rPr>
                <w:rFonts w:ascii="Arial;Helvetica;sans-serif" w:hAnsi="Arial;Helvetica;sans-serif"/>
                <w:b w:val="false"/>
                <w:color w:val="404040"/>
                <w:sz w:val="18"/>
              </w:rPr>
              <w:t>Founder and Chief Executive Officer (since 2024), Vivaldi Rare, a provider of pharma and biotech consulting services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President and Chief Executive Officer (2018 - 2023 when it was acquired by Eli Lilly and Company), </w:t>
            </w:r>
            <w:r>
              <w:rPr>
                <w:rFonts w:ascii="Arial;Helvetica;sans-serif" w:hAnsi="Arial;Helvetica;sans-serif"/>
                <w:b/>
                <w:color w:val="404040"/>
                <w:sz w:val="18"/>
              </w:rPr>
              <w:t>Sigilon Therapeutics, Inc.</w:t>
            </w:r>
            <w:r>
              <w:rPr>
                <w:rFonts w:ascii="Arial;Helvetica;sans-serif" w:hAnsi="Arial;Helvetica;sans-serif"/>
                <w:b w:val="false"/>
                <w:color w:val="404040"/>
                <w:sz w:val="18"/>
              </w:rPr>
              <w:t>, a diabetes cell therapy company</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Executive Vice President and Chief Global Therapeutics Officer (2016 - 2018 when it was acquired by Sanofi), </w:t>
            </w:r>
            <w:r>
              <w:rPr>
                <w:rFonts w:ascii="Arial;Helvetica;sans-serif" w:hAnsi="Arial;Helvetica;sans-serif"/>
                <w:b/>
                <w:color w:val="404040"/>
                <w:sz w:val="18"/>
              </w:rPr>
              <w:t>Bioverativ Inc.</w:t>
            </w:r>
            <w:r>
              <w:rPr>
                <w:rFonts w:ascii="Arial;Helvetica;sans-serif" w:hAnsi="Arial;Helvetica;sans-serif"/>
                <w:b w:val="false"/>
                <w:color w:val="404040"/>
                <w:sz w:val="18"/>
              </w:rPr>
              <w:t>, a biopharmaceutical company focused on therapies for hemophilia and other rare blood disorders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Executive Vice President and Chief Commercial Officer (2014 - 2016), </w:t>
            </w:r>
            <w:r>
              <w:rPr>
                <w:rFonts w:ascii="Arial;Helvetica;sans-serif" w:hAnsi="Arial;Helvetica;sans-serif"/>
                <w:b/>
                <w:color w:val="404040"/>
                <w:sz w:val="18"/>
              </w:rPr>
              <w:t>Spark Therapeutics, Inc.</w:t>
            </w:r>
            <w:r>
              <w:rPr>
                <w:rFonts w:ascii="Arial;Helvetica;sans-serif" w:hAnsi="Arial;Helvetica;sans-serif"/>
                <w:b w:val="false"/>
                <w:color w:val="404040"/>
                <w:sz w:val="18"/>
              </w:rPr>
              <w:t>, a gene therapy company</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Chief Executive Officer (2013 - 2014), </w:t>
            </w:r>
            <w:r>
              <w:rPr>
                <w:rFonts w:ascii="Arial;Helvetica;sans-serif" w:hAnsi="Arial;Helvetica;sans-serif"/>
                <w:b/>
                <w:color w:val="404040"/>
                <w:sz w:val="18"/>
              </w:rPr>
              <w:t>Minerva Neurosciences, Inc.</w:t>
            </w:r>
            <w:r>
              <w:rPr>
                <w:rFonts w:ascii="Arial;Helvetica;sans-serif" w:hAnsi="Arial;Helvetica;sans-serif"/>
                <w:b w:val="false"/>
                <w:color w:val="404040"/>
                <w:sz w:val="18"/>
              </w:rPr>
              <w:t>, a clinical-stage biopharmaceutical company focused on the development and commercialization of product candidates to treat patients suffering from central nervous system diseases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Earlier in his career, held positions of increasing responsibility including leading rare disease business as President of both the rare disease business and the renal and endocrine group and served as Senior Vice President and General Manager of the Latin America Group,</w:t>
            </w:r>
            <w:r>
              <w:rPr>
                <w:rFonts w:ascii="Arial;Helvetica;sans-serif" w:hAnsi="Arial;Helvetica;sans-serif"/>
                <w:b/>
                <w:color w:val="404040"/>
                <w:sz w:val="24"/>
              </w:rPr>
              <w:t xml:space="preserve"> </w:t>
            </w:r>
            <w:r>
              <w:rPr>
                <w:rFonts w:ascii="Arial;Helvetica;sans-serif" w:hAnsi="Arial;Helvetica;sans-serif"/>
                <w:b/>
                <w:color w:val="404040"/>
                <w:sz w:val="18"/>
              </w:rPr>
              <w:t>Genzyme Corporation</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Key Skills and Experience:</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CEO and Public Company Management, Corporate Governance, Finance, Accounting, and Capital Markets, Healthcare Industry, Risk Oversight/Compliance,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Strategy and M&amp;A Experience </w:t>
            </w:r>
            <w:r>
              <w:rPr>
                <w:rFonts w:ascii="Arial;Helvetica;sans-serif" w:hAnsi="Arial;Helvetica;sans-serif"/>
                <w:b w:val="false"/>
                <w:color w:val="404040"/>
                <w:sz w:val="18"/>
              </w:rPr>
              <w:t>obtained over his many years in leadership positions in the healthcare industry, where he gained extensive experience leading and managing commercial, marketing, and sales operations, managing patient access initiatives, and leading the successful approval of innovative medicines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val="false"/>
                <w:color w:val="404040"/>
                <w:sz w:val="18"/>
              </w:rPr>
              <w:t xml:space="preserve">Dr. Vivaldi also brings </w:t>
            </w:r>
            <w:r>
              <w:rPr>
                <w:rFonts w:ascii="Arial;Helvetica;sans-serif" w:hAnsi="Arial;Helvetica;sans-serif"/>
                <w:b/>
                <w:color w:val="404040"/>
                <w:sz w:val="18"/>
              </w:rPr>
              <w:t xml:space="preserve">Global Business Experience </w:t>
            </w:r>
            <w:r>
              <w:rPr>
                <w:rFonts w:ascii="Arial;Helvetica;sans-serif" w:hAnsi="Arial;Helvetica;sans-serif"/>
                <w:b w:val="false"/>
                <w:color w:val="404040"/>
                <w:sz w:val="18"/>
              </w:rPr>
              <w:t xml:space="preserve">and </w:t>
            </w:r>
            <w:r>
              <w:rPr>
                <w:rFonts w:ascii="Arial;Helvetica;sans-serif" w:hAnsi="Arial;Helvetica;sans-serif"/>
                <w:b/>
                <w:color w:val="404040"/>
                <w:sz w:val="18"/>
              </w:rPr>
              <w:t xml:space="preserve">Human Capital Management </w:t>
            </w:r>
            <w:r>
              <w:rPr>
                <w:rFonts w:ascii="Arial;Helvetica;sans-serif" w:hAnsi="Arial;Helvetica;sans-serif"/>
                <w:b w:val="false"/>
                <w:color w:val="404040"/>
                <w:sz w:val="18"/>
              </w:rPr>
              <w:t>to the Board</w:t>
            </w:r>
          </w:p>
          <w:p>
            <w:pPr>
              <w:pStyle w:val="TableContents"/>
              <w:bidi w:val="0"/>
              <w:spacing w:before="0" w:after="283"/>
              <w:ind w:left="0"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Other Current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Crinetics Pharmaceuticals, Inc. </w:t>
            </w:r>
            <w:r>
              <w:rPr>
                <w:rFonts w:ascii="Arial;Helvetica;sans-serif" w:hAnsi="Arial;Helvetica;sans-serif"/>
                <w:b w:val="false"/>
                <w:color w:val="404040"/>
                <w:sz w:val="18"/>
              </w:rPr>
              <w:t>(NASDAQ: CRNX) (since 2022), Director and member of the Audit and the Research and Development Committees</w:t>
            </w:r>
          </w:p>
          <w:p>
            <w:pPr>
              <w:pStyle w:val="TableContents"/>
              <w:bidi w:val="0"/>
              <w:spacing w:before="0" w:after="283"/>
              <w:ind w:left="423"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Public Company Boards:</w:t>
            </w:r>
          </w:p>
          <w:p>
            <w:pPr>
              <w:pStyle w:val="TableContents"/>
              <w:bidi w:val="0"/>
              <w:spacing w:before="0" w:after="283"/>
              <w:ind w:left="0" w:right="0" w:hanging="0"/>
              <w:jc w:val="both"/>
              <w:rPr>
                <w:color w:val="404040"/>
              </w:rPr>
            </w:pPr>
            <w:r>
              <w:rPr>
                <w:color w:val="404040"/>
              </w:rPr>
              <w:t> • </w:t>
            </w:r>
          </w:p>
          <w:p>
            <w:pPr>
              <w:pStyle w:val="TableContents"/>
              <w:bidi w:val="0"/>
              <w:spacing w:before="0" w:after="283"/>
              <w:jc w:val="both"/>
              <w:rPr>
                <w:rFonts w:ascii="Arial;Helvetica;sans-serif" w:hAnsi="Arial;Helvetica;sans-serif"/>
                <w:b/>
                <w:color w:val="26215F"/>
                <w:sz w:val="24"/>
              </w:rPr>
            </w:pPr>
            <w:r>
              <w:rPr>
                <w:rFonts w:ascii="Arial;Helvetica;sans-serif" w:hAnsi="Arial;Helvetica;sans-serif"/>
                <w:b/>
                <w:color w:val="404040"/>
                <w:sz w:val="18"/>
              </w:rPr>
              <w:t xml:space="preserve">Sigilon Therapeutics, Inc. </w:t>
            </w:r>
            <w:r>
              <w:rPr>
                <w:rFonts w:ascii="Arial;Helvetica;sans-serif" w:hAnsi="Arial;Helvetica;sans-serif"/>
                <w:b w:val="false"/>
                <w:color w:val="404040"/>
                <w:sz w:val="18"/>
              </w:rPr>
              <w:t>(2018 - 2023 when it was acquired by Eli Lilly and Company), Director</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 xml:space="preserve">Minerva Neurosciences, Inc. </w:t>
            </w:r>
            <w:r>
              <w:rPr>
                <w:rFonts w:ascii="Arial;Helvetica;sans-serif" w:hAnsi="Arial;Helvetica;sans-serif"/>
                <w:b w:val="false"/>
                <w:color w:val="404040"/>
                <w:sz w:val="18"/>
              </w:rPr>
              <w:t>(NASDAQ: NERV) (2013 - 2014), Director</w:t>
            </w:r>
          </w:p>
          <w:p>
            <w:pPr>
              <w:pStyle w:val="TableContents"/>
              <w:bidi w:val="0"/>
              <w:spacing w:before="0" w:after="283"/>
              <w:ind w:left="423" w:right="0" w:hanging="0"/>
              <w:jc w:val="left"/>
              <w:rPr>
                <w:color w:val="404040"/>
              </w:rPr>
            </w:pPr>
            <w:r>
              <w:rPr>
                <w:color w:val="404040"/>
              </w:rPr>
              <w:t> </w:t>
            </w:r>
          </w:p>
          <w:p>
            <w:pPr>
              <w:pStyle w:val="TableContents"/>
              <w:bidi w:val="0"/>
              <w:spacing w:before="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Former Private Company Boards:</w:t>
            </w:r>
          </w:p>
          <w:p>
            <w:pPr>
              <w:pStyle w:val="TableContents"/>
              <w:bidi w:val="0"/>
              <w:spacing w:before="0" w:after="283"/>
              <w:ind w:left="0" w:right="0" w:hanging="0"/>
              <w:jc w:val="left"/>
              <w:rPr>
                <w:color w:val="404040"/>
              </w:rPr>
            </w:pPr>
            <w:r>
              <w:rPr>
                <w:color w:val="404040"/>
              </w:rPr>
              <w:t> • </w:t>
            </w:r>
          </w:p>
          <w:p>
            <w:pPr>
              <w:pStyle w:val="TableContents"/>
              <w:bidi w:val="0"/>
              <w:spacing w:before="0" w:after="283"/>
              <w:jc w:val="left"/>
              <w:rPr>
                <w:rFonts w:ascii="Arial;Helvetica;sans-serif" w:hAnsi="Arial;Helvetica;sans-serif"/>
                <w:b/>
                <w:color w:val="26215F"/>
                <w:sz w:val="24"/>
              </w:rPr>
            </w:pPr>
            <w:r>
              <w:rPr>
                <w:rFonts w:ascii="Arial;Helvetica;sans-serif" w:hAnsi="Arial;Helvetica;sans-serif"/>
                <w:b/>
                <w:color w:val="404040"/>
                <w:sz w:val="18"/>
              </w:rPr>
              <w:t xml:space="preserve">Spark Therapeutics, Inc. </w:t>
            </w:r>
            <w:r>
              <w:rPr>
                <w:rFonts w:ascii="Arial;Helvetica;sans-serif" w:hAnsi="Arial;Helvetica;sans-serif"/>
                <w:b w:val="false"/>
                <w:color w:val="404040"/>
                <w:sz w:val="18"/>
              </w:rPr>
              <w:t>(2014), Director</w:t>
            </w:r>
          </w:p>
        </w:tc>
      </w:tr>
      <w:tr>
        <w:trPr/>
        <w:tc>
          <w:tcPr>
            <w:tcW w:w="2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20"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42022x3_10ka_104-directors_pg1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Viatris’ Board Structure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As set forth in our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their irrevocable resignation to the Board, such resignation to be effective upon acceptance by the Board. All Directors are submitted for election at each annual meeting of shareholders.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Board has selected a leadership and management structure that it believes is best suited to meet the needs of the Company and our shareholders. The flexibility to make these decisions serves the interests of the Company and its shareholders, as the Board is best positioned to evaluate the optimal leadership structure for the Company based upon the respective talents of the individual Directors and the Company’s leadership team, strategic objectives, and challenges and opportunities over time. </w:t>
      </w:r>
    </w:p>
    <w:p>
      <w:pPr>
        <w:pStyle w:val="TextBody"/>
        <w:bidi w:val="0"/>
        <w:spacing w:before="32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Our Board Structure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Board believes that its current leadership structure – Mr. Smith as CEO and Ms. Higgins as independent Board Chair (the “Chair”) – provides a clear delineation of responsibilities for each position and fosters greater accountability of management, which remain critical given our enduring focus on execution and results. The Board believes this structure allows the CEO to continue to focus on running the Company on a day-to-day basis while allowing the Chair to lead the Board in providing advice to, and independent oversight of, management. As set forth below, the independent Chair also has significant authority for all Board matters and serves as Chair of the Executive Committee. </w:t>
      </w:r>
    </w:p>
    <w:p>
      <w:pPr>
        <w:pStyle w:val="TextBody"/>
        <w:bidi w:val="0"/>
        <w:spacing w:before="180" w:after="283"/>
        <w:ind w:left="0" w:right="0" w:hanging="0"/>
        <w:jc w:val="both"/>
        <w:rPr/>
      </w:pPr>
      <w:r>
        <w:rPr>
          <w:rFonts w:ascii="Arial;Helvetica;sans-serif" w:hAnsi="Arial;Helvetica;sans-serif"/>
          <w:color w:val="404040"/>
          <w:sz w:val="20"/>
        </w:rPr>
        <w:t xml:space="preserve">As described in “Setting and Overseeing Strategy” on page </w:t>
      </w:r>
      <w:hyperlink w:anchor="tSAO">
        <w:r>
          <w:rPr>
            <w:rStyle w:val="InternetLink"/>
            <w:rFonts w:ascii="Arial;Helvetica;sans-serif" w:hAnsi="Arial;Helvetica;sans-serif"/>
            <w:color w:val="000080"/>
            <w:sz w:val="20"/>
          </w:rPr>
          <w:t>20</w:t>
        </w:r>
      </w:hyperlink>
      <w:r>
        <w:rPr>
          <w:rFonts w:ascii="Arial;Helvetica;sans-serif" w:hAnsi="Arial;Helvetica;sans-serif"/>
          <w:color w:val="404040"/>
          <w:sz w:val="20"/>
        </w:rPr>
        <w:t xml:space="preserve"> below, the Board actively discusses, determines, and oversees the Company’s strategic initiatives and priorities. The Board believes that Ms. Higgins’ skills and experience detailed on page </w:t>
      </w:r>
      <w:hyperlink w:anchor="tMH">
        <w:r>
          <w:rPr>
            <w:rStyle w:val="InternetLink"/>
            <w:rFonts w:ascii="Arial;Helvetica;sans-serif" w:hAnsi="Arial;Helvetica;sans-serif"/>
            <w:color w:val="000080"/>
            <w:sz w:val="20"/>
          </w:rPr>
          <w:t>7</w:t>
        </w:r>
      </w:hyperlink>
      <w:r>
        <w:rPr>
          <w:rFonts w:ascii="Arial;Helvetica;sans-serif" w:hAnsi="Arial;Helvetica;sans-serif"/>
          <w:color w:val="404040"/>
          <w:sz w:val="20"/>
        </w:rPr>
        <w:t xml:space="preserve"> as well as her deep knowledge of the Company make her an invaluable leader of the Board and resource to the CEO and management. The Chair determines the information sent to Board, the Board’s meeting agendas, and meeting schedules to assure that the Board is properly informed with respect to agenda items in advance and that there is sufficient time for discussion of agenda items at the meetings. The Chair presides at all meetings of shareholders and serves as point person for shareholders wishing to communicate with the Board. The Chair of the Board also serves as Chair of the Executive Committee. The independent Chair also presides at executive sessions of the independent Directors and has the authority to call meetings of the independent Directors. As set forth in the Corporate Governance Principles, the independent Chair is responsible for appointing a Director to serve as Vice Chair. The Vice Chair serves on the Executive Committee and, in the absence of the Chair, presides over Board meetings. Ms. Higgins has appointed Mr. Parrish to serve as Vice Chair of the Board.</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Mr. Smith is tasked with leading the daily management and performance of the business, which include, among other responsibilities, ensuring that the Company is optimally structured and efficiently resourced to deliver sustainable value to patients, shareholders, customers, and other key stakeholders and building and executing on the Company's strategy to accelerate its growth by building on the strength of its base business with an expanding portfolio of innovative, best-in-class, patent-protected assets, and focusing on the Company's three strategic pillars: 1) diversified and growing base business, 2) financial strength and significant cash flow, and 3) expanding innovative portfolio. The Board continues to believe that Mr. Smith’s experience and expertise positions him to manage the global nature and complexity of a business and execute on the Company's strategic initiatives and priorities. The Board has also adopted the corporate governance policies and practices set forth below that promote a strong and effective Board that provides independent oversight.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42022x3_10ka_104-directors_pg1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Among the factors that demonstrate the Board’s commitment to good governance practices and enable it to provide highly effective oversight and direction are: </w:t>
      </w:r>
    </w:p>
    <w:tbl>
      <w:tblPr>
        <w:tblW w:w="4315" w:type="dxa"/>
        <w:jc w:val="left"/>
        <w:tblInd w:w="0" w:type="dxa"/>
        <w:tblLayout w:type="fixed"/>
        <w:tblCellMar>
          <w:top w:w="0" w:type="dxa"/>
          <w:left w:w="0" w:type="dxa"/>
          <w:bottom w:w="0" w:type="dxa"/>
          <w:right w:w="0" w:type="dxa"/>
        </w:tblCellMar>
      </w:tblPr>
      <w:tblGrid>
        <w:gridCol w:w="140"/>
        <w:gridCol w:w="4175"/>
      </w:tblGrid>
      <w:tr>
        <w:trPr/>
        <w:tc>
          <w:tcPr>
            <w:tcW w:w="140" w:type="dxa"/>
            <w:tcBorders/>
            <w:vAlign w:val="center"/>
          </w:tcPr>
          <w:p>
            <w:pPr>
              <w:pStyle w:val="TableContents"/>
              <w:bidi w:val="0"/>
              <w:spacing w:before="0" w:after="0"/>
              <w:jc w:val="left"/>
              <w:rPr>
                <w:color w:val="404040"/>
              </w:rPr>
            </w:pPr>
            <w:r>
              <w:rPr>
                <w:color w:val="404040"/>
              </w:rPr>
              <w:t>•</w:t>
            </w:r>
          </w:p>
        </w:tc>
        <w:tc>
          <w:tcPr>
            <w:tcW w:w="417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10 out of 12 current Directors are independent; </w:t>
            </w:r>
          </w:p>
        </w:tc>
      </w:tr>
    </w:tbl>
    <w:p>
      <w:pPr>
        <w:pStyle w:val="Normal"/>
        <w:bidi w:val="0"/>
        <w:spacing w:before="0" w:after="0"/>
        <w:jc w:val="left"/>
        <w:rPr>
          <w:sz w:val="4"/>
          <w:szCs w:val="4"/>
        </w:rPr>
      </w:pPr>
      <w:r>
        <w:rPr>
          <w:sz w:val="4"/>
          <w:szCs w:val="4"/>
        </w:rPr>
      </w:r>
      <w:bookmarkStart w:id="30" w:name="tAIN"/>
      <w:bookmarkStart w:id="31" w:name="tAIN"/>
      <w:bookmarkEnd w:id="31"/>
    </w:p>
    <w:tbl>
      <w:tblPr>
        <w:tblW w:w="3325" w:type="dxa"/>
        <w:jc w:val="left"/>
        <w:tblInd w:w="0" w:type="dxa"/>
        <w:tblLayout w:type="fixed"/>
        <w:tblCellMar>
          <w:top w:w="0" w:type="dxa"/>
          <w:left w:w="0" w:type="dxa"/>
          <w:bottom w:w="0" w:type="dxa"/>
          <w:right w:w="0" w:type="dxa"/>
        </w:tblCellMar>
      </w:tblPr>
      <w:tblGrid>
        <w:gridCol w:w="140"/>
        <w:gridCol w:w="3185"/>
      </w:tblGrid>
      <w:tr>
        <w:trPr/>
        <w:tc>
          <w:tcPr>
            <w:tcW w:w="140" w:type="dxa"/>
            <w:tcBorders/>
            <w:vAlign w:val="center"/>
          </w:tcPr>
          <w:p>
            <w:pPr>
              <w:pStyle w:val="TableContents"/>
              <w:bidi w:val="0"/>
              <w:spacing w:before="0" w:after="0"/>
              <w:jc w:val="left"/>
              <w:rPr>
                <w:color w:val="404040"/>
              </w:rPr>
            </w:pPr>
            <w:r>
              <w:rPr>
                <w:color w:val="404040"/>
              </w:rPr>
              <w:t>•</w:t>
            </w:r>
          </w:p>
        </w:tc>
        <w:tc>
          <w:tcPr>
            <w:tcW w:w="318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An independent Chair of the Board; </w:t>
            </w:r>
          </w:p>
        </w:tc>
      </w:tr>
    </w:tbl>
    <w:p>
      <w:pPr>
        <w:pStyle w:val="Normal"/>
        <w:bidi w:val="0"/>
        <w:spacing w:before="0" w:after="0"/>
        <w:jc w:val="left"/>
        <w:rPr>
          <w:sz w:val="4"/>
          <w:szCs w:val="4"/>
        </w:rPr>
      </w:pPr>
      <w:r>
        <w:rPr>
          <w:sz w:val="4"/>
          <w:szCs w:val="4"/>
        </w:rPr>
      </w:r>
      <w:bookmarkStart w:id="32" w:name="tTC"/>
      <w:bookmarkStart w:id="33" w:name="tTC"/>
      <w:bookmarkEnd w:id="33"/>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The Audit, Compensation, Compliance and Risk Oversight, Executive, Finance, and Governance and Sustainability Committees are composed entirely of independent Directors (as defined in the applicable NASDAQ listing rules and applicable SEC rules), and Board approval of any appointment of members to the Audit, Compensation, Compliance and Risk Oversight, and Governance and Sustainability Committees must include an affirmative vote by at least a majority of the independent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The Board operates pursuant to Corporate Governance Principles, which are reviewed by the Governance and Sustainability Committee at least annually;</w:t>
            </w:r>
          </w:p>
        </w:tc>
      </w:tr>
    </w:tbl>
    <w:tbl>
      <w:tblPr>
        <w:tblW w:w="8935" w:type="dxa"/>
        <w:jc w:val="left"/>
        <w:tblInd w:w="0" w:type="dxa"/>
        <w:tblLayout w:type="fixed"/>
        <w:tblCellMar>
          <w:top w:w="0" w:type="dxa"/>
          <w:left w:w="0" w:type="dxa"/>
          <w:bottom w:w="0" w:type="dxa"/>
          <w:right w:w="0" w:type="dxa"/>
        </w:tblCellMar>
      </w:tblPr>
      <w:tblGrid>
        <w:gridCol w:w="140"/>
        <w:gridCol w:w="8795"/>
      </w:tblGrid>
      <w:tr>
        <w:trPr/>
        <w:tc>
          <w:tcPr>
            <w:tcW w:w="140" w:type="dxa"/>
            <w:tcBorders/>
            <w:vAlign w:val="center"/>
          </w:tcPr>
          <w:p>
            <w:pPr>
              <w:pStyle w:val="TableContents"/>
              <w:bidi w:val="0"/>
              <w:spacing w:before="0" w:after="0"/>
              <w:jc w:val="left"/>
              <w:rPr>
                <w:color w:val="404040"/>
              </w:rPr>
            </w:pPr>
            <w:r>
              <w:rPr>
                <w:color w:val="404040"/>
              </w:rPr>
              <w:t>•</w:t>
            </w:r>
          </w:p>
        </w:tc>
        <w:tc>
          <w:tcPr>
            <w:tcW w:w="879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All standing committees operate pursuant to written charters and conduct annual self-assessments;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pPr>
            <w:r>
              <w:rPr>
                <w:rFonts w:ascii="Arial;Helvetica;sans-serif" w:hAnsi="Arial;Helvetica;sans-serif"/>
                <w:color w:val="404040"/>
                <w:sz w:val="20"/>
              </w:rPr>
              <w:t>The Compliance and Risk Oversight Committee assists the Board in its oversight of management’s efforts with respect to the Company’s enterprise risk framework, and infrastructure and controls. The Committee receives reports, including with respect to risks, risk management, and relevant legislative, regulatory, and technical developments, from senior management on data security, cybersecurity, information security-related matters, certain litigation-related topics, and other topics on at least a quarterly basis. The Board and its other committees also have important roles in the oversight of risk as described in more detail in “Risk Oversight” beginning on page </w:t>
            </w:r>
            <w:hyperlink w:anchor="tRO">
              <w:r>
                <w:rPr>
                  <w:rStyle w:val="InternetLink"/>
                  <w:rFonts w:ascii="Arial;Helvetica;sans-serif" w:hAnsi="Arial;Helvetica;sans-serif"/>
                  <w:color w:val="000080"/>
                  <w:sz w:val="20"/>
                </w:rPr>
                <w:t>21</w:t>
              </w:r>
            </w:hyperlink>
            <w:r>
              <w:rPr>
                <w:rFonts w:ascii="Arial;Helvetica;sans-serif" w:hAnsi="Arial;Helvetica;sans-serif"/>
                <w:color w:val="40404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The Governance and Sustainability Committee, in addition to its responsibilities for overseeing corporate governance and succession planning, among other matters, oversees management's efforts with respect to corporate environmental and social responsibility matters. The Committee receives reports on these matters on at least a quarterly basis;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The independent Directors on the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 </w:t>
            </w:r>
          </w:p>
        </w:tc>
      </w:tr>
    </w:tbl>
    <w:tbl>
      <w:tblPr>
        <w:tblW w:w="8575" w:type="dxa"/>
        <w:jc w:val="left"/>
        <w:tblInd w:w="0" w:type="dxa"/>
        <w:tblLayout w:type="fixed"/>
        <w:tblCellMar>
          <w:top w:w="0" w:type="dxa"/>
          <w:left w:w="0" w:type="dxa"/>
          <w:bottom w:w="0" w:type="dxa"/>
          <w:right w:w="0" w:type="dxa"/>
        </w:tblCellMar>
      </w:tblPr>
      <w:tblGrid>
        <w:gridCol w:w="140"/>
        <w:gridCol w:w="8435"/>
      </w:tblGrid>
      <w:tr>
        <w:trPr/>
        <w:tc>
          <w:tcPr>
            <w:tcW w:w="140" w:type="dxa"/>
            <w:tcBorders/>
            <w:vAlign w:val="center"/>
          </w:tcPr>
          <w:p>
            <w:pPr>
              <w:pStyle w:val="TableContents"/>
              <w:bidi w:val="0"/>
              <w:spacing w:before="0" w:after="0"/>
              <w:jc w:val="left"/>
              <w:rPr>
                <w:color w:val="404040"/>
              </w:rPr>
            </w:pPr>
            <w:r>
              <w:rPr>
                <w:color w:val="404040"/>
              </w:rPr>
              <w:t>•</w:t>
            </w:r>
          </w:p>
        </w:tc>
        <w:tc>
          <w:tcPr>
            <w:tcW w:w="843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The Board and its committees have full access to officers and employees of the Company;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The Board and its committees have the authority to select, retain, and supervise advisors as necessary to fulfill their mandates.</w:t>
            </w:r>
          </w:p>
        </w:tc>
      </w:tr>
    </w:tbl>
    <w:p>
      <w:pPr>
        <w:pStyle w:val="TextBody"/>
        <w:bidi w:val="0"/>
        <w:spacing w:before="32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Meetings of Viatris’ Board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Board met seven times in 2024. In addition to meetings of the Board, Directors attended meetings of individual Board committees of which they were members, and all Directors attended greater than 75% of the aggregate of Board meetings and meetings of the committees of which they were a member in 2024.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Corporate Governance Principles require the independent Directors of the Board to meet in separate executive sessions periodically, and at least twice annually, during regularly scheduled meetings of the Board, without any non-independent Directors or members of management present. The independent Directors of the Board met five times in executive session in 2024, with Ms. Higgins, the Board Chair presiding at those executive sessions.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Pursuant to Viatris’ Corporate Governance Principles, Directors are expected to attend the annual meeting of shareholders of the Company, where practicable. Each of our Directors attended the 2024 Annual Meeting of Shareholders in person.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4" w:name="ny20042022x3_10ka_104-directors_pg14"/>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Meetings of Viatris’ Board Committees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standing committees of the Board are the Audit Committee, the Compensation Committee, the Compliance and Risk Oversight Committee, the Executive Committee, the Finance Committee, the Governance and Sustainability Committee, and the Science and Technology Committee. Each of these committees operates pursuant to a written charter, a current copy of which, along with our Amended and Restated Certificate of Incorporation, the Bylaws, and Corporate Governance Principles, is available on Viatris’ website at https://www.viatris.com/en/About-Us/Corporate-Governance.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Audit, Compensation, Compliance and Risk Oversight, Executive, Finance, and Governance and Sustainability Committees are composed entirely of independent Directors (as defined in the applicable NASDAQ listing rules and applicable SEC rules). Board approval of any Director appointment to the Audit, Compensation, Compliance and Risk Oversight, and Governance and Sustainability Committees must include at least a majority of the independent Directors. The Board has determined that Richard Mark, the Chair of the Audit Committee, is an “audit committee financial expert”, as that term is defined in the rules of the SEC. </w:t>
      </w:r>
    </w:p>
    <w:p>
      <w:pPr>
        <w:pStyle w:val="TextBody"/>
        <w:bidi w:val="0"/>
        <w:spacing w:before="180" w:after="283"/>
        <w:ind w:left="0" w:right="0" w:hanging="0"/>
        <w:jc w:val="both"/>
        <w:rPr/>
      </w:pPr>
      <w:r>
        <w:rPr>
          <w:rFonts w:ascii="Arial;Helvetica;sans-serif" w:hAnsi="Arial;Helvetica;sans-serif"/>
          <w:color w:val="404040"/>
          <w:sz w:val="20"/>
        </w:rPr>
        <w:t xml:space="preserve">Information regarding each of the committees is provided below and on the following pages, and pages </w:t>
      </w:r>
      <w:hyperlink w:anchor="tRO">
        <w:r>
          <w:rPr>
            <w:rStyle w:val="InternetLink"/>
            <w:rFonts w:ascii="Arial;Helvetica;sans-serif" w:hAnsi="Arial;Helvetica;sans-serif"/>
            <w:color w:val="000080"/>
            <w:sz w:val="20"/>
          </w:rPr>
          <w:t>21</w:t>
        </w:r>
      </w:hyperlink>
      <w:r>
        <w:rPr>
          <w:rFonts w:ascii="Arial;Helvetica;sans-serif" w:hAnsi="Arial;Helvetica;sans-serif"/>
          <w:color w:val="404040"/>
          <w:sz w:val="20"/>
        </w:rPr>
        <w:t xml:space="preserve"> to </w:t>
      </w:r>
      <w:hyperlink w:anchor="tBEAD">
        <w:r>
          <w:rPr>
            <w:rStyle w:val="InternetLink"/>
            <w:rFonts w:ascii="Arial;Helvetica;sans-serif" w:hAnsi="Arial;Helvetica;sans-serif"/>
            <w:color w:val="000080"/>
            <w:sz w:val="20"/>
          </w:rPr>
          <w:t>24</w:t>
        </w:r>
      </w:hyperlink>
      <w:r>
        <w:rPr>
          <w:rFonts w:ascii="Arial;Helvetica;sans-serif" w:hAnsi="Arial;Helvetica;sans-serif"/>
          <w:color w:val="404040"/>
          <w:sz w:val="20"/>
        </w:rPr>
        <w:t xml:space="preserve"> provide additional discussion of committee responsibilities with respect to risk oversight.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table below provides the current membership (as of the date of this report) and 2024 meeting information for each standing Board committee. </w:t>
      </w:r>
    </w:p>
    <w:tbl>
      <w:tblPr>
        <w:tblW w:w="10410" w:type="dxa"/>
        <w:jc w:val="left"/>
        <w:tblInd w:w="0" w:type="dxa"/>
        <w:tblLayout w:type="fixed"/>
        <w:tblCellMar>
          <w:top w:w="0" w:type="dxa"/>
          <w:left w:w="0" w:type="dxa"/>
          <w:bottom w:w="0" w:type="dxa"/>
          <w:right w:w="0" w:type="dxa"/>
        </w:tblCellMar>
      </w:tblPr>
      <w:tblGrid>
        <w:gridCol w:w="185"/>
        <w:gridCol w:w="845"/>
        <w:gridCol w:w="170"/>
        <w:gridCol w:w="170"/>
        <w:gridCol w:w="500"/>
        <w:gridCol w:w="170"/>
        <w:gridCol w:w="170"/>
        <w:gridCol w:w="1295"/>
        <w:gridCol w:w="170"/>
        <w:gridCol w:w="170"/>
        <w:gridCol w:w="1070"/>
        <w:gridCol w:w="170"/>
        <w:gridCol w:w="170"/>
        <w:gridCol w:w="905"/>
        <w:gridCol w:w="170"/>
        <w:gridCol w:w="170"/>
        <w:gridCol w:w="725"/>
        <w:gridCol w:w="170"/>
        <w:gridCol w:w="170"/>
        <w:gridCol w:w="1205"/>
        <w:gridCol w:w="170"/>
        <w:gridCol w:w="170"/>
        <w:gridCol w:w="1085"/>
        <w:gridCol w:w="215"/>
      </w:tblGrid>
      <w:tr>
        <w:trPr/>
        <w:tc>
          <w:tcPr>
            <w:tcW w:w="185" w:type="dxa"/>
            <w:tcBorders/>
            <w:shd w:fill="722981" w:val="clear"/>
            <w:vAlign w:val="center"/>
          </w:tcPr>
          <w:p>
            <w:pPr>
              <w:pStyle w:val="TableContents"/>
              <w:bidi w:val="0"/>
              <w:spacing w:before="0" w:after="0"/>
              <w:jc w:val="left"/>
              <w:rPr/>
            </w:pPr>
            <w:r>
              <w:rPr/>
              <w:t> </w:t>
            </w:r>
          </w:p>
        </w:tc>
        <w:tc>
          <w:tcPr>
            <w:tcW w:w="84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50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9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0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2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85"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84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Director</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50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Audit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9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Compensation</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7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Compliance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and Risk</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Oversight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0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Executive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2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Finance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Governance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and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Sustainability</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8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Science and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Technology</w:t>
            </w:r>
            <w:r>
              <w:rPr>
                <w:rFonts w:ascii="Arial;Helvetica;sans-serif" w:hAnsi="Arial;Helvetica;sans-serif"/>
                <w:b/>
                <w:color w:val="FFFFFF"/>
                <w:position w:val="6"/>
                <w:sz w:val="14"/>
                <w:sz w:val="18"/>
              </w:rPr>
              <w:t>(4)</w:t>
            </w:r>
            <w:r>
              <w:rPr>
                <w:rFonts w:ascii="Arial;Helvetica;sans-serif" w:hAnsi="Arial;Helvetica;sans-serif"/>
                <w:b/>
                <w:color w:val="FFFFFF"/>
                <w:sz w:val="18"/>
              </w:rPr>
              <w:t xml:space="preserve">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W. Don Cornwell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jc w:val="center"/>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jc w:val="center"/>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0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jc w:val="center"/>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JoEllen Lyons Dillon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Elisha Finney</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jc w:val="center"/>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0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jc w:val="center"/>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jc w:val="center"/>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Leo Groothuis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Melina Higgins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0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jc w:val="center"/>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James M. Kilts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Harry Korman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jc w:val="center"/>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0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center"/>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jc w:val="center"/>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Rajiv Malik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Chair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Richard Mark</w:t>
            </w:r>
            <w:r>
              <w:rPr>
                <w:rFonts w:ascii="Arial;Helvetica;sans-serif" w:hAnsi="Arial;Helvetica;sans-serif"/>
                <w:color w:val="000000"/>
                <w:position w:val="6"/>
                <w:sz w:val="14"/>
                <w:sz w:val="18"/>
              </w:rPr>
              <w:t>(1)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jc w:val="center"/>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05" w:type="dxa"/>
            <w:tcBorders/>
            <w:shd w:fill="E6E6E6" w:val="clear"/>
            <w:vAlign w:val="center"/>
          </w:tcPr>
          <w:p>
            <w:pPr>
              <w:pStyle w:val="TableContents"/>
              <w:bidi w:val="0"/>
              <w:spacing w:before="0" w:after="283"/>
              <w:jc w:val="center"/>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jc w:val="center"/>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jc w:val="center"/>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Mark Parrish</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Scott A. Smith</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0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jc w:val="center"/>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bottom w:val="single" w:sz="8" w:space="0" w:color="722981"/>
            </w:tcBorders>
            <w:tcMar>
              <w:bottom w:w="28" w:type="dxa"/>
            </w:tcMar>
            <w:vAlign w:val="center"/>
          </w:tcPr>
          <w:p>
            <w:pPr>
              <w:pStyle w:val="TableContents"/>
              <w:bidi w:val="0"/>
              <w:spacing w:before="0" w:after="0"/>
              <w:jc w:val="left"/>
              <w:rPr/>
            </w:pPr>
            <w:r>
              <w:rPr/>
              <w:t> </w:t>
            </w:r>
          </w:p>
        </w:tc>
        <w:tc>
          <w:tcPr>
            <w:tcW w:w="845" w:type="dxa"/>
            <w:tcBorders>
              <w:bottom w:val="single" w:sz="8" w:space="0" w:color="722981"/>
            </w:tcBorders>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Rogério Vivaldi Coelho</w:t>
            </w:r>
            <w:r>
              <w:rPr>
                <w:rFonts w:ascii="Arial;Helvetica;sans-serif" w:hAnsi="Arial;Helvetica;sans-serif"/>
                <w:color w:val="000000"/>
                <w:position w:val="6"/>
                <w:sz w:val="14"/>
                <w:sz w:val="18"/>
              </w:rPr>
              <w:t>(3)</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500" w:type="dxa"/>
            <w:tcBorders>
              <w:bottom w:val="single" w:sz="8" w:space="0" w:color="722981"/>
            </w:tcBorders>
            <w:tcMar>
              <w:bottom w:w="5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295" w:type="dxa"/>
            <w:tcBorders>
              <w:bottom w:val="single" w:sz="8" w:space="0" w:color="722981"/>
            </w:tcBorders>
            <w:tcMar>
              <w:bottom w:w="5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070" w:type="dxa"/>
            <w:tcBorders>
              <w:bottom w:val="single" w:sz="8" w:space="0" w:color="722981"/>
            </w:tcBorders>
            <w:tcMar>
              <w:bottom w:w="50"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905" w:type="dxa"/>
            <w:tcBorders>
              <w:bottom w:val="single" w:sz="8" w:space="0" w:color="722981"/>
            </w:tcBorders>
            <w:tcMar>
              <w:bottom w:w="5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725" w:type="dxa"/>
            <w:tcBorders>
              <w:bottom w:val="single" w:sz="8" w:space="0" w:color="722981"/>
            </w:tcBorders>
            <w:tcMar>
              <w:bottom w:w="5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205" w:type="dxa"/>
            <w:tcBorders>
              <w:bottom w:val="single" w:sz="8" w:space="0" w:color="722981"/>
            </w:tcBorders>
            <w:tcMar>
              <w:bottom w:w="5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70" w:type="dxa"/>
            <w:tcBorders>
              <w:bottom w:val="single" w:sz="8" w:space="0" w:color="722981"/>
            </w:tcBorders>
            <w:tcMar>
              <w:bottom w:w="28" w:type="dxa"/>
            </w:tcMar>
            <w:vAlign w:val="center"/>
          </w:tcPr>
          <w:p>
            <w:pPr>
              <w:pStyle w:val="TableContents"/>
              <w:bidi w:val="0"/>
              <w:spacing w:before="0" w:after="0"/>
              <w:jc w:val="left"/>
              <w:rPr/>
            </w:pPr>
            <w:r>
              <w:rPr/>
              <w:t> </w:t>
            </w:r>
          </w:p>
        </w:tc>
        <w:tc>
          <w:tcPr>
            <w:tcW w:w="1085" w:type="dxa"/>
            <w:tcBorders>
              <w:bottom w:val="single" w:sz="8" w:space="0" w:color="722981"/>
            </w:tcBorders>
            <w:tcMar>
              <w:bottom w:w="50"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722981"/>
            </w:tcBorders>
            <w:tcMar>
              <w:bottom w:w="28" w:type="dxa"/>
            </w:tcM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Meetings during 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0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0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48"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The Board has determined that Richard Mark, the Chair of the Audit Committee, is an “audit committee financial expert”, as that term is defined in the rules of the SEC. </w:t>
            </w:r>
          </w:p>
        </w:tc>
      </w:tr>
    </w:tbl>
    <w:tbl>
      <w:tblPr>
        <w:tblW w:w="6220" w:type="dxa"/>
        <w:jc w:val="left"/>
        <w:tblInd w:w="0" w:type="dxa"/>
        <w:tblLayout w:type="fixed"/>
        <w:tblCellMar>
          <w:top w:w="0" w:type="dxa"/>
          <w:left w:w="0" w:type="dxa"/>
          <w:bottom w:w="0" w:type="dxa"/>
          <w:right w:w="0" w:type="dxa"/>
        </w:tblCellMar>
      </w:tblPr>
      <w:tblGrid>
        <w:gridCol w:w="275"/>
        <w:gridCol w:w="5945"/>
      </w:tblGrid>
      <w:tr>
        <w:trPr/>
        <w:tc>
          <w:tcPr>
            <w:tcW w:w="2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594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Mark Parrish was a member of the Audit Committee until March 7, 2025. </w:t>
            </w:r>
          </w:p>
        </w:tc>
      </w:tr>
    </w:tbl>
    <w:tbl>
      <w:tblPr>
        <w:tblW w:w="8230" w:type="dxa"/>
        <w:jc w:val="left"/>
        <w:tblInd w:w="0" w:type="dxa"/>
        <w:tblLayout w:type="fixed"/>
        <w:tblCellMar>
          <w:top w:w="0" w:type="dxa"/>
          <w:left w:w="0" w:type="dxa"/>
          <w:bottom w:w="0" w:type="dxa"/>
          <w:right w:w="0" w:type="dxa"/>
        </w:tblCellMar>
      </w:tblPr>
      <w:tblGrid>
        <w:gridCol w:w="275"/>
        <w:gridCol w:w="7955"/>
      </w:tblGrid>
      <w:tr>
        <w:trPr/>
        <w:tc>
          <w:tcPr>
            <w:tcW w:w="2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795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Rogério Vivaldi Coelho joined the Compliance and Risk Oversight Committee on March 7, 2025.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(4)</w:t>
            </w:r>
          </w:p>
        </w:tc>
        <w:tc>
          <w:tcPr>
            <w:tcW w:w="9969"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The Board re-established the Science and Technology Committee in May 2024 with Rajiv Malik (Chair) and Scott A. Smith as members. Rogério Vivaldi Coelho joined this committee upon his appointment to the Board in June 2024 and Harry Korman and Mark Parrish joined this committee in November 2024. </w:t>
            </w:r>
          </w:p>
        </w:tc>
      </w:tr>
    </w:tbl>
    <w:p>
      <w:pPr>
        <w:pStyle w:val="TextBody"/>
        <w:bidi w:val="0"/>
        <w:spacing w:before="280" w:after="283"/>
        <w:ind w:left="0" w:right="0" w:hanging="0"/>
        <w:jc w:val="left"/>
        <w:rPr>
          <w:rFonts w:ascii="Arial;Helvetica;sans-serif" w:hAnsi="Arial;Helvetica;sans-serif"/>
          <w:b/>
          <w:color w:val="404040"/>
          <w:sz w:val="20"/>
        </w:rPr>
      </w:pPr>
      <w:bookmarkStart w:id="35" w:name="tACK"/>
      <w:bookmarkEnd w:id="35"/>
      <w:r>
        <w:rPr>
          <w:rFonts w:ascii="Arial;Helvetica;sans-serif" w:hAnsi="Arial;Helvetica;sans-serif"/>
          <w:b/>
          <w:color w:val="404040"/>
          <w:sz w:val="20"/>
        </w:rPr>
        <w:t xml:space="preserve">Audit Committee Responsibilities </w:t>
      </w:r>
    </w:p>
    <w:p>
      <w:pPr>
        <w:pStyle w:val="TextBody"/>
        <w:bidi w:val="0"/>
        <w:spacing w:before="20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Audit Committee’s key oversight responsibilities include, but are not limited to: </w:t>
      </w:r>
    </w:p>
    <w:tbl>
      <w:tblPr>
        <w:tblW w:w="8965" w:type="dxa"/>
        <w:jc w:val="left"/>
        <w:tblInd w:w="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Integrity of the Company’s financial statements and its accounting and financial reporting processes </w:t>
            </w:r>
          </w:p>
        </w:tc>
      </w:tr>
    </w:tbl>
    <w:tbl>
      <w:tblPr>
        <w:tblW w:w="6430" w:type="dxa"/>
        <w:jc w:val="left"/>
        <w:tblInd w:w="0" w:type="dxa"/>
        <w:tblLayout w:type="fixed"/>
        <w:tblCellMar>
          <w:top w:w="0" w:type="dxa"/>
          <w:left w:w="0" w:type="dxa"/>
          <w:bottom w:w="0" w:type="dxa"/>
          <w:right w:w="0" w:type="dxa"/>
        </w:tblCellMar>
      </w:tblPr>
      <w:tblGrid>
        <w:gridCol w:w="140"/>
        <w:gridCol w:w="6290"/>
      </w:tblGrid>
      <w:tr>
        <w:trPr/>
        <w:tc>
          <w:tcPr>
            <w:tcW w:w="140" w:type="dxa"/>
            <w:tcBorders/>
            <w:vAlign w:val="center"/>
          </w:tcPr>
          <w:p>
            <w:pPr>
              <w:pStyle w:val="TableContents"/>
              <w:bidi w:val="0"/>
              <w:spacing w:before="0" w:after="0"/>
              <w:jc w:val="left"/>
              <w:rPr>
                <w:color w:val="404040"/>
              </w:rPr>
            </w:pPr>
            <w:r>
              <w:rPr>
                <w:color w:val="404040"/>
              </w:rPr>
              <w:t>•</w:t>
            </w:r>
          </w:p>
        </w:tc>
        <w:tc>
          <w:tcPr>
            <w:tcW w:w="6290"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Effectiveness of the Company’s internal control over financial reporting </w:t>
            </w:r>
          </w:p>
        </w:tc>
      </w:tr>
    </w:tbl>
    <w:tbl>
      <w:tblPr>
        <w:tblW w:w="8905" w:type="dxa"/>
        <w:jc w:val="left"/>
        <w:tblInd w:w="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color w:val="404040"/>
              </w:rPr>
            </w:pPr>
            <w:r>
              <w:rPr>
                <w:color w:val="404040"/>
              </w:rPr>
              <w:t>•</w:t>
            </w:r>
          </w:p>
        </w:tc>
        <w:tc>
          <w:tcPr>
            <w:tcW w:w="876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Qualifications, independence, and performance of the independent registered public accounting firm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ny20042022x3_10ka_104-directors_pg15"/>
        <w:bookmarkEnd w:id="36"/>
        <w:r>
          <w:rPr>
            <w:rStyle w:val="InternetLink"/>
            <w:rFonts w:ascii="Times New Roman;Times;Serif" w:hAnsi="Times New Roman;Times;Serif"/>
            <w:b/>
            <w:caps w:val="false"/>
            <w:smallCaps w:val="false"/>
            <w:color w:val="000000"/>
            <w:sz w:val="16"/>
          </w:rPr>
          <w:t>TABLE OF CONTENTS</w:t>
        </w:r>
      </w:hyperlink>
    </w:p>
    <w:tbl>
      <w:tblPr>
        <w:tblW w:w="8950" w:type="dxa"/>
        <w:jc w:val="left"/>
        <w:tblInd w:w="0" w:type="dxa"/>
        <w:tblLayout w:type="fixed"/>
        <w:tblCellMar>
          <w:top w:w="0" w:type="dxa"/>
          <w:left w:w="0" w:type="dxa"/>
          <w:bottom w:w="0" w:type="dxa"/>
          <w:right w:w="0" w:type="dxa"/>
        </w:tblCellMar>
      </w:tblPr>
      <w:tblGrid>
        <w:gridCol w:w="140"/>
        <w:gridCol w:w="8810"/>
      </w:tblGrid>
      <w:tr>
        <w:trPr/>
        <w:tc>
          <w:tcPr>
            <w:tcW w:w="140" w:type="dxa"/>
            <w:tcBorders/>
            <w:vAlign w:val="center"/>
          </w:tcPr>
          <w:p>
            <w:pPr>
              <w:pStyle w:val="TableContents"/>
              <w:bidi w:val="0"/>
              <w:spacing w:before="0" w:after="0"/>
              <w:jc w:val="left"/>
              <w:rPr>
                <w:color w:val="404040"/>
              </w:rPr>
            </w:pPr>
            <w:r>
              <w:rPr>
                <w:color w:val="404040"/>
              </w:rPr>
              <w:t>•</w:t>
            </w:r>
          </w:p>
        </w:tc>
        <w:tc>
          <w:tcPr>
            <w:tcW w:w="8810"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Services to be performed by, and fees payable to, the independent registered public accounting firm </w:t>
            </w:r>
          </w:p>
        </w:tc>
      </w:tr>
    </w:tbl>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0"/>
              <w:jc w:val="left"/>
              <w:rPr>
                <w:color w:val="404040"/>
              </w:rPr>
            </w:pPr>
            <w:r>
              <w:rPr>
                <w:color w:val="404040"/>
              </w:rPr>
              <w:t>•</w:t>
            </w:r>
          </w:p>
        </w:tc>
        <w:tc>
          <w:tcPr>
            <w:tcW w:w="183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Internal Audit group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Company processes and procedures related to risk assessment and risk management of financial and disclosure control-related, as well as SEC reporting-related, matters </w:t>
            </w:r>
          </w:p>
        </w:tc>
      </w:tr>
    </w:tbl>
    <w:tbl>
      <w:tblPr>
        <w:tblW w:w="2560" w:type="dxa"/>
        <w:jc w:val="left"/>
        <w:tblInd w:w="0" w:type="dxa"/>
        <w:tblLayout w:type="fixed"/>
        <w:tblCellMar>
          <w:top w:w="0" w:type="dxa"/>
          <w:left w:w="0" w:type="dxa"/>
          <w:bottom w:w="0" w:type="dxa"/>
          <w:right w:w="0" w:type="dxa"/>
        </w:tblCellMar>
      </w:tblPr>
      <w:tblGrid>
        <w:gridCol w:w="140"/>
        <w:gridCol w:w="2420"/>
      </w:tblGrid>
      <w:tr>
        <w:trPr/>
        <w:tc>
          <w:tcPr>
            <w:tcW w:w="140" w:type="dxa"/>
            <w:tcBorders/>
            <w:vAlign w:val="center"/>
          </w:tcPr>
          <w:p>
            <w:pPr>
              <w:pStyle w:val="TableContents"/>
              <w:bidi w:val="0"/>
              <w:spacing w:before="0" w:after="0"/>
              <w:jc w:val="left"/>
              <w:rPr>
                <w:color w:val="404040"/>
              </w:rPr>
            </w:pPr>
            <w:r>
              <w:rPr>
                <w:color w:val="404040"/>
              </w:rPr>
              <w:t>•</w:t>
            </w:r>
          </w:p>
        </w:tc>
        <w:tc>
          <w:tcPr>
            <w:tcW w:w="2420"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Related party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Company compliance with applicable legal and regulatory requirements (including U.S. federal securities laws) regarding the preceding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Review of any critical audit matters identified by the independent registered public accounting firm in connection with its audit of the Company’s annual financial statements</w:t>
            </w:r>
          </w:p>
        </w:tc>
      </w:tr>
    </w:tbl>
    <w:p>
      <w:pPr>
        <w:pStyle w:val="TextBody"/>
        <w:bidi w:val="0"/>
        <w:spacing w:before="32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Compensation Committee Responsibilities </w:t>
      </w:r>
    </w:p>
    <w:p>
      <w:pPr>
        <w:pStyle w:val="TextBody"/>
        <w:bidi w:val="0"/>
        <w:spacing w:before="21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Compensation Committee’s key oversight responsibilities include, but are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CEO and senior management compensation, including the corporate goals and objectives relevant to such compensation </w:t>
            </w:r>
          </w:p>
        </w:tc>
      </w:tr>
    </w:tbl>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0"/>
              <w:jc w:val="left"/>
              <w:rPr>
                <w:color w:val="404040"/>
              </w:rPr>
            </w:pPr>
            <w:r>
              <w:rPr>
                <w:color w:val="404040"/>
              </w:rPr>
              <w:t>•</w:t>
            </w:r>
          </w:p>
        </w:tc>
        <w:tc>
          <w:tcPr>
            <w:tcW w:w="327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Board and committee compensation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404040"/>
              </w:rPr>
            </w:pPr>
            <w:r>
              <w:rPr>
                <w:color w:val="404040"/>
              </w:rPr>
              <w:t>•</w:t>
            </w:r>
          </w:p>
        </w:tc>
        <w:tc>
          <w:tcPr>
            <w:tcW w:w="666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Equity compensation plans in which Directors and/or executives participate </w:t>
            </w:r>
          </w:p>
        </w:tc>
      </w:tr>
    </w:tbl>
    <w:tbl>
      <w:tblPr>
        <w:tblW w:w="7795" w:type="dxa"/>
        <w:jc w:val="left"/>
        <w:tblInd w:w="0" w:type="dxa"/>
        <w:tblLayout w:type="fixed"/>
        <w:tblCellMar>
          <w:top w:w="0" w:type="dxa"/>
          <w:left w:w="0" w:type="dxa"/>
          <w:bottom w:w="0" w:type="dxa"/>
          <w:right w:w="0" w:type="dxa"/>
        </w:tblCellMar>
      </w:tblPr>
      <w:tblGrid>
        <w:gridCol w:w="140"/>
        <w:gridCol w:w="7655"/>
      </w:tblGrid>
      <w:tr>
        <w:trPr/>
        <w:tc>
          <w:tcPr>
            <w:tcW w:w="140" w:type="dxa"/>
            <w:tcBorders/>
            <w:vAlign w:val="center"/>
          </w:tcPr>
          <w:p>
            <w:pPr>
              <w:pStyle w:val="TableContents"/>
              <w:bidi w:val="0"/>
              <w:spacing w:before="0" w:after="0"/>
              <w:jc w:val="left"/>
              <w:rPr>
                <w:color w:val="404040"/>
              </w:rPr>
            </w:pPr>
            <w:r>
              <w:rPr>
                <w:color w:val="404040"/>
              </w:rPr>
              <w:t>•</w:t>
            </w:r>
          </w:p>
        </w:tc>
        <w:tc>
          <w:tcPr>
            <w:tcW w:w="765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Compensation and benefits-related disclosures in annual reports and proxy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with management and the Committee’s external compensation consultant the relationship between the Company’s compensation policies and practices and the Company’s risk management with respect to compensation-related matters, including to assess whether any risks arising from compensation practices, policies, and programs for the Company’s executive officers and other employees are reasonably likely to have a material adverse effect on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From time-to-time reviewing reports from management regarding pay equity, human capital management, and succession planning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Reviewing and approving the implementation of, or revision to, any clawback or incentive-based compensation recovery policy allowing the Company to recoup compensation paid to the Company’s employees and administering and enforcing any such policy consistent with the terms of the policy</w:t>
            </w:r>
          </w:p>
        </w:tc>
      </w:tr>
    </w:tbl>
    <w:p>
      <w:pPr>
        <w:pStyle w:val="TextBody"/>
        <w:bidi w:val="0"/>
        <w:spacing w:before="32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Compliance and Risk Oversight Committee Responsibilities </w:t>
      </w:r>
    </w:p>
    <w:p>
      <w:pPr>
        <w:pStyle w:val="TextBody"/>
        <w:bidi w:val="0"/>
        <w:spacing w:before="21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Compliance and Risk Oversight Committee’s key oversight responsibilities include, but are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the enterprise risk framework, infrastructure, and controls implemented by management to help identify, assess, manage, and monitor material risks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the Company’s efforts to foster a culture of risk-adjusted decision making without constraining reasonable risk-taking and innovation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metrics used by management or requested by the Committee to provide insight into the status and efficacy of the corporate compliance program, including the Company’s global compliance systems and organization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42022x3_10ka_104-directors_pg16"/>
        <w:bookmarkEnd w:id="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reports of significant actual and alleged violations of the Code of Business Conduct and Ethics, corporate policies and procedures, and applicable laws and regulations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checks and balances implemented by the Company designed to support and promote compliance with approved corporate policies, legal rules, and regulations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in conjunction with the Chief Legal Officer, the performance, responsibilities, plans, and resources of the Chief Compliance Officer, including appointment and replacement of the Chief Compliance Officer </w:t>
            </w:r>
          </w:p>
        </w:tc>
      </w:tr>
    </w:tbl>
    <w:tbl>
      <w:tblPr>
        <w:tblW w:w="8950" w:type="dxa"/>
        <w:jc w:val="left"/>
        <w:tblInd w:w="0" w:type="dxa"/>
        <w:tblLayout w:type="fixed"/>
        <w:tblCellMar>
          <w:top w:w="0" w:type="dxa"/>
          <w:left w:w="0" w:type="dxa"/>
          <w:bottom w:w="0" w:type="dxa"/>
          <w:right w:w="0" w:type="dxa"/>
        </w:tblCellMar>
      </w:tblPr>
      <w:tblGrid>
        <w:gridCol w:w="140"/>
        <w:gridCol w:w="8810"/>
      </w:tblGrid>
      <w:tr>
        <w:trPr/>
        <w:tc>
          <w:tcPr>
            <w:tcW w:w="140" w:type="dxa"/>
            <w:tcBorders/>
            <w:vAlign w:val="center"/>
          </w:tcPr>
          <w:p>
            <w:pPr>
              <w:pStyle w:val="TableContents"/>
              <w:bidi w:val="0"/>
              <w:spacing w:before="0" w:after="0"/>
              <w:jc w:val="left"/>
              <w:rPr>
                <w:color w:val="404040"/>
              </w:rPr>
            </w:pPr>
            <w:r>
              <w:rPr>
                <w:color w:val="404040"/>
              </w:rPr>
              <w:t>•</w:t>
            </w:r>
          </w:p>
        </w:tc>
        <w:tc>
          <w:tcPr>
            <w:tcW w:w="8810"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Overseeing the Company’s policies and procedures for corporate political and lobbying expenditures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management’s exercise of its responsibility to identify, assess, and manage material risks not allocated to the Board or another committee, including, for example, data security programs and cybersecurity and 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Consulting with the Chairs of the other committees at least two times a year to discuss risk-related matters and the Company’s enterprise risk management framework </w:t>
            </w:r>
          </w:p>
        </w:tc>
      </w:tr>
    </w:tbl>
    <w:p>
      <w:pPr>
        <w:pStyle w:val="TextBody"/>
        <w:bidi w:val="0"/>
        <w:spacing w:before="31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Executive Committee Responsibilities</w:t>
      </w:r>
    </w:p>
    <w:p>
      <w:pPr>
        <w:pStyle w:val="TextBody"/>
        <w:bidi w:val="0"/>
        <w:spacing w:before="20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Executive Committee’s key oversight responsibilities include, but are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Assisting the Board in fulfilling its fiduciary responsibilities by exercising those powers of the Board not otherwise limited by a resolution of the Board or by law </w:t>
            </w:r>
          </w:p>
        </w:tc>
      </w:tr>
    </w:tbl>
    <w:tbl>
      <w:tblPr>
        <w:tblW w:w="6265" w:type="dxa"/>
        <w:jc w:val="left"/>
        <w:tblInd w:w="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404040"/>
              </w:rPr>
            </w:pPr>
            <w:r>
              <w:rPr>
                <w:color w:val="404040"/>
              </w:rPr>
              <w:t>•</w:t>
            </w:r>
          </w:p>
        </w:tc>
        <w:tc>
          <w:tcPr>
            <w:tcW w:w="612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Strategic planning and additional oversight of strategy implementation</w:t>
            </w:r>
          </w:p>
        </w:tc>
      </w:tr>
    </w:tbl>
    <w:p>
      <w:pPr>
        <w:pStyle w:val="TextBody"/>
        <w:bidi w:val="0"/>
        <w:spacing w:before="31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Finance Committee Responsibilities </w:t>
      </w:r>
    </w:p>
    <w:p>
      <w:pPr>
        <w:pStyle w:val="TextBody"/>
        <w:bidi w:val="0"/>
        <w:spacing w:before="20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Finance Committee’s key oversight responsibilities include, but are not limited to: </w:t>
      </w:r>
    </w:p>
    <w:tbl>
      <w:tblPr>
        <w:tblW w:w="6445" w:type="dxa"/>
        <w:jc w:val="left"/>
        <w:tblInd w:w="0" w:type="dxa"/>
        <w:tblLayout w:type="fixed"/>
        <w:tblCellMar>
          <w:top w:w="0" w:type="dxa"/>
          <w:left w:w="0" w:type="dxa"/>
          <w:bottom w:w="0" w:type="dxa"/>
          <w:right w:w="0" w:type="dxa"/>
        </w:tblCellMar>
      </w:tblPr>
      <w:tblGrid>
        <w:gridCol w:w="140"/>
        <w:gridCol w:w="6305"/>
      </w:tblGrid>
      <w:tr>
        <w:trPr/>
        <w:tc>
          <w:tcPr>
            <w:tcW w:w="140" w:type="dxa"/>
            <w:tcBorders/>
            <w:vAlign w:val="center"/>
          </w:tcPr>
          <w:p>
            <w:pPr>
              <w:pStyle w:val="TableContents"/>
              <w:bidi w:val="0"/>
              <w:spacing w:before="0" w:after="0"/>
              <w:jc w:val="left"/>
              <w:rPr>
                <w:color w:val="404040"/>
              </w:rPr>
            </w:pPr>
            <w:r>
              <w:rPr>
                <w:color w:val="404040"/>
              </w:rPr>
              <w:t>•</w:t>
            </w:r>
          </w:p>
        </w:tc>
        <w:tc>
          <w:tcPr>
            <w:tcW w:w="630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Material mergers, acquisitions, and combinations with other companies </w:t>
            </w:r>
          </w:p>
        </w:tc>
      </w:tr>
    </w:tbl>
    <w:tbl>
      <w:tblPr>
        <w:tblW w:w="3865" w:type="dxa"/>
        <w:jc w:val="left"/>
        <w:tblInd w:w="0" w:type="dxa"/>
        <w:tblLayout w:type="fixed"/>
        <w:tblCellMar>
          <w:top w:w="0" w:type="dxa"/>
          <w:left w:w="0" w:type="dxa"/>
          <w:bottom w:w="0" w:type="dxa"/>
          <w:right w:w="0" w:type="dxa"/>
        </w:tblCellMar>
      </w:tblPr>
      <w:tblGrid>
        <w:gridCol w:w="140"/>
        <w:gridCol w:w="3725"/>
      </w:tblGrid>
      <w:tr>
        <w:trPr/>
        <w:tc>
          <w:tcPr>
            <w:tcW w:w="140" w:type="dxa"/>
            <w:tcBorders/>
            <w:vAlign w:val="center"/>
          </w:tcPr>
          <w:p>
            <w:pPr>
              <w:pStyle w:val="TableContents"/>
              <w:bidi w:val="0"/>
              <w:spacing w:before="0" w:after="0"/>
              <w:jc w:val="left"/>
              <w:rPr>
                <w:color w:val="404040"/>
              </w:rPr>
            </w:pPr>
            <w:r>
              <w:rPr>
                <w:color w:val="404040"/>
              </w:rPr>
              <w:t>•</w:t>
            </w:r>
          </w:p>
        </w:tc>
        <w:tc>
          <w:tcPr>
            <w:tcW w:w="372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Swaps and other derivatives transactions </w:t>
            </w:r>
          </w:p>
        </w:tc>
      </w:tr>
    </w:tbl>
    <w:tbl>
      <w:tblPr>
        <w:tblW w:w="3070" w:type="dxa"/>
        <w:jc w:val="left"/>
        <w:tblInd w:w="0" w:type="dxa"/>
        <w:tblLayout w:type="fixed"/>
        <w:tblCellMar>
          <w:top w:w="0" w:type="dxa"/>
          <w:left w:w="0" w:type="dxa"/>
          <w:bottom w:w="0" w:type="dxa"/>
          <w:right w:w="0" w:type="dxa"/>
        </w:tblCellMar>
      </w:tblPr>
      <w:tblGrid>
        <w:gridCol w:w="140"/>
        <w:gridCol w:w="2930"/>
      </w:tblGrid>
      <w:tr>
        <w:trPr/>
        <w:tc>
          <w:tcPr>
            <w:tcW w:w="140" w:type="dxa"/>
            <w:tcBorders/>
            <w:vAlign w:val="center"/>
          </w:tcPr>
          <w:p>
            <w:pPr>
              <w:pStyle w:val="TableContents"/>
              <w:bidi w:val="0"/>
              <w:spacing w:before="0" w:after="0"/>
              <w:jc w:val="left"/>
              <w:rPr>
                <w:color w:val="404040"/>
              </w:rPr>
            </w:pPr>
            <w:r>
              <w:rPr>
                <w:color w:val="404040"/>
              </w:rPr>
              <w:t>•</w:t>
            </w:r>
          </w:p>
        </w:tc>
        <w:tc>
          <w:tcPr>
            <w:tcW w:w="2930"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Establishment of credit facilities </w:t>
            </w:r>
          </w:p>
        </w:tc>
      </w:tr>
    </w:tbl>
    <w:tbl>
      <w:tblPr>
        <w:tblW w:w="4150" w:type="dxa"/>
        <w:jc w:val="left"/>
        <w:tblInd w:w="0" w:type="dxa"/>
        <w:tblLayout w:type="fixed"/>
        <w:tblCellMar>
          <w:top w:w="0" w:type="dxa"/>
          <w:left w:w="0" w:type="dxa"/>
          <w:bottom w:w="0" w:type="dxa"/>
          <w:right w:w="0" w:type="dxa"/>
        </w:tblCellMar>
      </w:tblPr>
      <w:tblGrid>
        <w:gridCol w:w="140"/>
        <w:gridCol w:w="4010"/>
      </w:tblGrid>
      <w:tr>
        <w:trPr/>
        <w:tc>
          <w:tcPr>
            <w:tcW w:w="140" w:type="dxa"/>
            <w:tcBorders/>
            <w:vAlign w:val="center"/>
          </w:tcPr>
          <w:p>
            <w:pPr>
              <w:pStyle w:val="TableContents"/>
              <w:bidi w:val="0"/>
              <w:spacing w:before="0" w:after="0"/>
              <w:jc w:val="left"/>
              <w:rPr>
                <w:color w:val="404040"/>
              </w:rPr>
            </w:pPr>
            <w:r>
              <w:rPr>
                <w:color w:val="404040"/>
              </w:rPr>
              <w:t>•</w:t>
            </w:r>
          </w:p>
        </w:tc>
        <w:tc>
          <w:tcPr>
            <w:tcW w:w="4010"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Potential financings with commercial lenders </w:t>
            </w:r>
          </w:p>
        </w:tc>
      </w:tr>
    </w:tbl>
    <w:tbl>
      <w:tblPr>
        <w:tblW w:w="7465" w:type="dxa"/>
        <w:jc w:val="left"/>
        <w:tblInd w:w="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404040"/>
              </w:rPr>
            </w:pPr>
            <w:r>
              <w:rPr>
                <w:color w:val="404040"/>
              </w:rPr>
              <w:t>•</w:t>
            </w:r>
          </w:p>
        </w:tc>
        <w:tc>
          <w:tcPr>
            <w:tcW w:w="732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Issuance and repurchase of the Company’s debt, equity, hybrid, or other securities </w:t>
            </w:r>
          </w:p>
        </w:tc>
      </w:tr>
    </w:tbl>
    <w:tbl>
      <w:tblPr>
        <w:tblW w:w="4225" w:type="dxa"/>
        <w:jc w:val="left"/>
        <w:tblInd w:w="0" w:type="dxa"/>
        <w:tblLayout w:type="fixed"/>
        <w:tblCellMar>
          <w:top w:w="0" w:type="dxa"/>
          <w:left w:w="0" w:type="dxa"/>
          <w:bottom w:w="0" w:type="dxa"/>
          <w:right w:w="0" w:type="dxa"/>
        </w:tblCellMar>
      </w:tblPr>
      <w:tblGrid>
        <w:gridCol w:w="140"/>
        <w:gridCol w:w="4085"/>
      </w:tblGrid>
      <w:tr>
        <w:trPr/>
        <w:tc>
          <w:tcPr>
            <w:tcW w:w="140" w:type="dxa"/>
            <w:tcBorders/>
            <w:vAlign w:val="center"/>
          </w:tcPr>
          <w:p>
            <w:pPr>
              <w:pStyle w:val="TableContents"/>
              <w:bidi w:val="0"/>
              <w:spacing w:before="0" w:after="0"/>
              <w:jc w:val="left"/>
              <w:rPr>
                <w:color w:val="404040"/>
              </w:rPr>
            </w:pPr>
            <w:r>
              <w:rPr>
                <w:color w:val="404040"/>
              </w:rPr>
              <w:t>•</w:t>
            </w:r>
          </w:p>
        </w:tc>
        <w:tc>
          <w:tcPr>
            <w:tcW w:w="408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Capital structure, including dividend payments</w:t>
            </w:r>
          </w:p>
        </w:tc>
      </w:tr>
    </w:tbl>
    <w:p>
      <w:pPr>
        <w:pStyle w:val="TextBody"/>
        <w:bidi w:val="0"/>
        <w:spacing w:before="31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Governance and Sustainability Committee Responsibilities </w:t>
      </w:r>
    </w:p>
    <w:p>
      <w:pPr>
        <w:pStyle w:val="TextBody"/>
        <w:bidi w:val="0"/>
        <w:spacing w:before="20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Governance and Sustainability Committee’s key oversight responsibilities include, but are not limited to: </w:t>
      </w:r>
    </w:p>
    <w:tbl>
      <w:tblPr>
        <w:tblW w:w="2905" w:type="dxa"/>
        <w:jc w:val="left"/>
        <w:tblInd w:w="0" w:type="dxa"/>
        <w:tblLayout w:type="fixed"/>
        <w:tblCellMar>
          <w:top w:w="0" w:type="dxa"/>
          <w:left w:w="0" w:type="dxa"/>
          <w:bottom w:w="0" w:type="dxa"/>
          <w:right w:w="0" w:type="dxa"/>
        </w:tblCellMar>
      </w:tblPr>
      <w:tblGrid>
        <w:gridCol w:w="140"/>
        <w:gridCol w:w="2765"/>
      </w:tblGrid>
      <w:tr>
        <w:trPr/>
        <w:tc>
          <w:tcPr>
            <w:tcW w:w="140" w:type="dxa"/>
            <w:tcBorders/>
            <w:vAlign w:val="center"/>
          </w:tcPr>
          <w:p>
            <w:pPr>
              <w:pStyle w:val="TableContents"/>
              <w:bidi w:val="0"/>
              <w:spacing w:before="0" w:after="0"/>
              <w:jc w:val="left"/>
              <w:rPr>
                <w:color w:val="404040"/>
              </w:rPr>
            </w:pPr>
            <w:r>
              <w:rPr>
                <w:color w:val="404040"/>
              </w:rPr>
              <w:t>•</w:t>
            </w:r>
          </w:p>
        </w:tc>
        <w:tc>
          <w:tcPr>
            <w:tcW w:w="276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Corporate governance matters </w:t>
            </w:r>
          </w:p>
        </w:tc>
      </w:tr>
    </w:tbl>
    <w:tbl>
      <w:tblPr>
        <w:tblW w:w="5035" w:type="dxa"/>
        <w:jc w:val="left"/>
        <w:tblInd w:w="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0"/>
              <w:jc w:val="left"/>
              <w:rPr>
                <w:color w:val="404040"/>
              </w:rPr>
            </w:pPr>
            <w:r>
              <w:rPr>
                <w:color w:val="404040"/>
              </w:rPr>
              <w:t>•</w:t>
            </w:r>
          </w:p>
        </w:tc>
        <w:tc>
          <w:tcPr>
            <w:tcW w:w="489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The nomination or re-nomination of Director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The Board’s review and consideration of shareholder recommendations for, and nominations of, Director candidates </w:t>
            </w:r>
          </w:p>
        </w:tc>
      </w:tr>
    </w:tbl>
    <w:tbl>
      <w:tblPr>
        <w:tblW w:w="5410" w:type="dxa"/>
        <w:jc w:val="left"/>
        <w:tblInd w:w="0" w:type="dxa"/>
        <w:tblLayout w:type="fixed"/>
        <w:tblCellMar>
          <w:top w:w="0" w:type="dxa"/>
          <w:left w:w="0" w:type="dxa"/>
          <w:bottom w:w="0" w:type="dxa"/>
          <w:right w:w="0" w:type="dxa"/>
        </w:tblCellMar>
      </w:tblPr>
      <w:tblGrid>
        <w:gridCol w:w="140"/>
        <w:gridCol w:w="5270"/>
      </w:tblGrid>
      <w:tr>
        <w:trPr/>
        <w:tc>
          <w:tcPr>
            <w:tcW w:w="140" w:type="dxa"/>
            <w:tcBorders/>
            <w:vAlign w:val="center"/>
          </w:tcPr>
          <w:p>
            <w:pPr>
              <w:pStyle w:val="TableContents"/>
              <w:bidi w:val="0"/>
              <w:spacing w:before="0" w:after="0"/>
              <w:jc w:val="left"/>
              <w:rPr>
                <w:color w:val="404040"/>
              </w:rPr>
            </w:pPr>
            <w:r>
              <w:rPr>
                <w:color w:val="404040"/>
              </w:rPr>
              <w:t>•</w:t>
            </w:r>
          </w:p>
        </w:tc>
        <w:tc>
          <w:tcPr>
            <w:tcW w:w="5270"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The annual self-evaluation of the Board and its committees </w:t>
            </w:r>
          </w:p>
        </w:tc>
      </w:tr>
    </w:tbl>
    <w:tbl>
      <w:tblPr>
        <w:tblW w:w="5005" w:type="dxa"/>
        <w:jc w:val="left"/>
        <w:tblInd w:w="0" w:type="dxa"/>
        <w:tblLayout w:type="fixed"/>
        <w:tblCellMar>
          <w:top w:w="0" w:type="dxa"/>
          <w:left w:w="0" w:type="dxa"/>
          <w:bottom w:w="0" w:type="dxa"/>
          <w:right w:w="0" w:type="dxa"/>
        </w:tblCellMar>
      </w:tblPr>
      <w:tblGrid>
        <w:gridCol w:w="140"/>
        <w:gridCol w:w="4865"/>
      </w:tblGrid>
      <w:tr>
        <w:trPr/>
        <w:tc>
          <w:tcPr>
            <w:tcW w:w="140" w:type="dxa"/>
            <w:tcBorders/>
            <w:vAlign w:val="center"/>
          </w:tcPr>
          <w:p>
            <w:pPr>
              <w:pStyle w:val="TableContents"/>
              <w:bidi w:val="0"/>
              <w:spacing w:before="0" w:after="0"/>
              <w:jc w:val="left"/>
              <w:rPr>
                <w:color w:val="404040"/>
              </w:rPr>
            </w:pPr>
            <w:r>
              <w:rPr>
                <w:color w:val="404040"/>
              </w:rPr>
              <w:t>•</w:t>
            </w:r>
          </w:p>
        </w:tc>
        <w:tc>
          <w:tcPr>
            <w:tcW w:w="486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Director orientation and continuing education programs </w:t>
            </w:r>
          </w:p>
        </w:tc>
      </w:tr>
    </w:tbl>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0"/>
              <w:jc w:val="left"/>
              <w:rPr>
                <w:color w:val="404040"/>
              </w:rPr>
            </w:pPr>
            <w:r>
              <w:rPr>
                <w:color w:val="404040"/>
              </w:rPr>
              <w:t>•</w:t>
            </w:r>
          </w:p>
        </w:tc>
        <w:tc>
          <w:tcPr>
            <w:tcW w:w="273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Evaluating Board composition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8" w:name="ny20042022x3_10ka_104-directors_pg17"/>
        <w:bookmarkEnd w:id="38"/>
        <w:r>
          <w:rPr>
            <w:rStyle w:val="InternetLink"/>
            <w:rFonts w:ascii="Times New Roman;Times;Serif" w:hAnsi="Times New Roman;Times;Serif"/>
            <w:b/>
            <w:caps w:val="false"/>
            <w:smallCaps w:val="false"/>
            <w:color w:val="000000"/>
            <w:sz w:val="16"/>
          </w:rPr>
          <w:t>TABLE OF CONTENTS</w:t>
        </w:r>
      </w:hyperlink>
    </w:p>
    <w:tbl>
      <w:tblPr>
        <w:tblW w:w="3715" w:type="dxa"/>
        <w:jc w:val="left"/>
        <w:tblInd w:w="0" w:type="dxa"/>
        <w:tblLayout w:type="fixed"/>
        <w:tblCellMar>
          <w:top w:w="0" w:type="dxa"/>
          <w:left w:w="0" w:type="dxa"/>
          <w:bottom w:w="0" w:type="dxa"/>
          <w:right w:w="0" w:type="dxa"/>
        </w:tblCellMar>
      </w:tblPr>
      <w:tblGrid>
        <w:gridCol w:w="140"/>
        <w:gridCol w:w="3575"/>
      </w:tblGrid>
      <w:tr>
        <w:trPr/>
        <w:tc>
          <w:tcPr>
            <w:tcW w:w="140" w:type="dxa"/>
            <w:tcBorders/>
            <w:vAlign w:val="center"/>
          </w:tcPr>
          <w:p>
            <w:pPr>
              <w:pStyle w:val="TableContents"/>
              <w:bidi w:val="0"/>
              <w:spacing w:before="0" w:after="0"/>
              <w:jc w:val="left"/>
              <w:rPr>
                <w:color w:val="404040"/>
              </w:rPr>
            </w:pPr>
            <w:r>
              <w:rPr>
                <w:color w:val="404040"/>
              </w:rPr>
              <w:t>•</w:t>
            </w:r>
          </w:p>
        </w:tc>
        <w:tc>
          <w:tcPr>
            <w:tcW w:w="357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Reviewing succession planning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Management's efforts with respect to corporate environmental and social responsibility matters, which are communicated quarterly</w:t>
            </w:r>
          </w:p>
        </w:tc>
      </w:tr>
    </w:tbl>
    <w:p>
      <w:pPr>
        <w:pStyle w:val="TextBody"/>
        <w:bidi w:val="0"/>
        <w:spacing w:before="32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Science and Technology Committee Responsibilities </w:t>
      </w:r>
    </w:p>
    <w:p>
      <w:pPr>
        <w:pStyle w:val="TextBody"/>
        <w:bidi w:val="0"/>
        <w:spacing w:before="21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Science and Technology Committee’s key oversight responsibilities include, but are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Reviewing the overall strategy and direction of the Company’s R&amp;D program, and report to the Board, at least annually </w:t>
            </w:r>
          </w:p>
        </w:tc>
      </w:tr>
    </w:tbl>
    <w:p>
      <w:pPr>
        <w:pStyle w:val="Normal"/>
        <w:bidi w:val="0"/>
        <w:spacing w:before="0" w:after="0"/>
        <w:jc w:val="left"/>
        <w:rPr>
          <w:sz w:val="4"/>
          <w:szCs w:val="4"/>
        </w:rPr>
      </w:pPr>
      <w:r>
        <w:rPr>
          <w:sz w:val="4"/>
          <w:szCs w:val="4"/>
        </w:rPr>
      </w:r>
      <w:bookmarkStart w:id="39" w:name="tRPR"/>
      <w:bookmarkStart w:id="40" w:name="tRPR"/>
      <w:bookmarkEnd w:id="40"/>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Reviewing presentations regarding significant emerging scientific and technological trends and developments relevant to the Company</w:t>
            </w:r>
          </w:p>
        </w:tc>
      </w:tr>
    </w:tbl>
    <w:p>
      <w:pPr>
        <w:pStyle w:val="TextBody"/>
        <w:bidi w:val="0"/>
        <w:spacing w:before="280" w:after="283"/>
        <w:ind w:left="0" w:right="0" w:hanging="0"/>
        <w:jc w:val="left"/>
        <w:rPr>
          <w:rFonts w:ascii="Arial;Helvetica;sans-serif" w:hAnsi="Arial;Helvetica;sans-serif"/>
          <w:b/>
          <w:color w:val="666666"/>
          <w:sz w:val="28"/>
        </w:rPr>
      </w:pPr>
      <w:bookmarkStart w:id="41" w:name="tBRA"/>
      <w:bookmarkEnd w:id="41"/>
      <w:r>
        <w:rPr>
          <w:rFonts w:ascii="Arial;Helvetica;sans-serif" w:hAnsi="Arial;Helvetica;sans-serif"/>
          <w:b/>
          <w:color w:val="666666"/>
          <w:sz w:val="28"/>
        </w:rPr>
        <w:t xml:space="preserve">Board Refreshment and Succession Planning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Board, with the support of the Governance and Sustainability Committee, seeks to identify, subject to and in accordance with applicable law, a diverse talent pool of qualified candidates for consideration as part of the Board’s refreshment and succession planning. The Board also seeks to combine the skills and experience of its long-standing Board members with the fresh perspectives, insights, skills, and experiences of new members in support of its belief that it is important for Directors to represent a variety of viewpoints and, further, that the personal backgrounds and qualifications of the Directors, considered as a group, should provide a composite mix of experience, knowledge and abilities. The Board is committed to fostering a culture of integrity, inclusion, dignity and mutual respect.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Board and Governance and Sustainability Committee evaluate Board composition with respect to many factors to ensure that the Board remains well-qualified to provide effective oversight of the Company and management. The Board and the Governance and Sustainability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 As we continue to evaluate Board composition, we also work to establish a pool of qualified potential candidates to support our continued refreshment efforts.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Board of Directors has always believed that varied experiences and perspectives help drive innovation and serve Viatris’ mission, both at the board level and in management. The Board’s Diversity and Inclusion Policy, formalizes its longstanding commitment, in all cases subject to and in accordance with applicable law, to fostering a culture of inclusion and seeking, supporting, valuing, and leveraging diversity in the Board’s composition, including a mix of genders, nationalities, ethnicities, races, and/or ages, and seeking a diverse talent pool of Director candidates when considering the Board’s refreshment and succession planning. The Board, in seeking candidates, reviews the principles of the policy and also asks its supporting search firms to provide candidates consistent with those principles. The Board and Governance and Sustainability Committee consider this policy and diversity matters generally during their self-evaluations and when nominating Directors for election to the Board, and the Board considers the policy effective in making sure these matters are appropriately considered. </w:t>
      </w:r>
    </w:p>
    <w:p>
      <w:pPr>
        <w:pStyle w:val="TextBody"/>
        <w:bidi w:val="0"/>
        <w:spacing w:before="180" w:after="283"/>
        <w:ind w:left="0" w:right="0" w:hanging="0"/>
        <w:jc w:val="both"/>
        <w:rPr>
          <w:rFonts w:ascii="Arial;Helvetica;sans-serif" w:hAnsi="Arial;Helvetica;sans-serif"/>
          <w:color w:val="404040"/>
          <w:sz w:val="20"/>
        </w:rPr>
      </w:pPr>
      <w:bookmarkStart w:id="42" w:name="tTBH"/>
      <w:bookmarkEnd w:id="42"/>
      <w:r>
        <w:rPr>
          <w:rFonts w:ascii="Arial;Helvetica;sans-serif" w:hAnsi="Arial;Helvetica;sans-serif"/>
          <w:color w:val="404040"/>
          <w:sz w:val="20"/>
        </w:rPr>
        <w:t xml:space="preserve">As a result of its continued Board refreshment efforts, the Board has appointed four new Directors (Ms. Finney and Mr. Smith to fill two vacancies in 2022, Mr. Groothuis to fill a vacancy in 2023, and Dr. Vivaldi in 2024) since 2021 and elected an independent Chair in 2023.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Reflecting the critical importance of senior leadership to the success of the Company and its overall business strategy, our Corporate Governance Principles also provide that the Board will work with senior management to ensure that effective plans are in place for management succession. The Board’s goal is to have a long-term and continuous program as well as to have contingency plans in place for emergencies such as departure, death, or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19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3" w:name="ny20042022x3_10ka_104-directors_pg18"/>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disability. The Board discusses succession planning regularly at scheduled meetings, including in executive session, as appropriate. These succession planning activities have been and may continue to be supported by independent third-party consultants.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Board prioritizes reviewing and discussing the succession plans for the CEO and each of his direct reports. Management succession planning has been, including with respect to our recent CEO, CFO, and Chief Commercial Officer appointments, and continues to be among the Board’s top priorities and is included in the annual goals for executive management. </w:t>
      </w:r>
    </w:p>
    <w:p>
      <w:pPr>
        <w:pStyle w:val="TextBody"/>
        <w:bidi w:val="0"/>
        <w:spacing w:before="280" w:after="283"/>
        <w:ind w:left="0" w:right="0" w:hanging="0"/>
        <w:jc w:val="left"/>
        <w:rPr>
          <w:rFonts w:ascii="Arial;Helvetica;sans-serif" w:hAnsi="Arial;Helvetica;sans-serif"/>
          <w:b/>
          <w:color w:val="666666"/>
          <w:sz w:val="28"/>
        </w:rPr>
      </w:pPr>
      <w:bookmarkStart w:id="44" w:name="tSAO"/>
      <w:bookmarkEnd w:id="44"/>
      <w:r>
        <w:rPr>
          <w:rFonts w:ascii="Arial;Helvetica;sans-serif" w:hAnsi="Arial;Helvetica;sans-serif"/>
          <w:b/>
          <w:color w:val="666666"/>
          <w:sz w:val="28"/>
        </w:rPr>
        <w:t xml:space="preserve">Setting and Overseeing Strategy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The Board actively discusses, determines, and oversees the Company's strategic initiatives and priorities and we believe the Board has demonstrated over time the consistency and natural progression of its strategy despite evolving, challenging, and often unpredictable market conditions.</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Under the leadership of the Board, we have executed various strategic initiatives, transactions, and business arrangements over the last few years to return our base business to growth through 2024, deliver on our pipeline, reduce debt and return capital to shareholders. We have also completed certain transactions to simplify and streamline our business, accelerate paydown of debt and unlock value, including:</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In 2022, we completed a transaction to contribute our biosimilars portfolio to Biocon Biologics Limited (the “Biocon Biologics Transaction”).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In 2023 and 2024, we substantially completed the divestitures of our over-the-counter (“OTC”) business (“OTC Business”), our API business in India (while retaining some selective R&amp;D capabilities in API), our women's healthcare business primarily related to oral and injectable contraceptives, our rights to two women's healthcare products in certain countries and our commercialization rights in select geographic markets that were part of the Combination. </w:t>
            </w:r>
          </w:p>
        </w:tc>
      </w:tr>
    </w:tbl>
    <w:p>
      <w:pPr>
        <w:pStyle w:val="TextBody"/>
        <w:bidi w:val="0"/>
        <w:spacing w:before="26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Company has also laid out three strategic pillars to accelerate growth and shareholder return: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(1)</w:t>
            </w:r>
          </w:p>
        </w:tc>
        <w:tc>
          <w:tcPr>
            <w:tcW w:w="9978"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Diversified &amp; Growing Base Business: We believe the Company's continued success in its base business comes from its large and diversified portfolio of generics and off-patent brands that extends across markets and therapeutic areas. Here the Company has a clear legacy of deep product knowledge and extensive commercialization and development expertise. We believe it is important that Viatris maintains a strong focus on growing its base business over the long-term.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(2)</w:t>
            </w:r>
          </w:p>
        </w:tc>
        <w:tc>
          <w:tcPr>
            <w:tcW w:w="9973"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Financial Strength &amp; Significant Cash Flow: We believe the Company's strong balance sheet and sector-leading cash flow generation differentiate it from sector peers. The Company expects to continue to deliver on its long-term financial strategy to return capital to shareholders through dividends and share repurchases, while making investments in its business.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(3)</w:t>
            </w:r>
          </w:p>
        </w:tc>
        <w:tc>
          <w:tcPr>
            <w:tcW w:w="9981"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Expanding Innovative Portfolio. This represents the Company's continuous efforts to identify, vet, and secure innovative, best-in-class, patent-protected assets in areas of unmet medical need in which it can be successful. By expanding our innovative portfolio, we believe the Company has the potential to drive accelerated and durable revenue growth over the long-term. As part of expanding our innovative portfolio, in 2024, we acquired exclusive global development and commercialization rights to two Phase 3 assets from Idorsia Pharmaceuticals Ltd. (“Idorsia”), as well as the potential to add additional innovative assets in the future. </w:t>
            </w:r>
          </w:p>
        </w:tc>
      </w:tr>
    </w:tbl>
    <w:p>
      <w:pPr>
        <w:pStyle w:val="TextBody"/>
        <w:bidi w:val="0"/>
        <w:spacing w:before="180" w:after="283"/>
        <w:ind w:left="0" w:right="0" w:hanging="0"/>
        <w:jc w:val="both"/>
        <w:rPr>
          <w:rFonts w:ascii="Arial;Helvetica;sans-serif" w:hAnsi="Arial;Helvetica;sans-serif"/>
          <w:color w:val="404040"/>
          <w:sz w:val="20"/>
        </w:rPr>
      </w:pPr>
      <w:bookmarkStart w:id="45" w:name="tSAO2"/>
      <w:bookmarkEnd w:id="45"/>
      <w:r>
        <w:rPr>
          <w:rFonts w:ascii="Arial;Helvetica;sans-serif" w:hAnsi="Arial;Helvetica;sans-serif"/>
          <w:color w:val="404040"/>
          <w:sz w:val="20"/>
        </w:rPr>
        <w:t xml:space="preserve">The Board remains committed to overseeing these efforts and to maintaining an ongoing dialogue with shareholders regarding a broad range of topics, including, among others, our strategic initiatives and priorities; capital allocation; governance; compensation; and corporate environmental and social responsibility matters.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6" w:name="ny20042022x3_10ka_104-directors_pg19"/>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666666"/>
          <w:sz w:val="28"/>
        </w:rPr>
      </w:pPr>
      <w:bookmarkStart w:id="47" w:name="tRO"/>
      <w:bookmarkEnd w:id="47"/>
      <w:r>
        <w:rPr>
          <w:rFonts w:ascii="Arial;Helvetica;sans-serif" w:hAnsi="Arial;Helvetica;sans-serif"/>
          <w:b/>
          <w:color w:val="666666"/>
          <w:sz w:val="28"/>
        </w:rPr>
        <w:t xml:space="preserve">Risk Oversight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operates in a complex and rapidly changing environment that involves many potential risks. In addition to general market, industry, R&amp;D, supply chain, political, financial, and economic risks, the Company faces potential risks related to, among others, executing on and implementing our strategic initiatives and priorities, including divestitures, acquisitions, or other potential transactions; IT and cybersecurity; data privacy; financial controls and reporting; manufacturing and quality; legal, regulatory, and compliance requirements and developments; the global nature of our operations; human capital management; corporate environmental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and long-term financial and operational performance, and protect our assets (financial, intellectual property, and information, among others). Risk management is an enterprise-wide objective and is subject to oversight by the Board and its committees.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It is the responsibility of Viatris’ management and employees to identify material risks to our business and to implement and administer risk management and mitigation processes and programs, while also maintaining reasonable flexibility in how we operate. Our internal audit function coordinates cross functionally to maintain the Company’s enterprise risk assessment, including the identification of key and emerging risks, and reviews and refreshes this analysis quarterly with executive management. For each key or emerging risk identified, the Company establishes risk monitoring ownership, from which quarterly updates are collected for executive management and the Compliance and Risk Oversight Committee. The Company’s internal risk committee of senior management consists of senior leaders across multiple disciplines, including internal audit, IT, information security, compliance, corporate affairs, operations, finance, legal, and quality and meets quarterly to review and discuss risks and trends, which vary across the short-, medium-, and long-term.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help ensure compliance and appropriate enterprise risk management.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Company’s risk oversight framework also aligns with our Disclosure Controls and Procedures. For example, the Company’s Disclosure Committee reviews the Company’s quarterly and annual financial statements and related disclosures. The Disclosure Committee consists of senior management including our CFO, Chief Legal Officer, Chief Governance Counsel and Corporate Secretary, Corporate Controller, Chief Corporate Affairs Officer, and Head of Capital Markets, all of whom participate in the associated risk assessment as described above. The financial statements are also reviewed with the CEO before being reviewed with and approved by the Audit Committee, and filed with the SEC.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Board directly, or through its committees, oversees the implementation of risk management and mitigation processes. The Board and its committees rigorously review with management the risk management program and discuss risk assessment matters at least quarterly, as well as during the Board’s annual budget review and approval process. Each of our Board committees has full access to officers and employees of the Company, and the Board and committees also meet in executive session without members of management present. The Board and committee Chairs periodically discuss the allocation of specific risk oversight matters between the various Board committees and the Board believes that its current risk oversight structure, as outlined below, assigns particular risk oversight matters to the Board committees that have the appropriate expertise to manage them. The Board also has the authority to form special strategic committees if it believes that it would be advisable to oversee significant strategic or other corporate actions, including the risks related thereto. All Board committees also have access to outside advisors in their sole discretion and periodically receive external updates concerning oversight of risks related to the Company and management’s efforts to manage risk. The Compliance and Risk Oversight Committee is responsible for appointing and replacing the Company’s Chief Compliance Officer, who is responsible for, among other things, the day-to-day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8" w:name="ny20042022x3_10ka_104-directors_pg20"/>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management and implementation of the Company’s Corporate Compliance Program and who reports to the Compliance and Risk Oversight Committee and the Chief Legal Officer. In addition to meeting with the Company’s internal risk committee of senior management, which meets at least quarterly, the Chief Compliance Officer meets at least quarterly with the Audit Committee and the Compliance and Risk Oversight Committee.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Board also has approved a Code of Business Conduct and Ethics, Code of Ethics for Chief Executive Officer, Chief Financial Officer, and Corporate Controller, and other related policies to help manage and mitigate risk globally.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Vice Chair of the Board serves as Chair of the Compliance and Risk Oversight Committee, which also meets at least twice a year with other committee Chairs to discuss risk-related matters and the Company’s enterprise risk management framework. While the full Board has retained responsibility for overseeing strategic risks to the business overall, it has delegated oversight of specific risks to its committees as outlined below. </w:t>
      </w:r>
    </w:p>
    <w:p>
      <w:pPr>
        <w:pStyle w:val="TextBody"/>
        <w:bidi w:val="0"/>
        <w:spacing w:before="310" w:after="283"/>
        <w:ind w:left="0" w:right="0" w:hanging="0"/>
        <w:jc w:val="left"/>
        <w:rPr>
          <w:rFonts w:ascii="Arial;Helvetica;sans-serif" w:hAnsi="Arial;Helvetica;sans-serif"/>
          <w:b/>
          <w:color w:val="404040"/>
          <w:sz w:val="20"/>
        </w:rPr>
      </w:pPr>
      <w:bookmarkStart w:id="49" w:name="tBCR"/>
      <w:bookmarkEnd w:id="49"/>
      <w:r>
        <w:rPr>
          <w:rFonts w:ascii="Arial;Helvetica;sans-serif" w:hAnsi="Arial;Helvetica;sans-serif"/>
          <w:b/>
          <w:color w:val="404040"/>
          <w:sz w:val="20"/>
        </w:rPr>
        <w:t xml:space="preserve">Board Committees’ Role in Risk Oversight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i/>
                <w:color w:val="404040"/>
                <w:sz w:val="20"/>
              </w:rPr>
              <w:t>The Audit Committee</w:t>
            </w:r>
            <w:r>
              <w:rPr>
                <w:rFonts w:ascii="Arial;Helvetica;sans-serif" w:hAnsi="Arial;Helvetica;sans-serif"/>
                <w:color w:val="404040"/>
                <w:sz w:val="20"/>
              </w:rPr>
              <w:t xml:space="preserve"> focuses on risks relating to financial and disclosure controls, SEC reporting matters, and oversight of Viatris’ internal audit 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and the Company’s disclosure controls and procedures, including their effectiveness.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i/>
                <w:color w:val="404040"/>
                <w:sz w:val="20"/>
              </w:rPr>
              <w:t>The Compensation Committee</w:t>
            </w:r>
            <w:r>
              <w:rPr>
                <w:rFonts w:ascii="Arial;Helvetica;sans-serif" w:hAnsi="Arial;Helvetica;sans-serif"/>
                <w:color w:val="404040"/>
                <w:sz w:val="20"/>
              </w:rPr>
              <w:t xml:space="preserve"> focuses on the design and administration of compensation-related plans and programs, and reviews with management and its external compensation consultant, at least annually, the relationship between the Company’s compensation policies and practices and the Company’s risk management with respect to compensation-related matters, including to assess whether any risks arising from compensation practices, policies, and programs for the Company’s executive officers and other employees are reasonably likely to have a material adverse effect on the Company. The Committee receives reports, on at least a quarterly basis, from management and outside advisors regarding compensation-related matters, and considers risk management in determining compensation structure. The Committee also reviews reports from management regarding pay equity and human capital management.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i/>
                <w:color w:val="404040"/>
                <w:sz w:val="20"/>
              </w:rPr>
              <w:t>The Compliance and Risk Oversight Committee</w:t>
            </w:r>
            <w:r>
              <w:rPr>
                <w:rFonts w:ascii="Arial;Helvetica;sans-serif" w:hAnsi="Arial;Helvetica;sans-serif"/>
                <w:color w:val="404040"/>
                <w:sz w:val="20"/>
              </w:rPr>
              <w:t xml:space="preserve"> assists the Board in its oversight of Viatris’ enterprise risk management framework and reviews the 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IT; and reviews the Company’s efforts to foster a culture of risk-adjusted decision-making without constraining reasonable risk-taking and innovation. Management reviews the Company’s enterprise risk management program with the Committee each quarter and discusses the short-, medium-, and long-term matters of focus from a risk management perspective and actions being taken to mitigate risk. The Committee also meets with the Chairs of the other committees at least two times a year to discuss enterprise risk and related matters. The Committee is also responsible for overseeing the Chief Compliance Officer’s implementation of Viatris’ Corporate Compliance Program. The Chief Compliance Officer reports to the Committee and the Chief Legal Officer and the Committee is responsible for appointing and, as applicable, replacing, the Chief Compliance Officer. The Committee discusses the Chief Compliance Officer’s performance, responsibilities, plans, and resources with the Chief Legal Officer. The Committee also makes recommendations to the Board with respect to the Corporate Compliance Program, the Code of Business Conduct and Ethics, and significant related global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0" w:name="ny20042022x3_10ka_104-directors_pg2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Arial;Helvetica;sans-serif" w:hAnsi="Arial;Helvetica;sans-serif"/>
          <w:color w:val="404040"/>
          <w:sz w:val="20"/>
        </w:rPr>
      </w:pPr>
      <w:r>
        <w:rPr>
          <w:rFonts w:ascii="Arial;Helvetica;sans-serif" w:hAnsi="Arial;Helvetica;sans-serif"/>
          <w:color w:val="404040"/>
          <w:sz w:val="20"/>
        </w:rPr>
        <w:t>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In addition, the Committee reviews significant global compliance-related policies, including policies related to pricing and/or commercialization of Company products and services.</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i/>
                <w:color w:val="404040"/>
                <w:sz w:val="20"/>
              </w:rPr>
              <w:t>The Finance Committee</w:t>
            </w:r>
            <w:r>
              <w:rPr>
                <w:rFonts w:ascii="Arial;Helvetica;sans-serif" w:hAnsi="Arial;Helvetica;sans-serif"/>
                <w:color w:val="404040"/>
                <w:sz w:val="20"/>
              </w:rPr>
              <w:t xml:space="preserve"> is responsible for reviewing and, as appropriate, providing recommendations to the Board with respect to significant strategies and policies of the Company relating to its capital structure and deployment and/or allocation of capital, material financial matters and transactions, and the risks related to such activities. </w:t>
            </w:r>
          </w:p>
        </w:tc>
      </w:tr>
    </w:tbl>
    <w:p>
      <w:pPr>
        <w:pStyle w:val="Normal"/>
        <w:bidi w:val="0"/>
        <w:spacing w:before="0" w:after="0"/>
        <w:jc w:val="left"/>
        <w:rPr>
          <w:sz w:val="4"/>
          <w:szCs w:val="4"/>
        </w:rPr>
      </w:pPr>
      <w:r>
        <w:rPr>
          <w:sz w:val="4"/>
          <w:szCs w:val="4"/>
        </w:rPr>
      </w:r>
      <w:bookmarkStart w:id="51" w:name="tGSC"/>
      <w:bookmarkStart w:id="52" w:name="tGSC"/>
      <w:bookmarkEnd w:id="52"/>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i/>
                <w:color w:val="404040"/>
                <w:sz w:val="20"/>
              </w:rPr>
              <w:t>The Governance and Sustainability Committee</w:t>
            </w:r>
            <w:r>
              <w:rPr>
                <w:rFonts w:ascii="Arial;Helvetica;sans-serif" w:hAnsi="Arial;Helvetica;sans-serif"/>
                <w:color w:val="404040"/>
                <w:sz w:val="20"/>
              </w:rPr>
              <w:t xml:space="preserve"> is responsible for identifying, assisting in recruiting, and nominating qualified individuals to become members of the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Director orientation and continuing education programs; Board and management succession planning; and management’s activities with respect to corporate environmental and social responsibility matters. </w:t>
            </w:r>
          </w:p>
        </w:tc>
      </w:tr>
    </w:tbl>
    <w:p>
      <w:pPr>
        <w:pStyle w:val="TextBody"/>
        <w:bidi w:val="0"/>
        <w:spacing w:before="32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The Board’s Role in Oversight of Corporate Sustainability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Board oversees management’s efforts with respect to sustainability matters, including corporate environmental and social responsibility matters through its Governance and Sustainability Committee. The Company’s sustainability function operates as a center of excellence within the Viatris Corporate Affairs leadership team. The Head of Global Sustainability drives the strategic and operational development of sustainability matters across the Company, together with key partners. The Chief Corporate Affairs Officer reports directly to the CEO and, together with the Head of Global Sustainability, communicates quarterly with the Board on sustainability matters, including corporate environmental and social responsibility matters through the Governance and Sustainability Committee. The Governance and Sustainability Committee reviews progress with the Chief Corporate Affairs Officer and Head of Global Sustainability on sustainability matters on an annual basis to confirm the Company is tracking its priorities in this area. </w:t>
      </w:r>
    </w:p>
    <w:p>
      <w:pPr>
        <w:pStyle w:val="TextBody"/>
        <w:bidi w:val="0"/>
        <w:spacing w:before="31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The Board’s and its Committees’ Role in Cybersecurity Oversight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The Company maintains an information security program designed to govern, identify, protect, detect, respond to, and recover from cybersecurity threats. The Company’s Chief Information Security Officer &amp; Head of Global Security, under the direction of the Company’s Chief Compliance Officer, reports quarterly to an internal risk committee of senior management, which includes the CEO, CFO, Chief Legal Officer, Chief People Officer, Chief Corporate Affairs Officer, Chief Information Officer, Chief Compliance Officer, Chief Quality Officer, Chief Supply Officer, Chief R&amp;D Officer, and Regional Presidents, as well as the Board on the progress of the information security program and overall security status.</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Compliance and Risk Oversight Committee of the Board is responsible for reviewing management’s exercise of its responsibility to identify, assess, and manage material risks not allocated to the Board or another Committee of the Board, including data security programs and cybersecurity and IT. In the event of a severe cybersecurity incident, such as a ransomware attack or other incident that has a severe adverse effect on Viatris’ operations, critical systems, or sensitive data, or which may cause severe reputational damage, executive management may determine that it is necessary to notify the Board or the Compliance and Risk Oversight Committee about such a cybersecurity incident immediately. Otherwise, the Compliance and Risk Oversight Committee receives reports from executive management on data security, cybersecurity, and information security-related matters on at least a quarterly basis, including with respect to related risks, risk management, risk reduction programs, and relevant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42022x3_10ka_104-directors_pg2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legislative, regulatory, and technical developments. On a biannual basis, the Compliance and Risk Oversight Committee and chairs of each other Committee of the Board receive an information security update from the Company’s Chief Information Security Officer &amp; Head of Global Security, the Chief Compliance Officer, and the Chief Information Officer. The full Board receives a report on the respective quarterly discussions from the Chair of the Compliance and Risk Oversight Committee each quarter.</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More information about Viatris’ risk management, strategy, and governance with respect to risks from cybersecurity threats, can be found in Part I, Item 1C of the Original Filing. </w:t>
      </w:r>
    </w:p>
    <w:p>
      <w:pPr>
        <w:pStyle w:val="TextBody"/>
        <w:bidi w:val="0"/>
        <w:spacing w:before="310" w:after="283"/>
        <w:ind w:left="0" w:right="0" w:hanging="0"/>
        <w:jc w:val="left"/>
        <w:rPr>
          <w:rFonts w:ascii="Arial;Helvetica;sans-serif" w:hAnsi="Arial;Helvetica;sans-serif"/>
          <w:b/>
          <w:color w:val="404040"/>
          <w:sz w:val="20"/>
        </w:rPr>
      </w:pPr>
      <w:bookmarkStart w:id="54" w:name="tBEAD"/>
      <w:bookmarkEnd w:id="54"/>
      <w:r>
        <w:rPr>
          <w:rFonts w:ascii="Arial;Helvetica;sans-serif" w:hAnsi="Arial;Helvetica;sans-serif"/>
          <w:b/>
          <w:color w:val="404040"/>
          <w:sz w:val="20"/>
        </w:rPr>
        <w:t xml:space="preserve">Board Education and Director Orientation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The Governance and Sustainability Committee is responsible for overseeing and reviewing quarterly Director continuing education programs, including educational seminars, presentations, conferences, and other programs or opportunities presented by external and internal resources, on matters that may relate to, among other topics: compensation, compliance, governance, board process, risk oversight, audit and accounting, regulatory and other current issues. Past trainings have included the Stanford Graduate School of Business Directors’ Consortium and Deloitte’s Board Symposium, among others. The Company reimburses Directors for costs associated with any related seminars and conferences, including travel expenses.</w:t>
      </w:r>
    </w:p>
    <w:p>
      <w:pPr>
        <w:pStyle w:val="TextBody"/>
        <w:bidi w:val="0"/>
        <w:spacing w:before="180" w:after="283"/>
        <w:ind w:left="0" w:right="0" w:hanging="0"/>
        <w:jc w:val="both"/>
        <w:rPr>
          <w:rFonts w:ascii="Arial;Helvetica;sans-serif" w:hAnsi="Arial;Helvetica;sans-serif"/>
          <w:color w:val="404040"/>
          <w:sz w:val="20"/>
        </w:rPr>
      </w:pPr>
      <w:bookmarkStart w:id="55" w:name="tTGA"/>
      <w:bookmarkEnd w:id="55"/>
      <w:r>
        <w:rPr>
          <w:rFonts w:ascii="Arial;Helvetica;sans-serif" w:hAnsi="Arial;Helvetica;sans-serif"/>
          <w:color w:val="404040"/>
          <w:sz w:val="20"/>
        </w:rPr>
        <w:t>The Governance and Sustainability Committee is also responsible for overseeing and annually reviewing the Company’s Director orientation program. The program is designed to familiarize new Directors with, among other matters, the Company’s business, operations, financial reporting, risk management, and executive officers. In addition, new Directors receive extensive onboarding materials which address topics including the Company’s strategy, policies, Director roles and responsibilities, corporate governance policies and procedures, and leadership structure.</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6" w:name="ny20042022x3_10ka_105-cda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404040"/>
          <w:sz w:val="20"/>
        </w:rPr>
      </w:pPr>
      <w:bookmarkStart w:id="57" w:name="tITEM11"/>
      <w:bookmarkEnd w:id="57"/>
      <w:r>
        <w:rPr>
          <w:rFonts w:ascii="Arial;Helvetica;sans-serif" w:hAnsi="Arial;Helvetica;sans-serif"/>
          <w:b/>
          <w:color w:val="404040"/>
          <w:sz w:val="20"/>
        </w:rPr>
        <w:t xml:space="preserve">ITEM 11. Executive Compensation </w:t>
      </w:r>
    </w:p>
    <w:p>
      <w:pPr>
        <w:pStyle w:val="TextBody"/>
        <w:bidi w:val="0"/>
        <w:spacing w:before="230" w:after="283"/>
        <w:ind w:left="0" w:right="0" w:hanging="0"/>
        <w:jc w:val="left"/>
        <w:rPr>
          <w:rFonts w:ascii="Arial;Helvetica;sans-serif" w:hAnsi="Arial;Helvetica;sans-serif"/>
          <w:b/>
          <w:color w:val="722981"/>
          <w:sz w:val="48"/>
        </w:rPr>
      </w:pPr>
      <w:bookmarkStart w:id="58" w:name="tCDA"/>
      <w:bookmarkEnd w:id="58"/>
      <w:r>
        <w:rPr>
          <w:rFonts w:ascii="Arial;Helvetica;sans-serif" w:hAnsi="Arial;Helvetica;sans-serif"/>
          <w:b/>
          <w:color w:val="722981"/>
          <w:sz w:val="48"/>
        </w:rPr>
        <w:t xml:space="preserve">Compensation Discussion and Analysis </w:t>
      </w:r>
    </w:p>
    <w:p>
      <w:pPr>
        <w:pStyle w:val="TextBody"/>
        <w:bidi w:val="0"/>
        <w:spacing w:before="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This Compensation Discussion and Analysis (“CD&amp;A”) describes the compensation of our Named Executive Officers (“NEOs”) for 2024. Our compensation program continues to be closely aligned to the Company’s performance objectives and is designed to attract, retain, and incentivize our key leaders. </w:t>
      </w:r>
    </w:p>
    <w:p>
      <w:pPr>
        <w:pStyle w:val="TextBody"/>
        <w:bidi w:val="0"/>
        <w:spacing w:before="270" w:after="283"/>
        <w:ind w:left="0" w:right="0" w:hanging="0"/>
        <w:jc w:val="left"/>
        <w:rPr>
          <w:rFonts w:ascii="Arial;Helvetica;sans-serif" w:hAnsi="Arial;Helvetica;sans-serif"/>
          <w:b/>
          <w:color w:val="26215F"/>
          <w:sz w:val="24"/>
        </w:rPr>
      </w:pPr>
      <w:bookmarkStart w:id="59" w:name="tES"/>
      <w:bookmarkEnd w:id="59"/>
      <w:r>
        <w:rPr>
          <w:rFonts w:ascii="Arial;Helvetica;sans-serif" w:hAnsi="Arial;Helvetica;sans-serif"/>
          <w:b/>
          <w:color w:val="26215F"/>
          <w:sz w:val="24"/>
        </w:rPr>
        <w:t>Executive Summary</w:t>
      </w:r>
    </w:p>
    <w:p>
      <w:pPr>
        <w:pStyle w:val="TextBody"/>
        <w:bidi w:val="0"/>
        <w:spacing w:before="2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Shareholder Responsiveness and Continued Evolution of Our Compensation Program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We were disappointed by our say-on-pay vote in 2024. Based on our robust shareholder engagement in connection with, and following, the say-on-pay vote, we believe that our say-on-pay results in 2024 were driven primarily by concerns relating to the transitional consulting arrangement that we entered into with our former Executive Chairman. Based on both the Board’s belief that the transitional matters covered by the consulting arrangement have been successfully completed and/or transitioned and this shareholder feedback, the Board has determined that the consulting arrangement will not be renewed or extended. In light of this, we believe that we have completed the transition to a simplified leadership and compensation structure. </w:t>
      </w:r>
    </w:p>
    <w:p>
      <w:pPr>
        <w:pStyle w:val="TextBody"/>
        <w:bidi w:val="0"/>
        <w:spacing w:before="19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Our Compensation Structure is Simple and Approximately Two-Thirds Performance Based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Our Compensation Committee has implemented a simple and performance-oriented compensation program which is primarily focused on base salary, a performance-based short-term incentive award, and long-term incentive awards consisting of performance-based restricted stock units (“PRSUs”) and restricted stock units (“RSUs”). For fiscal year 2024, 61% of NEO total target compensation was performance-based and 68% of NEO total target compensation was delivered as long-term equity.</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In addition, our PRSUs are subject to a total shareholder return (“TSR”) performance modifier assessed over a three-year time frame relative to the S&amp;P 500 Pharmaceutical Index, further aligning compensation with performance.</w:t>
      </w:r>
    </w:p>
    <w:p>
      <w:pPr>
        <w:pStyle w:val="TextBody"/>
        <w:bidi w:val="0"/>
        <w:spacing w:before="385" w:after="283"/>
        <w:jc w:val="center"/>
        <w:rPr>
          <w:color w:val="404040"/>
        </w:rPr>
      </w:pPr>
      <w:r>
        <w:rPr>
          <w:color w:val="404040"/>
        </w:rPr>
        <w:drawing>
          <wp:inline distT="0" distB="0" distL="0" distR="0">
            <wp:extent cx="6096000" cy="1905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096000" cy="1905000"/>
                    </a:xfrm>
                    <a:prstGeom prst="rect">
                      <a:avLst/>
                    </a:prstGeom>
                  </pic:spPr>
                </pic:pic>
              </a:graphicData>
            </a:graphic>
          </wp:inline>
        </w:drawing>
      </w:r>
    </w:p>
    <w:p>
      <w:pPr>
        <w:pStyle w:val="TextBody"/>
        <w:bidi w:val="0"/>
        <w:spacing w:before="0" w:after="283"/>
        <w:ind w:left="0" w:right="0" w:hanging="0"/>
        <w:jc w:val="left"/>
        <w:rPr>
          <w:color w:val="404040"/>
        </w:rPr>
      </w:pPr>
      <w:r>
        <w:rPr>
          <w:color w:val="404040"/>
        </w:rPr>
        <w:t xml:space="preserve">  </w:t>
      </w:r>
    </w:p>
    <w:p>
      <w:pPr>
        <w:pStyle w:val="TextBody"/>
        <w:bidi w:val="0"/>
        <w:spacing w:before="310" w:after="283"/>
        <w:ind w:left="0" w:right="0" w:hanging="0"/>
        <w:jc w:val="left"/>
        <w:rPr>
          <w:rFonts w:ascii="Arial;Helvetica;sans-serif" w:hAnsi="Arial;Helvetica;sans-serif"/>
          <w:b/>
          <w:color w:val="26215F"/>
          <w:sz w:val="20"/>
        </w:rPr>
      </w:pPr>
      <w:bookmarkStart w:id="60" w:name="tSHA"/>
      <w:bookmarkEnd w:id="60"/>
      <w:r>
        <w:rPr>
          <w:rFonts w:ascii="Arial;Helvetica;sans-serif" w:hAnsi="Arial;Helvetica;sans-serif"/>
          <w:b/>
          <w:color w:val="26215F"/>
          <w:sz w:val="20"/>
        </w:rPr>
        <w:t xml:space="preserve">Selected Highlights and Recent Developments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2024 was an important year for Viatris and an important inflection point for the Company. The Company achieved several notable accomplishments related to its stated strategic pillars of growth acceleration and shareholder return. </w:t>
      </w:r>
    </w:p>
    <w:p>
      <w:pPr>
        <w:pStyle w:val="TextBody"/>
        <w:bidi w:val="0"/>
        <w:spacing w:before="19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 xml:space="preserve">Business Strategy </w:t>
      </w:r>
    </w:p>
    <w:p>
      <w:pPr>
        <w:pStyle w:val="TextBody"/>
        <w:bidi w:val="0"/>
        <w:spacing w:before="20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Company laid out three strategic pillars to accelerate growth and shareholder return: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color w:val="404040"/>
                <w:sz w:val="20"/>
              </w:rPr>
              <w:t>Diversified and Growing Base Business:</w:t>
            </w:r>
            <w:r>
              <w:rPr>
                <w:rFonts w:ascii="Arial;Helvetica;sans-serif" w:hAnsi="Arial;Helvetica;sans-serif"/>
                <w:color w:val="404040"/>
                <w:sz w:val="20"/>
              </w:rPr>
              <w:t xml:space="preserve"> The Company believes its continued success in its base business comes from its large and diversified portfolio of generics and off-patent brands that extends across markets and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42022x3_10ka_105-cda_pg2"/>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Arial;Helvetica;sans-serif" w:hAnsi="Arial;Helvetica;sans-serif"/>
          <w:color w:val="404040"/>
          <w:sz w:val="20"/>
        </w:rPr>
      </w:pPr>
      <w:r>
        <w:rPr>
          <w:rFonts w:ascii="Arial;Helvetica;sans-serif" w:hAnsi="Arial;Helvetica;sans-serif"/>
          <w:color w:val="404040"/>
          <w:sz w:val="20"/>
        </w:rPr>
        <w:t xml:space="preserve">therapeutic areas. Here the Company has a clear legacy of deep product knowledge and extensive commercialization and development expertise. We believe it is important that Viatris maintains a strong focus on growing its base business over the long-term.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color w:val="404040"/>
                <w:sz w:val="20"/>
              </w:rPr>
              <w:t>Financial Strength &amp; Significant Cash Flow</w:t>
            </w:r>
            <w:r>
              <w:rPr>
                <w:rFonts w:ascii="Arial;Helvetica;sans-serif" w:hAnsi="Arial;Helvetica;sans-serif"/>
                <w:color w:val="404040"/>
                <w:sz w:val="20"/>
              </w:rPr>
              <w:t xml:space="preserve">: The Company believes its strong balance sheet and sector-leading cash flow generation differentiate it from sector peers. The Company expects to continue to deliver on its long-term financial strategy to return capital to shareholders through dividends and share repurchases, while making investments in its business.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color w:val="404040"/>
                <w:sz w:val="20"/>
              </w:rPr>
              <w:t>Expanding Innovative Portfolio</w:t>
            </w:r>
            <w:r>
              <w:rPr>
                <w:rFonts w:ascii="Arial;Helvetica;sans-serif" w:hAnsi="Arial;Helvetica;sans-serif"/>
                <w:color w:val="404040"/>
                <w:sz w:val="20"/>
              </w:rPr>
              <w:t xml:space="preserve">: This represents the Company’s continuous efforts to identify, vet, and secure innovative, best-in-class, patent-protected assets in areas of unmet medical need in which it can be successful. By expanding its innovative portfolio, the Company believes it has the potential to drive accelerated and durable revenue growth over the long-term. </w:t>
            </w:r>
          </w:p>
        </w:tc>
      </w:tr>
    </w:tbl>
    <w:p>
      <w:pPr>
        <w:pStyle w:val="TextBody"/>
        <w:bidi w:val="0"/>
        <w:spacing w:before="20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 xml:space="preserve">Financial and Operational Performance </w:t>
      </w:r>
    </w:p>
    <w:p>
      <w:pPr>
        <w:pStyle w:val="TextBody"/>
        <w:bidi w:val="0"/>
        <w:spacing w:before="21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In 2024, Viatris: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Reported total revenues of $14.7 billion; U.S. GAAP net loss of $(634) million; adjusted EBITDA of $4.7 billion; U.S. GAAP diluted EPS loss of $(0.53) per share, adjusted EPS of $2.65 per share, U.S. GAAP net cash provided by operating activities of $2.3 billion, and free cash flow of $2.0 billion (which included ~$650 million of transaction-related costs).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Paid down approximately $3.7 billion of debt and achieved its long-term gross leverage target</w:t>
            </w:r>
            <w:r>
              <w:rPr>
                <w:rFonts w:ascii="Arial;Helvetica;sans-serif" w:hAnsi="Arial;Helvetica;sans-serif"/>
                <w:color w:val="404040"/>
                <w:position w:val="7"/>
                <w:sz w:val="16"/>
                <w:sz w:val="20"/>
              </w:rPr>
              <w:t>1</w:t>
            </w:r>
            <w:r>
              <w:rPr>
                <w:rFonts w:ascii="Arial;Helvetica;sans-serif" w:hAnsi="Arial;Helvetica;sans-serif"/>
                <w:color w:val="404040"/>
                <w:sz w:val="20"/>
              </w:rPr>
              <w:t>, ending the year at 2.9x</w:t>
            </w:r>
            <w:r>
              <w:rPr>
                <w:rFonts w:ascii="Arial;Helvetica;sans-serif" w:hAnsi="Arial;Helvetica;sans-serif"/>
                <w:color w:val="404040"/>
                <w:position w:val="7"/>
                <w:sz w:val="16"/>
                <w:sz w:val="20"/>
              </w:rPr>
              <w:t>2</w:t>
            </w:r>
            <w:r>
              <w:rPr>
                <w:rFonts w:ascii="Arial;Helvetica;sans-serif" w:hAnsi="Arial;Helvetica;sans-serif"/>
                <w:color w:val="404040"/>
                <w:sz w:val="20"/>
              </w:rPr>
              <w:t xml:space="preserve">. </w:t>
            </w:r>
          </w:p>
        </w:tc>
      </w:tr>
    </w:tbl>
    <w:tbl>
      <w:tblPr>
        <w:tblW w:w="4615" w:type="dxa"/>
        <w:jc w:val="left"/>
        <w:tblInd w:w="0" w:type="dxa"/>
        <w:tblLayout w:type="fixed"/>
        <w:tblCellMar>
          <w:top w:w="0" w:type="dxa"/>
          <w:left w:w="0" w:type="dxa"/>
          <w:bottom w:w="0" w:type="dxa"/>
          <w:right w:w="0" w:type="dxa"/>
        </w:tblCellMar>
      </w:tblPr>
      <w:tblGrid>
        <w:gridCol w:w="140"/>
        <w:gridCol w:w="4475"/>
      </w:tblGrid>
      <w:tr>
        <w:trPr/>
        <w:tc>
          <w:tcPr>
            <w:tcW w:w="140" w:type="dxa"/>
            <w:tcBorders/>
            <w:vAlign w:val="center"/>
          </w:tcPr>
          <w:p>
            <w:pPr>
              <w:pStyle w:val="TableContents"/>
              <w:bidi w:val="0"/>
              <w:spacing w:before="0" w:after="0"/>
              <w:jc w:val="left"/>
              <w:rPr>
                <w:color w:val="404040"/>
              </w:rPr>
            </w:pPr>
            <w:r>
              <w:rPr>
                <w:color w:val="404040"/>
              </w:rPr>
              <w:t>•</w:t>
            </w:r>
          </w:p>
        </w:tc>
        <w:tc>
          <w:tcPr>
            <w:tcW w:w="447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Generated new product revenues</w:t>
            </w:r>
            <w:r>
              <w:rPr>
                <w:rFonts w:ascii="Arial;Helvetica;sans-serif" w:hAnsi="Arial;Helvetica;sans-serif"/>
                <w:color w:val="404040"/>
                <w:position w:val="7"/>
                <w:sz w:val="16"/>
                <w:sz w:val="20"/>
              </w:rPr>
              <w:t>3</w:t>
            </w:r>
            <w:r>
              <w:rPr>
                <w:rFonts w:ascii="Arial;Helvetica;sans-serif" w:hAnsi="Arial;Helvetica;sans-serif"/>
                <w:color w:val="404040"/>
                <w:sz w:val="20"/>
              </w:rPr>
              <w:t xml:space="preserve"> of $582 million. </w:t>
            </w:r>
          </w:p>
        </w:tc>
      </w:tr>
    </w:tbl>
    <w:tbl>
      <w:tblPr>
        <w:tblW w:w="8080" w:type="dxa"/>
        <w:jc w:val="left"/>
        <w:tblInd w:w="0" w:type="dxa"/>
        <w:tblLayout w:type="fixed"/>
        <w:tblCellMar>
          <w:top w:w="0" w:type="dxa"/>
          <w:left w:w="0" w:type="dxa"/>
          <w:bottom w:w="0" w:type="dxa"/>
          <w:right w:w="0" w:type="dxa"/>
        </w:tblCellMar>
      </w:tblPr>
      <w:tblGrid>
        <w:gridCol w:w="140"/>
        <w:gridCol w:w="7940"/>
      </w:tblGrid>
      <w:tr>
        <w:trPr/>
        <w:tc>
          <w:tcPr>
            <w:tcW w:w="140" w:type="dxa"/>
            <w:tcBorders/>
            <w:vAlign w:val="center"/>
          </w:tcPr>
          <w:p>
            <w:pPr>
              <w:pStyle w:val="TableContents"/>
              <w:bidi w:val="0"/>
              <w:spacing w:before="0" w:after="0"/>
              <w:jc w:val="left"/>
              <w:rPr>
                <w:color w:val="404040"/>
              </w:rPr>
            </w:pPr>
            <w:r>
              <w:rPr>
                <w:color w:val="404040"/>
              </w:rPr>
              <w:t>•</w:t>
            </w:r>
          </w:p>
        </w:tc>
        <w:tc>
          <w:tcPr>
            <w:tcW w:w="7940"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Returned $825 million in capital to shareholders through dividends and share repurchases. </w:t>
            </w:r>
          </w:p>
        </w:tc>
      </w:tr>
    </w:tbl>
    <w:tbl>
      <w:tblPr>
        <w:tblW w:w="6475" w:type="dxa"/>
        <w:jc w:val="left"/>
        <w:tblInd w:w="0" w:type="dxa"/>
        <w:tblLayout w:type="fixed"/>
        <w:tblCellMar>
          <w:top w:w="0" w:type="dxa"/>
          <w:left w:w="0" w:type="dxa"/>
          <w:bottom w:w="0" w:type="dxa"/>
          <w:right w:w="0" w:type="dxa"/>
        </w:tblCellMar>
      </w:tblPr>
      <w:tblGrid>
        <w:gridCol w:w="140"/>
        <w:gridCol w:w="6335"/>
      </w:tblGrid>
      <w:tr>
        <w:trPr/>
        <w:tc>
          <w:tcPr>
            <w:tcW w:w="140" w:type="dxa"/>
            <w:tcBorders/>
            <w:vAlign w:val="center"/>
          </w:tcPr>
          <w:p>
            <w:pPr>
              <w:pStyle w:val="TableContents"/>
              <w:bidi w:val="0"/>
              <w:spacing w:before="0" w:after="0"/>
              <w:jc w:val="left"/>
              <w:rPr>
                <w:color w:val="404040"/>
              </w:rPr>
            </w:pPr>
            <w:r>
              <w:rPr>
                <w:color w:val="404040"/>
              </w:rPr>
              <w:t>•</w:t>
            </w:r>
          </w:p>
        </w:tc>
        <w:tc>
          <w:tcPr>
            <w:tcW w:w="633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Supplied high-quality medicines to ~1 billion patients</w:t>
            </w:r>
            <w:r>
              <w:rPr>
                <w:rFonts w:ascii="Arial;Helvetica;sans-serif" w:hAnsi="Arial;Helvetica;sans-serif"/>
                <w:color w:val="404040"/>
                <w:position w:val="7"/>
                <w:sz w:val="16"/>
                <w:sz w:val="20"/>
              </w:rPr>
              <w:t>4</w:t>
            </w:r>
            <w:r>
              <w:rPr>
                <w:rFonts w:ascii="Arial;Helvetica;sans-serif" w:hAnsi="Arial;Helvetica;sans-serif"/>
                <w:color w:val="404040"/>
                <w:sz w:val="20"/>
              </w:rPr>
              <w:t xml:space="preserve"> around the world.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404040"/>
              </w:rPr>
            </w:pPr>
            <w:r>
              <w:rPr>
                <w:color w:val="404040"/>
              </w:rPr>
              <w:t>•</w:t>
            </w:r>
          </w:p>
        </w:tc>
        <w:tc>
          <w:tcPr>
            <w:tcW w:w="4985" w:type="dxa"/>
            <w:tcBorders/>
            <w:vAlign w:val="center"/>
          </w:tcPr>
          <w:p>
            <w:pPr>
              <w:pStyle w:val="TableContents"/>
              <w:bidi w:val="0"/>
              <w:spacing w:before="0" w:after="0"/>
              <w:jc w:val="left"/>
              <w:rPr>
                <w:rFonts w:ascii="Arial;Helvetica;sans-serif" w:hAnsi="Arial;Helvetica;sans-serif"/>
                <w:color w:val="404040"/>
                <w:sz w:val="20"/>
              </w:rPr>
            </w:pPr>
            <w:r>
              <w:rPr>
                <w:rFonts w:ascii="Arial;Helvetica;sans-serif" w:hAnsi="Arial;Helvetica;sans-serif"/>
                <w:color w:val="404040"/>
                <w:sz w:val="20"/>
              </w:rPr>
              <w:t xml:space="preserve">Completed its remaining planned divestitures, including: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404040"/>
              </w:rPr>
            </w:pPr>
            <w:r>
              <w:rPr>
                <w:color w:val="404040"/>
              </w:rPr>
              <w:t>○</w:t>
            </w:r>
          </w:p>
        </w:tc>
        <w:tc>
          <w:tcPr>
            <w:tcW w:w="1000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In March 2024, the Company completed the divestiture of its women's healthcare business, primarily related to its oral and injectable contraceptives, to Insud Pharma, S.L., a leading Spanish multinational pharmaceutical company. The transaction included two manufacturing facilities in India: one in Ahmedabad and one in Sarigam.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404040"/>
              </w:rPr>
            </w:pPr>
            <w:r>
              <w:rPr>
                <w:color w:val="404040"/>
              </w:rPr>
              <w:t>○</w:t>
            </w:r>
          </w:p>
        </w:tc>
        <w:tc>
          <w:tcPr>
            <w:tcW w:w="1000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In June 2024, the Company completed the divestiture of its API business in India to Matrix Pharma Private Limited, a privately held pharmaceutical company based in India. The transaction included three manufacturing sites and an R&amp;D lab in Hyderabad India, three manufacturing sites in Vizag, India, and third-party API sales. Viatris retained some selective R&amp;D capabilities in API.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10029"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The Company has not quantified future amounts to develop this target, which does not reflect company guidance, but has stated its goal to manage notional gross debt and adjusted EBITDA over time in order to generally maintain or reach the target.</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10025"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See Appendix A — “Reconciliations of Non-GAAP Financial Measures (Unaudited)” for more information. U.S. GAAP net (loss) for 2024 was $(634.2) million and U.S. GAAP total debt was $14,039.5 million.</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10019"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Refers to revenue from new products launched in 2024 and the carryover impact of new products, including business development, launched within the last 12 months.</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4.</w:t>
            </w:r>
          </w:p>
        </w:tc>
        <w:tc>
          <w:tcPr>
            <w:tcW w:w="10045"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The number of patients served is an estimate calculated using internal sales data (global volume of doses sold in 2024 in all markets as aligned with IQVIA standard units), divided by estimated per patient usage, which is based on treatment dose, treatment duration, and treatment adherence as estimated by Viatris Medical Affairs based on approved label indication and instructions for use, current international guideline recommendations, and common usage in clinical practice. Patients using multiple Viatris medicines may be counted as multiple patients. Certain adjustments were applied in consideration of now completed divestitures and to account for acceptable alternatives to the patient usage factors noted above and rounded to the nearest hundred million. Estimates may be subject to reassessment.</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ny20042022x3_10ka_105-cda_pg3"/>
        <w:bookmarkEnd w:id="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404040"/>
              </w:rPr>
            </w:pPr>
            <w:r>
              <w:rPr>
                <w:color w:val="404040"/>
              </w:rPr>
              <w:t>○</w:t>
            </w:r>
          </w:p>
        </w:tc>
        <w:tc>
          <w:tcPr>
            <w:tcW w:w="1000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In July 2024, the Company completed the divestiture of its OTC business to Cooper Consumer Health, a leading European OTC drug manufacturer and distributor. The transaction included two manufacturing sites located in Merignac, France, and Confienza, Italy, and an R&amp;D site in Monza, Italy. The Company retained the rights for Viagra®, Dymista® (which, in certain limited markets, are sold as OTC products), and select OTC products in certain markets. </w:t>
            </w:r>
          </w:p>
        </w:tc>
      </w:tr>
    </w:tbl>
    <w:p>
      <w:pPr>
        <w:pStyle w:val="TextBody"/>
        <w:bidi w:val="0"/>
        <w:spacing w:before="250" w:after="283"/>
        <w:ind w:left="0" w:right="0" w:hanging="0"/>
        <w:jc w:val="left"/>
        <w:rPr>
          <w:rFonts w:ascii="Arial;Helvetica;sans-serif" w:hAnsi="Arial;Helvetica;sans-serif"/>
          <w:b/>
          <w:color w:val="26215F"/>
          <w:sz w:val="18"/>
        </w:rPr>
      </w:pPr>
      <w:r>
        <w:rPr>
          <w:rFonts w:ascii="Arial;Helvetica;sans-serif" w:hAnsi="Arial;Helvetica;sans-serif"/>
          <w:b/>
          <w:color w:val="26215F"/>
          <w:sz w:val="18"/>
        </w:rPr>
        <w:t xml:space="preserve">Science and Regulatory Achievements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Viatris’ R&amp;D and clinical platform, which includes regulatory activities, seeks to deliver new product opportunities across all of the Company’s categories and markets and to evaluate opportunities to expand the scope of our existing product portfolio with a focus on development activities. The Company’s product pipeline includes a variety of dosage, including oral solid dosage, transdermals, injectables, inhalation, and other delivery systems. While committed to generics and specialty products, over the last several years, a greater portion of the Company’s investments has been focused on complex or difficult-to-formulate products, such as modified release or complex injectables such as glucagon, rather than on commodity products, such as conventional oral solid dosage forms.</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As previously mentioned, one of the Company’s three strategic pillars to accelerate growth and shareholder return is our focus on expanding our innovative portfolio to identify, vet and secure best-in-class, patented-protected assets in areas of unmet medical need. In 2024, the Company made several additions to its innovative portfolio, including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In March 2024, the Company acquired exclusive global development and commercialization rights to two Phase 3 assets from Idorsia Ltd., selatogrel and cenerimod, as well as the potential to add additional innovative assets in the future. </w:t>
            </w:r>
          </w:p>
        </w:tc>
      </w:tr>
    </w:tbl>
    <w:p>
      <w:pPr>
        <w:pStyle w:val="TextBody"/>
        <w:bidi w:val="0"/>
        <w:spacing w:before="180" w:after="283"/>
        <w:ind w:left="400" w:right="0" w:hanging="0"/>
        <w:jc w:val="both"/>
        <w:rPr>
          <w:rFonts w:ascii="Arial;Helvetica;sans-serif" w:hAnsi="Arial;Helvetica;sans-serif"/>
          <w:color w:val="404040"/>
          <w:sz w:val="20"/>
        </w:rPr>
      </w:pPr>
      <w:r>
        <w:rPr>
          <w:rFonts w:ascii="Arial;Helvetica;sans-serif" w:hAnsi="Arial;Helvetica;sans-serif"/>
          <w:color w:val="404040"/>
          <w:sz w:val="20"/>
        </w:rPr>
        <w:t>Selatogrel is a potential life-saving self-administered medicine for patients with a history of acute myocardial infarction, or heart attack, and builds on Viatris' existing global cardiovascular franchise and specialty infrastructure, as well as its knowledge, leadership, and distribution capabilities for self-administered medication for acute life-threatening conditions.</w:t>
      </w:r>
    </w:p>
    <w:p>
      <w:pPr>
        <w:pStyle w:val="TextBody"/>
        <w:bidi w:val="0"/>
        <w:spacing w:before="180" w:after="283"/>
        <w:ind w:left="400" w:right="0" w:hanging="0"/>
        <w:jc w:val="both"/>
        <w:rPr>
          <w:rFonts w:ascii="Arial;Helvetica;sans-serif" w:hAnsi="Arial;Helvetica;sans-serif"/>
          <w:color w:val="404040"/>
          <w:sz w:val="20"/>
        </w:rPr>
      </w:pPr>
      <w:r>
        <w:rPr>
          <w:rFonts w:ascii="Arial;Helvetica;sans-serif" w:hAnsi="Arial;Helvetica;sans-serif"/>
          <w:color w:val="404040"/>
          <w:sz w:val="20"/>
        </w:rPr>
        <w:t xml:space="preserve">Cenerimod is a novel immunology asset that has the potential to be a first-in-class oral therapy for the treatment of systemic lupus erythematosus, the most common form of lupus. Through lifecycle management, this asset also has the potential for broad application across multiple autoimmune diseases in a specialist-driven category with attractive market dynamics for oral therapies and could be a cornerstone asset in Viatris' immunology portfolio.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In October 2024, the Company announced an exclusive licensing agreement with Lexicon Pharmaceuticals for sotagliflozin in all markets outside of the U.S. and Europe. Sotagliflozin was approved by the U.S. Food and Drug Administration in May 2023 to reduce the risk of cardiovascular death, hospitalization for heart failure, and urgent heart failure visit in adults with heart failure or type 2 diabetes mellitus, chronic kidney disease, and other cardiovascular risk factors. </w:t>
            </w:r>
          </w:p>
        </w:tc>
      </w:tr>
    </w:tbl>
    <w:p>
      <w:pPr>
        <w:pStyle w:val="TextBody"/>
        <w:bidi w:val="0"/>
        <w:spacing w:before="12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Despite Above-Target Results for 2024 Short-Term Incentive Compensation Objectives, Our Compensation Committee Reduced 2024 Short-Term Incentive Program Payouts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We achieved above-target results for 2024 under the objectives established in early 2024 under our short-term incentive program. Despite these results, our Board and Compensation Committee exercised negative discretion to reduce payouts to our executive team considering the warning letter and import alert relating to our facility in Indore, India, which was received in late 2024. In addition, in establishing short-term incentive program targets for 2025, the Board set challenging stretch financial performance targets to encourage financial outperformance in 2025. The Board believes that these actions were appropriate to further align management with share price performance and to encourage management to work expeditiously to resolve the issues relating to this facility.</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3" w:name="ny20042022x3_10ka_105-cda_pg4"/>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2024 short-term incentive results included: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pPr>
            <w:r>
              <w:rPr>
                <w:rFonts w:ascii="Arial;Helvetica;sans-serif" w:hAnsi="Arial;Helvetica;sans-serif"/>
                <w:color w:val="404040"/>
                <w:sz w:val="20"/>
              </w:rPr>
              <w:t xml:space="preserve">Above-target adjusted EBITDA and free cash flow, relative to short-term incentive objectives, driven by the focus and efforts of the Company’s management and the success of the Company’s cash optimization efforts. For more information on and the differences between how adjusted EBITDA and free cash flow are calculated for purposes of the Company’s 2024 short-term incentive compensation and public reporting purposes, see “Elements of 2024 Compensation – 2024 Annual Incentive Compensation Program – Annual Incentive Compensation Awards for 2024” on page </w:t>
            </w:r>
            <w:hyperlink w:anchor="tAICA">
              <w:r>
                <w:rPr>
                  <w:rStyle w:val="InternetLink"/>
                  <w:rFonts w:ascii="Arial;Helvetica;sans-serif" w:hAnsi="Arial;Helvetica;sans-serif"/>
                  <w:color w:val="000080"/>
                  <w:sz w:val="20"/>
                </w:rPr>
                <w:t>30</w:t>
              </w:r>
            </w:hyperlink>
            <w:r>
              <w:rPr>
                <w:rFonts w:ascii="Arial;Helvetica;sans-serif" w:hAnsi="Arial;Helvetica;sans-serif"/>
                <w:color w:val="40404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Above-target global product submissions, across broad and therapeutic-area agnostic product categories, driven by the strength of the Company’s development programs and successful acceleration of certain additional submissions. </w:t>
            </w:r>
          </w:p>
        </w:tc>
      </w:tr>
    </w:tbl>
    <w:p>
      <w:pPr>
        <w:pStyle w:val="TextBody"/>
        <w:bidi w:val="0"/>
        <w:spacing w:before="20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Executive Transitions in 2024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Sanjeev Narula, our former Chief Financial Officer, departed from the Company effective March 5, 2024. Mr. Narula received severance benefits based on a termination without cause equal to two times his base salary and target bonus. Mr. Narula also received a pro rata bonus for 2024 and a pro rata portion of his PRSUs granted in 2022 reflecting his period of executive service. Mr. Narula is also eligible to receive a pro rata portion of his PRSUs granted in 2023 based on actual performance at the end of the applicable performance period in 2025. Other, unvested equity awards that Mr. Narula held as of his separation were forfeited.</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Company appointed Ms. Mistras to serve as CFO beginning March 1, 2024 and Dr. Le Goff to serve as Chief Commercial Officer beginning April 15, 2024. </w:t>
      </w:r>
    </w:p>
    <w:p>
      <w:pPr>
        <w:pStyle w:val="TextBody"/>
        <w:bidi w:val="0"/>
        <w:spacing w:before="280" w:after="283"/>
        <w:ind w:left="0" w:right="0" w:hanging="0"/>
        <w:jc w:val="left"/>
        <w:rPr>
          <w:rFonts w:ascii="Arial;Helvetica;sans-serif" w:hAnsi="Arial;Helvetica;sans-serif"/>
          <w:b/>
          <w:color w:val="26215F"/>
          <w:sz w:val="24"/>
        </w:rPr>
      </w:pPr>
      <w:bookmarkStart w:id="64" w:name="tECP"/>
      <w:bookmarkEnd w:id="64"/>
      <w:r>
        <w:rPr>
          <w:rFonts w:ascii="Arial;Helvetica;sans-serif" w:hAnsi="Arial;Helvetica;sans-serif"/>
          <w:b/>
          <w:color w:val="26215F"/>
          <w:sz w:val="24"/>
        </w:rPr>
        <w:t xml:space="preserve">Executive Compensation Philosophy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FFF8DD" w:val="clear"/>
            <w:vAlign w:val="center"/>
          </w:tcPr>
          <w:p>
            <w:pPr>
              <w:pStyle w:val="TableContents"/>
              <w:bidi w:val="0"/>
              <w:spacing w:before="0" w:after="0"/>
              <w:jc w:val="left"/>
              <w:rPr/>
            </w:pPr>
            <w:r>
              <w:rPr/>
              <w:t> </w:t>
            </w:r>
          </w:p>
        </w:tc>
        <w:tc>
          <w:tcPr>
            <w:tcW w:w="9805" w:type="dxa"/>
            <w:tcBorders/>
            <w:shd w:fill="FFF8DD" w:val="clear"/>
            <w:vAlign w:val="center"/>
          </w:tcPr>
          <w:p>
            <w:pPr>
              <w:pStyle w:val="TableContents"/>
              <w:bidi w:val="0"/>
              <w:spacing w:before="0" w:after="0"/>
              <w:jc w:val="left"/>
              <w:rPr/>
            </w:pPr>
            <w:r>
              <w:rPr/>
              <w:t> </w:t>
            </w:r>
          </w:p>
        </w:tc>
        <w:tc>
          <w:tcPr>
            <w:tcW w:w="215" w:type="dxa"/>
            <w:tcBorders/>
            <w:shd w:fill="FFF8DD" w:val="clear"/>
            <w:vAlign w:val="center"/>
          </w:tcPr>
          <w:p>
            <w:pPr>
              <w:pStyle w:val="TableContents"/>
              <w:bidi w:val="0"/>
              <w:spacing w:before="0" w:after="0"/>
              <w:jc w:val="left"/>
              <w:rPr/>
            </w:pPr>
            <w:r>
              <w:rPr/>
              <w:t> </w:t>
            </w:r>
          </w:p>
        </w:tc>
      </w:tr>
      <w:tr>
        <w:trPr/>
        <w:tc>
          <w:tcPr>
            <w:tcW w:w="185" w:type="dxa"/>
            <w:tcBorders/>
            <w:shd w:fill="FFF8DD" w:val="clear"/>
            <w:vAlign w:val="center"/>
          </w:tcPr>
          <w:p>
            <w:pPr>
              <w:pStyle w:val="TableContents"/>
              <w:bidi w:val="0"/>
              <w:spacing w:before="0" w:after="0"/>
              <w:jc w:val="left"/>
              <w:rPr/>
            </w:pPr>
            <w:r>
              <w:rPr/>
              <w:t> </w:t>
            </w:r>
          </w:p>
        </w:tc>
        <w:tc>
          <w:tcPr>
            <w:tcW w:w="9805" w:type="dxa"/>
            <w:tcBorders/>
            <w:shd w:fill="FFF8DD" w:val="clear"/>
            <w:vAlign w:val="center"/>
          </w:tcPr>
          <w:p>
            <w:pPr>
              <w:pStyle w:val="TableContents"/>
              <w:bidi w:val="0"/>
              <w:spacing w:lineRule="atLeast" w:line="250" w:before="0" w:after="283"/>
              <w:ind w:left="4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and Board’s compensation philosophy for 2024 supports the Company’s performance-based, shareholder-value-focused business model and is intended to help ensure that Viatris continues to attract and retain high-performing executives given the highly competitive market for executive talent. The compensation program has the following key objectives, among others: </w:t>
            </w:r>
          </w:p>
          <w:p>
            <w:pPr>
              <w:pStyle w:val="TableContents"/>
              <w:bidi w:val="0"/>
              <w:spacing w:lineRule="atLeast" w:line="250" w:before="80" w:after="283"/>
              <w:ind w:left="40" w:right="0" w:hanging="0"/>
              <w:jc w:val="both"/>
              <w:rPr>
                <w:color w:val="404040"/>
              </w:rPr>
            </w:pPr>
            <w:r>
              <w:rPr>
                <w:color w:val="404040"/>
              </w:rPr>
              <w:t> • </w:t>
            </w:r>
          </w:p>
          <w:p>
            <w:pPr>
              <w:pStyle w:val="TableContents"/>
              <w:bidi w:val="0"/>
              <w:spacing w:lineRule="atLeast" w:line="250" w:before="80" w:after="283"/>
              <w:jc w:val="both"/>
              <w:rPr>
                <w:rFonts w:ascii="Arial;Helvetica;sans-serif" w:hAnsi="Arial;Helvetica;sans-serif"/>
                <w:color w:val="404040"/>
                <w:sz w:val="20"/>
              </w:rPr>
            </w:pPr>
            <w:r>
              <w:rPr>
                <w:rFonts w:ascii="Arial;Helvetica;sans-serif" w:hAnsi="Arial;Helvetica;sans-serif"/>
                <w:b/>
                <w:color w:val="8B5997"/>
                <w:sz w:val="20"/>
              </w:rPr>
              <w:t>Attract, Motivate, and Retain Highly-Skilled Executives.</w:t>
            </w:r>
            <w:r>
              <w:rPr>
                <w:rFonts w:ascii="Arial;Helvetica;sans-serif" w:hAnsi="Arial;Helvetica;sans-serif"/>
                <w:color w:val="404040"/>
                <w:sz w:val="20"/>
              </w:rPr>
              <w:t xml:space="preserve"> To attract and retain the leaders needed to execute our ambitious goals, we provide market competitive compensation with an emphasis on performance-based, long-term incentives. We designed our compensation program to help ensure that the Company, shareholders, and other stakeholders continue to benefit from the talents of our leadership team and global workforce, while also recruiting new talent on an on-going basis in a highly competitive market for talent. </w:t>
            </w:r>
          </w:p>
          <w:p>
            <w:pPr>
              <w:pStyle w:val="TableContents"/>
              <w:bidi w:val="0"/>
              <w:spacing w:lineRule="atLeast" w:line="250" w:before="80" w:after="283"/>
              <w:ind w:left="40" w:right="0" w:hanging="0"/>
              <w:jc w:val="both"/>
              <w:rPr>
                <w:color w:val="404040"/>
              </w:rPr>
            </w:pPr>
            <w:r>
              <w:rPr>
                <w:color w:val="404040"/>
              </w:rPr>
              <w:t> • </w:t>
            </w:r>
          </w:p>
          <w:p>
            <w:pPr>
              <w:pStyle w:val="TableContents"/>
              <w:bidi w:val="0"/>
              <w:spacing w:lineRule="atLeast" w:line="250" w:before="80" w:after="283"/>
              <w:jc w:val="both"/>
              <w:rPr>
                <w:rFonts w:ascii="Arial;Helvetica;sans-serif" w:hAnsi="Arial;Helvetica;sans-serif"/>
                <w:color w:val="404040"/>
                <w:sz w:val="20"/>
              </w:rPr>
            </w:pPr>
            <w:r>
              <w:rPr>
                <w:rFonts w:ascii="Arial;Helvetica;sans-serif" w:hAnsi="Arial;Helvetica;sans-serif"/>
                <w:b/>
                <w:color w:val="8B5997"/>
                <w:sz w:val="20"/>
              </w:rPr>
              <w:t>Align with Shareholder Interests.</w:t>
            </w:r>
            <w:r>
              <w:rPr>
                <w:rFonts w:ascii="Arial;Helvetica;sans-serif" w:hAnsi="Arial;Helvetica;sans-serif"/>
                <w:color w:val="404040"/>
                <w:sz w:val="20"/>
              </w:rPr>
              <w:t xml:space="preserve"> We align executive compensation with shareholder interests by linking pay to the Company’s stated strategic priorities, long-term performance, and share price appreciation, including through the use of a relative TSR modifier for PRSUs in our long-term incentive plan and robust share ownership requirements. We believe this linkage helps drive long-term performance and encourages decision making to foster share price appreciation. </w:t>
            </w:r>
          </w:p>
          <w:p>
            <w:pPr>
              <w:pStyle w:val="TableContents"/>
              <w:bidi w:val="0"/>
              <w:spacing w:lineRule="atLeast" w:line="250" w:before="80" w:after="283"/>
              <w:ind w:left="40" w:right="0" w:hanging="0"/>
              <w:jc w:val="both"/>
              <w:rPr>
                <w:color w:val="404040"/>
              </w:rPr>
            </w:pPr>
            <w:r>
              <w:rPr>
                <w:color w:val="404040"/>
              </w:rPr>
              <w:t> • </w:t>
            </w:r>
          </w:p>
          <w:p>
            <w:pPr>
              <w:pStyle w:val="TableContents"/>
              <w:bidi w:val="0"/>
              <w:spacing w:lineRule="atLeast" w:line="250" w:before="80" w:after="283"/>
              <w:jc w:val="both"/>
              <w:rPr/>
            </w:pPr>
            <w:r>
              <w:rPr>
                <w:rFonts w:ascii="Arial;Helvetica;sans-serif" w:hAnsi="Arial;Helvetica;sans-serif"/>
                <w:b/>
                <w:color w:val="8B5997"/>
                <w:sz w:val="20"/>
              </w:rPr>
              <w:t>Drive Company Performance.</w:t>
            </w:r>
            <w:r>
              <w:rPr>
                <w:rFonts w:ascii="Arial;Helvetica;sans-serif" w:hAnsi="Arial;Helvetica;sans-serif"/>
                <w:color w:val="404040"/>
                <w:sz w:val="20"/>
              </w:rPr>
              <w:t xml:space="preserve"> As described in more detail on pages </w:t>
            </w:r>
            <w:hyperlink w:anchor="tCDA">
              <w:r>
                <w:rPr>
                  <w:rStyle w:val="InternetLink"/>
                  <w:rFonts w:ascii="Arial;Helvetica;sans-serif" w:hAnsi="Arial;Helvetica;sans-serif"/>
                  <w:color w:val="000080"/>
                  <w:sz w:val="20"/>
                </w:rPr>
                <w:t>25</w:t>
              </w:r>
            </w:hyperlink>
            <w:r>
              <w:rPr>
                <w:rFonts w:ascii="Arial;Helvetica;sans-serif" w:hAnsi="Arial;Helvetica;sans-serif"/>
                <w:color w:val="404040"/>
                <w:sz w:val="20"/>
              </w:rPr>
              <w:t xml:space="preserve"> and </w:t>
            </w:r>
            <w:hyperlink w:anchor="tPBC">
              <w:r>
                <w:rPr>
                  <w:rStyle w:val="InternetLink"/>
                  <w:rFonts w:ascii="Arial;Helvetica;sans-serif" w:hAnsi="Arial;Helvetica;sans-serif"/>
                  <w:color w:val="000080"/>
                  <w:sz w:val="20"/>
                </w:rPr>
                <w:t>29</w:t>
              </w:r>
            </w:hyperlink>
            <w:r>
              <w:rPr>
                <w:rFonts w:ascii="Arial;Helvetica;sans-serif" w:hAnsi="Arial;Helvetica;sans-serif"/>
                <w:color w:val="404040"/>
                <w:sz w:val="20"/>
              </w:rPr>
              <w:t xml:space="preserve"> to </w:t>
            </w:r>
            <w:hyperlink w:anchor="tVCD">
              <w:r>
                <w:rPr>
                  <w:rStyle w:val="InternetLink"/>
                  <w:rFonts w:ascii="Arial;Helvetica;sans-serif" w:hAnsi="Arial;Helvetica;sans-serif"/>
                  <w:color w:val="000080"/>
                  <w:sz w:val="20"/>
                </w:rPr>
                <w:t>34</w:t>
              </w:r>
            </w:hyperlink>
            <w:r>
              <w:rPr>
                <w:rFonts w:ascii="Arial;Helvetica;sans-serif" w:hAnsi="Arial;Helvetica;sans-serif"/>
                <w:color w:val="404040"/>
                <w:sz w:val="20"/>
              </w:rPr>
              <w:t>, our 2024 compensation program was designed with metrics carefully linked to our business strategies and financial goals. If the Company does not meet its short- and long-term objectives, executive pay is meaningfully impacted.</w:t>
            </w:r>
          </w:p>
        </w:tc>
        <w:tc>
          <w:tcPr>
            <w:tcW w:w="215" w:type="dxa"/>
            <w:tcBorders/>
            <w:shd w:fill="FFF8DD" w:val="clear"/>
            <w:vAlign w:val="center"/>
          </w:tcPr>
          <w:p>
            <w:pPr>
              <w:pStyle w:val="TableContents"/>
              <w:bidi w:val="0"/>
              <w:spacing w:before="0" w:after="0"/>
              <w:jc w:val="left"/>
              <w:rPr/>
            </w:pPr>
            <w:r>
              <w:rPr/>
              <w:t> </w:t>
            </w:r>
          </w:p>
        </w:tc>
      </w:tr>
      <w:tr>
        <w:trPr/>
        <w:tc>
          <w:tcPr>
            <w:tcW w:w="185" w:type="dxa"/>
            <w:tcBorders/>
            <w:shd w:fill="FFF8DD" w:val="clear"/>
            <w:vAlign w:val="center"/>
          </w:tcPr>
          <w:p>
            <w:pPr>
              <w:pStyle w:val="TableContents"/>
              <w:bidi w:val="0"/>
              <w:spacing w:before="0" w:after="0"/>
              <w:jc w:val="left"/>
              <w:rPr/>
            </w:pPr>
            <w:r>
              <w:rPr/>
              <w:t> </w:t>
            </w:r>
          </w:p>
        </w:tc>
        <w:tc>
          <w:tcPr>
            <w:tcW w:w="9805" w:type="dxa"/>
            <w:tcBorders/>
            <w:shd w:fill="FFF8DD" w:val="clear"/>
            <w:vAlign w:val="center"/>
          </w:tcPr>
          <w:p>
            <w:pPr>
              <w:pStyle w:val="TableContents"/>
              <w:bidi w:val="0"/>
              <w:spacing w:before="0" w:after="0"/>
              <w:jc w:val="left"/>
              <w:rPr/>
            </w:pPr>
            <w:r>
              <w:rPr/>
              <w:t> </w:t>
            </w:r>
          </w:p>
        </w:tc>
        <w:tc>
          <w:tcPr>
            <w:tcW w:w="215" w:type="dxa"/>
            <w:tcBorders/>
            <w:shd w:fill="FFF8DD" w:val="cle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5" w:name="ny20042022x3_10ka_105-cda_pg5"/>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666666"/>
          <w:sz w:val="28"/>
        </w:rPr>
      </w:pPr>
      <w:bookmarkStart w:id="66" w:name="tPBC"/>
      <w:bookmarkEnd w:id="66"/>
      <w:r>
        <w:rPr>
          <w:rFonts w:ascii="Arial;Helvetica;sans-serif" w:hAnsi="Arial;Helvetica;sans-serif"/>
          <w:b/>
          <w:color w:val="666666"/>
          <w:sz w:val="28"/>
        </w:rPr>
        <w:t xml:space="preserve">2024 Performance-Based Compensation Program </w:t>
      </w:r>
    </w:p>
    <w:p>
      <w:pPr>
        <w:pStyle w:val="TextBody"/>
        <w:bidi w:val="0"/>
        <w:spacing w:before="230" w:after="283"/>
        <w:ind w:left="0" w:right="0" w:hanging="0"/>
        <w:jc w:val="left"/>
        <w:rPr>
          <w:rFonts w:ascii="Arial;Helvetica;sans-serif" w:hAnsi="Arial;Helvetica;sans-serif"/>
          <w:b/>
          <w:color w:val="26215F"/>
          <w:sz w:val="20"/>
        </w:rPr>
      </w:pPr>
      <w:bookmarkStart w:id="67" w:name="tTTC"/>
      <w:bookmarkEnd w:id="67"/>
      <w:r>
        <w:rPr>
          <w:rFonts w:ascii="Arial;Helvetica;sans-serif" w:hAnsi="Arial;Helvetica;sans-serif"/>
          <w:b/>
          <w:color w:val="26215F"/>
          <w:sz w:val="20"/>
        </w:rPr>
        <w:t xml:space="preserve">2024 Total Target Compensation </w:t>
      </w:r>
    </w:p>
    <w:p>
      <w:pPr>
        <w:pStyle w:val="TextBody"/>
        <w:bidi w:val="0"/>
        <w:spacing w:before="21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chart below shows the total target compensation opportunity for each of our active NEOs in 2024. </w:t>
      </w:r>
    </w:p>
    <w:tbl>
      <w:tblPr>
        <w:tblW w:w="7785" w:type="dxa"/>
        <w:jc w:val="left"/>
        <w:tblInd w:w="0" w:type="dxa"/>
        <w:tblLayout w:type="fixed"/>
        <w:tblCellMar>
          <w:top w:w="0" w:type="dxa"/>
          <w:left w:w="0" w:type="dxa"/>
          <w:bottom w:w="0" w:type="dxa"/>
          <w:right w:w="0" w:type="dxa"/>
        </w:tblCellMar>
      </w:tblPr>
      <w:tblGrid>
        <w:gridCol w:w="185"/>
        <w:gridCol w:w="1565"/>
        <w:gridCol w:w="170"/>
        <w:gridCol w:w="170"/>
        <w:gridCol w:w="980"/>
        <w:gridCol w:w="170"/>
        <w:gridCol w:w="170"/>
        <w:gridCol w:w="980"/>
        <w:gridCol w:w="170"/>
        <w:gridCol w:w="170"/>
        <w:gridCol w:w="980"/>
        <w:gridCol w:w="170"/>
        <w:gridCol w:w="170"/>
        <w:gridCol w:w="1520"/>
        <w:gridCol w:w="215"/>
      </w:tblGrid>
      <w:tr>
        <w:trPr/>
        <w:tc>
          <w:tcPr>
            <w:tcW w:w="185" w:type="dxa"/>
            <w:tcBorders/>
            <w:shd w:fill="722981" w:val="clear"/>
            <w:vAlign w:val="center"/>
          </w:tcPr>
          <w:p>
            <w:pPr>
              <w:pStyle w:val="TableContents"/>
              <w:bidi w:val="0"/>
              <w:spacing w:before="0" w:after="0"/>
              <w:jc w:val="left"/>
              <w:rPr/>
            </w:pPr>
            <w:r>
              <w:rPr/>
              <w:t> </w:t>
            </w:r>
          </w:p>
        </w:tc>
        <w:tc>
          <w:tcPr>
            <w:tcW w:w="156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520"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56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NEO</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Base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Salary</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Target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Annual</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Incentive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Target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Long-Term</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Incentive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52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2024 Total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Target</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Compensation</w:t>
            </w:r>
            <w:r>
              <w:rPr>
                <w:rFonts w:ascii="Arial;Helvetica;sans-serif" w:hAnsi="Arial;Helvetica;sans-serif"/>
                <w:b/>
                <w:color w:val="FFFFFF"/>
                <w:position w:val="6"/>
                <w:sz w:val="14"/>
                <w:sz w:val="18"/>
              </w:rPr>
              <w:t>(1)</w:t>
            </w:r>
            <w:r>
              <w:rPr>
                <w:rFonts w:ascii="Arial;Helvetica;sans-serif" w:hAnsi="Arial;Helvetica;sans-serif"/>
                <w:b/>
                <w:color w:val="FFFFFF"/>
                <w:sz w:val="18"/>
              </w:rPr>
              <w:t xml:space="preserve">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Scott A. Smith</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$1,400,000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$2,100,000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13" w:right="0" w:hanging="0"/>
              <w:jc w:val="left"/>
              <w:rPr>
                <w:rFonts w:ascii="Arial;Helvetica;sans-serif" w:hAnsi="Arial;Helvetica;sans-serif"/>
                <w:color w:val="000000"/>
                <w:sz w:val="18"/>
              </w:rPr>
            </w:pPr>
            <w:r>
              <w:rPr>
                <w:rFonts w:ascii="Arial;Helvetica;sans-serif" w:hAnsi="Arial;Helvetica;sans-serif"/>
                <w:color w:val="000000"/>
                <w:sz w:val="18"/>
              </w:rPr>
              <w:t>$9,800,000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520" w:type="dxa"/>
            <w:tcBorders/>
            <w:shd w:fill="E6E6E6" w:val="clear"/>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 xml:space="preserve">$13,300,000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3" w:right="0" w:hanging="0"/>
              <w:jc w:val="left"/>
              <w:rPr>
                <w:rFonts w:ascii="Arial;Helvetica;sans-serif" w:hAnsi="Arial;Helvetica;sans-serif"/>
                <w:color w:val="000000"/>
                <w:sz w:val="18"/>
              </w:rPr>
            </w:pPr>
            <w:r>
              <w:rPr>
                <w:rFonts w:ascii="Arial;Helvetica;sans-serif" w:hAnsi="Arial;Helvetica;sans-serif"/>
                <w:color w:val="000000"/>
                <w:sz w:val="18"/>
              </w:rPr>
              <w:t>$3,300,000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 xml:space="preserve">$4,950,000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Corinne Le Goff</w:t>
            </w:r>
            <w:r>
              <w:rPr>
                <w:rFonts w:ascii="Arial;Helvetica;sans-serif" w:hAnsi="Arial;Helvetica;sans-serif"/>
                <w:b/>
                <w:color w:val="000000"/>
                <w:position w:val="6"/>
                <w:sz w:val="14"/>
                <w:sz w:val="18"/>
              </w:rPr>
              <w:t>(2)</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$875,000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$875,000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13" w:right="0" w:hanging="0"/>
              <w:jc w:val="left"/>
              <w:rPr>
                <w:rFonts w:ascii="Arial;Helvetica;sans-serif" w:hAnsi="Arial;Helvetica;sans-serif"/>
                <w:color w:val="000000"/>
                <w:sz w:val="18"/>
              </w:rPr>
            </w:pPr>
            <w:r>
              <w:rPr>
                <w:rFonts w:ascii="Arial;Helvetica;sans-serif" w:hAnsi="Arial;Helvetica;sans-serif"/>
                <w:color w:val="000000"/>
                <w:sz w:val="18"/>
              </w:rPr>
              <w:t>$3,500,000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520" w:type="dxa"/>
            <w:tcBorders/>
            <w:shd w:fill="E6E6E6" w:val="clear"/>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 xml:space="preserve">$5,250,000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Brian Roman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3" w:right="0" w:hanging="0"/>
              <w:jc w:val="left"/>
              <w:rPr>
                <w:rFonts w:ascii="Arial;Helvetica;sans-serif" w:hAnsi="Arial;Helvetica;sans-serif"/>
                <w:color w:val="000000"/>
                <w:sz w:val="18"/>
              </w:rPr>
            </w:pPr>
            <w:r>
              <w:rPr>
                <w:rFonts w:ascii="Arial;Helvetica;sans-serif" w:hAnsi="Arial;Helvetica;sans-serif"/>
                <w:color w:val="000000"/>
                <w:sz w:val="18"/>
              </w:rPr>
              <w:t>$2,475,000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 xml:space="preserve">$4,125,000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Paul Campbell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$725,000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$725,000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13" w:right="0" w:hanging="0"/>
              <w:jc w:val="left"/>
              <w:rPr>
                <w:rFonts w:ascii="Arial;Helvetica;sans-serif" w:hAnsi="Arial;Helvetica;sans-serif"/>
                <w:color w:val="000000"/>
                <w:sz w:val="18"/>
              </w:rPr>
            </w:pPr>
            <w:r>
              <w:rPr>
                <w:rFonts w:ascii="Arial;Helvetica;sans-serif" w:hAnsi="Arial;Helvetica;sans-serif"/>
                <w:color w:val="000000"/>
                <w:sz w:val="18"/>
              </w:rPr>
              <w:t>$1,812,500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520" w:type="dxa"/>
            <w:tcBorders/>
            <w:shd w:fill="E6E6E6" w:val="clear"/>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$3,262,500</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520"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075" w:type="dxa"/>
        <w:jc w:val="left"/>
        <w:tblInd w:w="0" w:type="dxa"/>
        <w:tblLayout w:type="fixed"/>
        <w:tblCellMar>
          <w:top w:w="0" w:type="dxa"/>
          <w:left w:w="0" w:type="dxa"/>
          <w:bottom w:w="0" w:type="dxa"/>
          <w:right w:w="0" w:type="dxa"/>
        </w:tblCellMar>
      </w:tblPr>
      <w:tblGrid>
        <w:gridCol w:w="275"/>
        <w:gridCol w:w="9800"/>
      </w:tblGrid>
      <w:tr>
        <w:trPr/>
        <w:tc>
          <w:tcPr>
            <w:tcW w:w="2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80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2024 Total Target Compensation equals the sum of base salary, target annual incentive, and target long-term incentive.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9967"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Dr. Le Goff became Chief Commercial Officer of the Company effective April 15, 2024. The target annual incentive amount listed above for Dr. Le Goff was prorated to reflect the number of days she served as an active employee during 2024 in calculating the payout of the 2024 cash incentive. </w:t>
            </w:r>
          </w:p>
        </w:tc>
      </w:tr>
    </w:tbl>
    <w:p>
      <w:pPr>
        <w:pStyle w:val="TextBody"/>
        <w:bidi w:val="0"/>
        <w:spacing w:before="290" w:after="283"/>
        <w:ind w:left="0" w:right="0" w:hanging="0"/>
        <w:jc w:val="left"/>
        <w:rPr>
          <w:rFonts w:ascii="Arial;Helvetica;sans-serif" w:hAnsi="Arial;Helvetica;sans-serif"/>
          <w:b/>
          <w:color w:val="26215F"/>
          <w:sz w:val="20"/>
        </w:rPr>
      </w:pPr>
      <w:bookmarkStart w:id="68" w:name="tCFS"/>
      <w:bookmarkEnd w:id="68"/>
      <w:r>
        <w:rPr>
          <w:rFonts w:ascii="Arial;Helvetica;sans-serif" w:hAnsi="Arial;Helvetica;sans-serif"/>
          <w:b/>
          <w:color w:val="26215F"/>
          <w:sz w:val="20"/>
        </w:rPr>
        <w:t xml:space="preserve">Considerations for Setting 2024 Incentive Performance Goals </w:t>
      </w:r>
    </w:p>
    <w:p>
      <w:pPr>
        <w:pStyle w:val="TextBody"/>
        <w:bidi w:val="0"/>
        <w:spacing w:lineRule="atLeast" w:line="270"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In setting annual and long-term incentive performance goals, the Compensation Committee considered a variety of information, including potential divestitures, industry forecasts, internal projections, demographic data, advice from outside advisors, and the Company’s annual operating plan and strategies. The Compensation Committee also considered the variability and cyclicality of the business, noting that targets may increase or decrease from year-to-year due to factors impacting the business, such as market conditions, the regulatory environment, timing of product approvals, and both immediate and long-term strategic priorities of the business. Although the targets may vary from year-to-year, the Compensation Committee is committed to maintaining high levels of rigor while motivating the executive team and aligning with long-term sustainable business development and shareholder value creation. Consistent with our philosophy of driving long-term company performance, the Compensation Committee, with the advice of its independent compensation consultant, annually considers potential alternative performance metrics that link to our strategy and align with shareholder interests in long-term value creation. </w:t>
      </w:r>
    </w:p>
    <w:p>
      <w:pPr>
        <w:pStyle w:val="TextBody"/>
        <w:bidi w:val="0"/>
        <w:spacing w:before="310" w:after="283"/>
        <w:ind w:left="0" w:right="0" w:hanging="0"/>
        <w:jc w:val="left"/>
        <w:rPr>
          <w:rFonts w:ascii="Arial;Helvetica;sans-serif" w:hAnsi="Arial;Helvetica;sans-serif"/>
          <w:b/>
          <w:color w:val="26215F"/>
          <w:sz w:val="20"/>
        </w:rPr>
      </w:pPr>
      <w:bookmarkStart w:id="69" w:name="tPG"/>
      <w:bookmarkEnd w:id="69"/>
      <w:r>
        <w:rPr>
          <w:rFonts w:ascii="Arial;Helvetica;sans-serif" w:hAnsi="Arial;Helvetica;sans-serif"/>
          <w:b/>
          <w:color w:val="26215F"/>
          <w:sz w:val="20"/>
        </w:rPr>
        <w:t xml:space="preserve">2024 Peer Group </w:t>
      </w:r>
    </w:p>
    <w:p>
      <w:pPr>
        <w:pStyle w:val="TextBody"/>
        <w:bidi w:val="0"/>
        <w:spacing w:lineRule="atLeast" w:line="270"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The peer group is used as one of several reference points for determining executive compensation and includes Viatris’ business competitors and companies that Viatris competes with for executive talent. Although the competitive market for our executives is one factor the Compensation Committee considers when making compensation decisions, the Compensation Committee does not target the compensation of NEOs within a specific percentile of any set of peer companies and considers peer group and industry data along with many other factors when determining compensation.</w:t>
      </w:r>
    </w:p>
    <w:p>
      <w:pPr>
        <w:pStyle w:val="TextBody"/>
        <w:bidi w:val="0"/>
        <w:spacing w:lineRule="atLeast" w:line="270"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Below is the peer group selected by the Compensation Committee for 2024, with the advice of the Compensation Committee’s independent compensation consultant. </w:t>
      </w:r>
    </w:p>
    <w:p>
      <w:pPr>
        <w:pStyle w:val="Normal"/>
        <w:bidi w:val="0"/>
        <w:spacing w:before="0" w:after="0"/>
        <w:ind w:left="0" w:right="0" w:hanging="0"/>
        <w:jc w:val="left"/>
        <w:rPr>
          <w:sz w:val="4"/>
          <w:szCs w:val="4"/>
        </w:rPr>
      </w:pPr>
      <w:r>
        <w:rPr>
          <w:sz w:val="4"/>
          <w:szCs w:val="4"/>
        </w:rPr>
      </w:r>
      <w:bookmarkStart w:id="70" w:name="tPG2"/>
      <w:bookmarkStart w:id="71" w:name="tPG2"/>
      <w:bookmarkEnd w:id="71"/>
    </w:p>
    <w:tbl>
      <w:tblPr>
        <w:tblW w:w="9585" w:type="dxa"/>
        <w:jc w:val="left"/>
        <w:tblInd w:w="0" w:type="dxa"/>
        <w:tblLayout w:type="fixed"/>
        <w:tblCellMar>
          <w:top w:w="0" w:type="dxa"/>
          <w:left w:w="0" w:type="dxa"/>
          <w:bottom w:w="0" w:type="dxa"/>
          <w:right w:w="0" w:type="dxa"/>
        </w:tblCellMar>
      </w:tblPr>
      <w:tblGrid>
        <w:gridCol w:w="185"/>
        <w:gridCol w:w="2750"/>
        <w:gridCol w:w="170"/>
        <w:gridCol w:w="170"/>
        <w:gridCol w:w="2750"/>
        <w:gridCol w:w="170"/>
        <w:gridCol w:w="170"/>
        <w:gridCol w:w="3005"/>
        <w:gridCol w:w="215"/>
      </w:tblGrid>
      <w:tr>
        <w:trPr/>
        <w:tc>
          <w:tcPr>
            <w:tcW w:w="185"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300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Abbott Laboratories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Bristol-Myers Squibb Company</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300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Pfizer Inc.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Amgen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Eli Lilly and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Regeneron Pharmaceuticals, Inc.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Bausch Health Companies Inc.</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Gilead Sciences, Inc.</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300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Sanofi S.A.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Baxter International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Novartis AG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Teva Pharmaceutical Limited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Biogen Inc.</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Organon &amp; Co.</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300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Zoetis Inc.</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75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300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29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2" w:name="ny20042022x3_10ka_105-cda_pg6"/>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666666"/>
          <w:sz w:val="28"/>
        </w:rPr>
      </w:pPr>
      <w:bookmarkStart w:id="73" w:name="tEOC"/>
      <w:bookmarkEnd w:id="73"/>
      <w:r>
        <w:rPr>
          <w:rFonts w:ascii="Arial;Helvetica;sans-serif" w:hAnsi="Arial;Helvetica;sans-serif"/>
          <w:b/>
          <w:color w:val="666666"/>
          <w:sz w:val="28"/>
        </w:rPr>
        <w:t xml:space="preserve">Elements of 2024 Compensation </w:t>
      </w:r>
    </w:p>
    <w:p>
      <w:pPr>
        <w:pStyle w:val="TextBody"/>
        <w:bidi w:val="0"/>
        <w:spacing w:before="230" w:after="283"/>
        <w:ind w:left="0" w:right="0" w:hanging="0"/>
        <w:jc w:val="left"/>
        <w:rPr>
          <w:rFonts w:ascii="Arial;Helvetica;sans-serif" w:hAnsi="Arial;Helvetica;sans-serif"/>
          <w:b/>
          <w:color w:val="26215F"/>
          <w:sz w:val="20"/>
        </w:rPr>
      </w:pPr>
      <w:bookmarkStart w:id="74" w:name="tBS"/>
      <w:bookmarkEnd w:id="74"/>
      <w:r>
        <w:rPr>
          <w:rFonts w:ascii="Arial;Helvetica;sans-serif" w:hAnsi="Arial;Helvetica;sans-serif"/>
          <w:b/>
          <w:color w:val="26215F"/>
          <w:sz w:val="20"/>
        </w:rPr>
        <w:t xml:space="preserve">Base Salaries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As reflected in the table below, in 2024, there were adjustments made to base salaries to reflect changes in market data and expanded responsibilities. </w:t>
      </w:r>
    </w:p>
    <w:tbl>
      <w:tblPr>
        <w:tblW w:w="4680" w:type="dxa"/>
        <w:jc w:val="left"/>
        <w:tblInd w:w="0" w:type="dxa"/>
        <w:tblLayout w:type="fixed"/>
        <w:tblCellMar>
          <w:top w:w="0" w:type="dxa"/>
          <w:left w:w="0" w:type="dxa"/>
          <w:bottom w:w="0" w:type="dxa"/>
          <w:right w:w="0" w:type="dxa"/>
        </w:tblCellMar>
      </w:tblPr>
      <w:tblGrid>
        <w:gridCol w:w="185"/>
        <w:gridCol w:w="1565"/>
        <w:gridCol w:w="170"/>
        <w:gridCol w:w="170"/>
        <w:gridCol w:w="1010"/>
        <w:gridCol w:w="170"/>
        <w:gridCol w:w="170"/>
        <w:gridCol w:w="1025"/>
        <w:gridCol w:w="215"/>
      </w:tblGrid>
      <w:tr>
        <w:trPr/>
        <w:tc>
          <w:tcPr>
            <w:tcW w:w="185" w:type="dxa"/>
            <w:tcBorders/>
            <w:shd w:fill="722981" w:val="clear"/>
            <w:vAlign w:val="center"/>
          </w:tcPr>
          <w:p>
            <w:pPr>
              <w:pStyle w:val="TableContents"/>
              <w:bidi w:val="0"/>
              <w:spacing w:before="0" w:after="0"/>
              <w:jc w:val="left"/>
              <w:rPr/>
            </w:pPr>
            <w:r>
              <w:rPr/>
              <w:t> </w:t>
            </w:r>
          </w:p>
        </w:tc>
        <w:tc>
          <w:tcPr>
            <w:tcW w:w="156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1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25"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56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NEO</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1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2023 Base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Salary</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2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2024 Base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Salary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Scott A. Smith</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1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$1,400,000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$1,400,000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Doretta Mistras</w:t>
            </w:r>
            <w:r>
              <w:rPr>
                <w:rFonts w:ascii="Arial;Helvetica;sans-serif" w:hAnsi="Arial;Helvetica;sans-serif"/>
                <w:b/>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$825,000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Corinne Le Goff</w:t>
            </w:r>
            <w:r>
              <w:rPr>
                <w:rFonts w:ascii="Arial;Helvetica;sans-serif" w:hAnsi="Arial;Helvetica;sans-serif"/>
                <w:b/>
                <w:color w:val="000000"/>
                <w:position w:val="6"/>
                <w:sz w:val="14"/>
                <w:sz w:val="18"/>
              </w:rPr>
              <w:t>(1)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1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N/A</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$875,000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Brian Roman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$825,000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Paul Campbell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1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$675,000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$725,000</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1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72"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Ms. Mistras joined the Company as Chief Financial Officer-elect effective January 1, 2024 and became Chief Financial Officer of the Company effective March 1, 2024. Dr. Le Goff joined the Company effective April 15, 2024. The base salary amount listed above for Dr. Le Goff was prorated to reflect the number of days she served as an active employee during 2024. </w:t>
            </w:r>
          </w:p>
        </w:tc>
      </w:tr>
    </w:tbl>
    <w:p>
      <w:pPr>
        <w:pStyle w:val="TextBody"/>
        <w:bidi w:val="0"/>
        <w:spacing w:before="250" w:after="283"/>
        <w:ind w:left="0" w:right="0" w:hanging="0"/>
        <w:jc w:val="left"/>
        <w:rPr>
          <w:rFonts w:ascii="Arial;Helvetica;sans-serif" w:hAnsi="Arial;Helvetica;sans-serif"/>
          <w:b/>
          <w:color w:val="26215F"/>
          <w:sz w:val="24"/>
        </w:rPr>
      </w:pPr>
      <w:bookmarkStart w:id="75" w:name="tAIC"/>
      <w:bookmarkEnd w:id="75"/>
      <w:r>
        <w:rPr>
          <w:rFonts w:ascii="Arial;Helvetica;sans-serif" w:hAnsi="Arial;Helvetica;sans-serif"/>
          <w:b/>
          <w:color w:val="26215F"/>
          <w:sz w:val="24"/>
        </w:rPr>
        <w:t xml:space="preserve">2024 Annual Incentive Compensation Program </w:t>
      </w:r>
    </w:p>
    <w:p>
      <w:pPr>
        <w:pStyle w:val="TextBody"/>
        <w:bidi w:val="0"/>
        <w:spacing w:before="270" w:after="283"/>
        <w:ind w:left="0" w:right="0" w:hanging="0"/>
        <w:jc w:val="left"/>
        <w:rPr>
          <w:rFonts w:ascii="Arial;Helvetica;sans-serif" w:hAnsi="Arial;Helvetica;sans-serif"/>
          <w:b/>
          <w:color w:val="26215F"/>
          <w:sz w:val="20"/>
        </w:rPr>
      </w:pPr>
      <w:bookmarkStart w:id="76" w:name="tAICA"/>
      <w:bookmarkEnd w:id="76"/>
      <w:r>
        <w:rPr>
          <w:rFonts w:ascii="Arial;Helvetica;sans-serif" w:hAnsi="Arial;Helvetica;sans-serif"/>
          <w:b/>
          <w:color w:val="26215F"/>
          <w:sz w:val="20"/>
        </w:rPr>
        <w:t xml:space="preserve">Annual Incentive Compensation Awards for 2024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annual incentive compensation consists of performance-based annual cash awards that are subject to achievement of metrics that were identified by the Board and Compensation Committee as critical to the successful execution of Viatris’ business strategy and aligned with the creation of shareholder value. The metrics link the actions and leadership of our executive team to company performance and shareholder returns, both in the short- and long-term. The Compensation Committee approved annual incentive award grants and corresponding performance targets in the first quarter of 2024.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identified the following metrics as important measures of Company performance relating to its stated strategy: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color w:val="8B5997"/>
                <w:sz w:val="20"/>
              </w:rPr>
              <w:t xml:space="preserve">Adjusted EBITDA (40% Weighting): </w:t>
            </w:r>
            <w:r>
              <w:rPr>
                <w:rFonts w:ascii="Arial;Helvetica;sans-serif" w:hAnsi="Arial;Helvetica;sans-serif"/>
                <w:color w:val="404040"/>
                <w:sz w:val="20"/>
              </w:rPr>
              <w:t xml:space="preserve">Measures the Company’s profitability and motivates the organization to focus on commercial execution and driving new product revenue, maintaining efficiency of our operations, capturing synergies, and disciplined expense management.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color w:val="8B5997"/>
                <w:sz w:val="20"/>
              </w:rPr>
              <w:t xml:space="preserve">Free Cash Flow (40% Weighting): </w:t>
            </w:r>
            <w:r>
              <w:rPr>
                <w:rFonts w:ascii="Arial;Helvetica;sans-serif" w:hAnsi="Arial;Helvetica;sans-serif"/>
                <w:color w:val="404040"/>
                <w:sz w:val="20"/>
              </w:rPr>
              <w:t xml:space="preserve">Creates organizational emphasis and focus on cash through improved cash flow conversion, optimized working capital, and overall cash generation which can increase the return to shareholders.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b/>
                <w:color w:val="8B5997"/>
                <w:sz w:val="20"/>
              </w:rPr>
              <w:t xml:space="preserve">Global Regulatory Submissions (20% Weighting): </w:t>
            </w:r>
            <w:r>
              <w:rPr>
                <w:rFonts w:ascii="Arial;Helvetica;sans-serif" w:hAnsi="Arial;Helvetica;sans-serif"/>
                <w:color w:val="404040"/>
                <w:sz w:val="20"/>
              </w:rPr>
              <w:t xml:space="preserve">Emphasizes the importance of developing a robust pipeline of molecules that Viatris could manufacture and sell over subsequent years. A robust product pipeline can help Viatris move its products up the value chain and also supports sustainability while serving Viatris’ mission of providing access to high quality, affordable medications.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7" w:name="ny20042022x3_10ka_105-cda_pg7"/>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lineRule="atLeast" w:line="274"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Individual annual incentive payout targets were established for each active NEO, expressed as a percentage of base salary, as noted in the table below. Actual payouts could range from 0% to 200% of each NEO’s annual incentive target based on achievement of performance goals. </w:t>
      </w:r>
    </w:p>
    <w:tbl>
      <w:tblPr>
        <w:tblW w:w="6015" w:type="dxa"/>
        <w:jc w:val="left"/>
        <w:tblInd w:w="0" w:type="dxa"/>
        <w:tblLayout w:type="fixed"/>
        <w:tblCellMar>
          <w:top w:w="0" w:type="dxa"/>
          <w:left w:w="0" w:type="dxa"/>
          <w:bottom w:w="0" w:type="dxa"/>
          <w:right w:w="0" w:type="dxa"/>
        </w:tblCellMar>
      </w:tblPr>
      <w:tblGrid>
        <w:gridCol w:w="185"/>
        <w:gridCol w:w="1565"/>
        <w:gridCol w:w="170"/>
        <w:gridCol w:w="170"/>
        <w:gridCol w:w="1895"/>
        <w:gridCol w:w="170"/>
        <w:gridCol w:w="170"/>
        <w:gridCol w:w="1475"/>
        <w:gridCol w:w="215"/>
      </w:tblGrid>
      <w:tr>
        <w:trPr/>
        <w:tc>
          <w:tcPr>
            <w:tcW w:w="185" w:type="dxa"/>
            <w:tcBorders/>
            <w:shd w:fill="722981" w:val="clear"/>
            <w:vAlign w:val="center"/>
          </w:tcPr>
          <w:p>
            <w:pPr>
              <w:pStyle w:val="TableContents"/>
              <w:bidi w:val="0"/>
              <w:spacing w:before="0" w:after="0"/>
              <w:jc w:val="left"/>
              <w:rPr/>
            </w:pPr>
            <w:r>
              <w:rPr/>
              <w:t> </w:t>
            </w:r>
          </w:p>
        </w:tc>
        <w:tc>
          <w:tcPr>
            <w:tcW w:w="156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89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475"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56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NEO</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89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Target</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(as % of Base Salary)</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47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Annual</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Incentive Target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Scott A. Smith</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95" w:type="dxa"/>
            <w:tcBorders/>
            <w:shd w:fill="E6E6E6" w:val="clear"/>
            <w:vAlign w:val="center"/>
          </w:tcPr>
          <w:p>
            <w:pPr>
              <w:pStyle w:val="TableContents"/>
              <w:bidi w:val="0"/>
              <w:spacing w:before="0" w:after="283"/>
              <w:ind w:left="760" w:right="0" w:hanging="0"/>
              <w:jc w:val="left"/>
              <w:rPr>
                <w:rFonts w:ascii="Arial;Helvetica;sans-serif" w:hAnsi="Arial;Helvetica;sans-serif"/>
                <w:color w:val="000000"/>
                <w:sz w:val="18"/>
              </w:rPr>
            </w:pPr>
            <w:r>
              <w:rPr>
                <w:rFonts w:ascii="Arial;Helvetica;sans-serif" w:hAnsi="Arial;Helvetica;sans-serif"/>
                <w:color w:val="000000"/>
                <w:sz w:val="18"/>
              </w:rPr>
              <w:t>150%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75" w:type="dxa"/>
            <w:tcBorders/>
            <w:shd w:fill="E6E6E6" w:val="clear"/>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 xml:space="preserve">$2,100,000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760"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 xml:space="preserve">$825,000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Corinne Le Goff</w:t>
            </w:r>
            <w:r>
              <w:rPr>
                <w:rFonts w:ascii="Arial;Helvetica;sans-serif" w:hAnsi="Arial;Helvetica;sans-serif"/>
                <w:b/>
                <w:color w:val="000000"/>
                <w:position w:val="6"/>
                <w:sz w:val="14"/>
                <w:sz w:val="18"/>
              </w:rPr>
              <w:t>(1)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95" w:type="dxa"/>
            <w:tcBorders/>
            <w:shd w:fill="E6E6E6" w:val="clear"/>
            <w:vAlign w:val="center"/>
          </w:tcPr>
          <w:p>
            <w:pPr>
              <w:pStyle w:val="TableContents"/>
              <w:bidi w:val="0"/>
              <w:spacing w:before="0" w:after="283"/>
              <w:ind w:left="760"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75" w:type="dxa"/>
            <w:tcBorders/>
            <w:shd w:fill="E6E6E6" w:val="clear"/>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 xml:space="preserve">$875,000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Brian Roman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760"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 xml:space="preserve">$825,000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Paul Campbell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95" w:type="dxa"/>
            <w:tcBorders/>
            <w:shd w:fill="E6E6E6" w:val="clear"/>
            <w:vAlign w:val="center"/>
          </w:tcPr>
          <w:p>
            <w:pPr>
              <w:pStyle w:val="TableContents"/>
              <w:bidi w:val="0"/>
              <w:spacing w:before="0" w:after="283"/>
              <w:ind w:left="760"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75" w:type="dxa"/>
            <w:tcBorders/>
            <w:shd w:fill="E6E6E6" w:val="clear"/>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$725,000</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9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7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56"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The annual incentive target amount listed above for Dr. Le Goff was prorated to reflect the number of days she served as an active employee during 2024 in calculating the payout of the 2024 cash incentive. </w:t>
            </w:r>
          </w:p>
        </w:tc>
      </w:tr>
    </w:tbl>
    <w:p>
      <w:pPr>
        <w:pStyle w:val="TextBody"/>
        <w:bidi w:val="0"/>
        <w:spacing w:before="29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Annual Incentive Compensation Payouts for 2024 </w:t>
      </w:r>
    </w:p>
    <w:p>
      <w:pPr>
        <w:pStyle w:val="TextBody"/>
        <w:bidi w:val="0"/>
        <w:spacing w:before="21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In 2024, Viatris achieved the following performance against the Compensation Committee-approved performance goals: </w:t>
      </w:r>
    </w:p>
    <w:tbl>
      <w:tblPr>
        <w:tblW w:w="10205" w:type="dxa"/>
        <w:jc w:val="left"/>
        <w:tblInd w:w="0" w:type="dxa"/>
        <w:tblLayout w:type="fixed"/>
        <w:tblCellMar>
          <w:top w:w="0" w:type="dxa"/>
          <w:left w:w="0" w:type="dxa"/>
          <w:bottom w:w="0" w:type="dxa"/>
          <w:right w:w="0" w:type="dxa"/>
        </w:tblCellMar>
      </w:tblPr>
      <w:tblGrid>
        <w:gridCol w:w="185"/>
        <w:gridCol w:w="2212"/>
        <w:gridCol w:w="170"/>
        <w:gridCol w:w="170"/>
        <w:gridCol w:w="890"/>
        <w:gridCol w:w="170"/>
        <w:gridCol w:w="170"/>
        <w:gridCol w:w="1205"/>
        <w:gridCol w:w="170"/>
        <w:gridCol w:w="170"/>
        <w:gridCol w:w="1205"/>
        <w:gridCol w:w="170"/>
        <w:gridCol w:w="170"/>
        <w:gridCol w:w="1205"/>
        <w:gridCol w:w="170"/>
        <w:gridCol w:w="170"/>
        <w:gridCol w:w="1387"/>
        <w:gridCol w:w="216"/>
      </w:tblGrid>
      <w:tr>
        <w:trPr/>
        <w:tc>
          <w:tcPr>
            <w:tcW w:w="185" w:type="dxa"/>
            <w:tcBorders/>
            <w:shd w:fill="722981" w:val="clear"/>
            <w:vAlign w:val="center"/>
          </w:tcPr>
          <w:p>
            <w:pPr>
              <w:pStyle w:val="TableContents"/>
              <w:bidi w:val="0"/>
              <w:spacing w:before="0" w:after="0"/>
              <w:jc w:val="left"/>
              <w:rPr/>
            </w:pPr>
            <w:r>
              <w:rPr/>
              <w:t> </w:t>
            </w:r>
          </w:p>
        </w:tc>
        <w:tc>
          <w:tcPr>
            <w:tcW w:w="2212"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9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387" w:type="dxa"/>
            <w:tcBorders/>
            <w:shd w:fill="722981" w:val="clear"/>
            <w:vAlign w:val="center"/>
          </w:tcPr>
          <w:p>
            <w:pPr>
              <w:pStyle w:val="TableContents"/>
              <w:bidi w:val="0"/>
              <w:spacing w:before="0" w:after="0"/>
              <w:jc w:val="left"/>
              <w:rPr/>
            </w:pPr>
            <w:r>
              <w:rPr/>
              <w:t> </w:t>
            </w:r>
          </w:p>
        </w:tc>
        <w:tc>
          <w:tcPr>
            <w:tcW w:w="216"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2212"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Metric</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9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Weighting</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Threshold</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Target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Maximum</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387"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Results </w:t>
            </w:r>
          </w:p>
        </w:tc>
        <w:tc>
          <w:tcPr>
            <w:tcW w:w="216"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212"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Adjusted EBITDA*</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90" w:type="dxa"/>
            <w:tcBorders/>
            <w:shd w:fill="E6E6E6" w:val="clear"/>
            <w:vAlign w:val="center"/>
          </w:tcPr>
          <w:p>
            <w:pPr>
              <w:pStyle w:val="TableContents"/>
              <w:bidi w:val="0"/>
              <w:spacing w:before="0" w:after="283"/>
              <w:ind w:left="333" w:right="0" w:hanging="0"/>
              <w:jc w:val="left"/>
              <w:rPr>
                <w:rFonts w:ascii="Arial;Helvetica;sans-serif" w:hAnsi="Arial;Helvetica;sans-serif"/>
                <w:color w:val="000000"/>
                <w:sz w:val="18"/>
              </w:rPr>
            </w:pPr>
            <w:r>
              <w:rPr>
                <w:rFonts w:ascii="Arial;Helvetica;sans-serif" w:hAnsi="Arial;Helvetica;sans-serif"/>
                <w:color w:val="000000"/>
                <w:sz w:val="18"/>
              </w:rPr>
              <w:t>40%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$4,700 million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$4,950 million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$5,200 million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87" w:type="dxa"/>
            <w:tcBorders/>
            <w:shd w:fill="E6E6E6" w:val="cle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$4,974.5 million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12"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Free Cash Flow**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33" w:right="0" w:hanging="0"/>
              <w:jc w:val="left"/>
              <w:rPr>
                <w:rFonts w:ascii="Arial;Helvetica;sans-serif" w:hAnsi="Arial;Helvetica;sans-serif"/>
                <w:color w:val="000000"/>
                <w:sz w:val="18"/>
              </w:rPr>
            </w:pPr>
            <w:r>
              <w:rPr>
                <w:rFonts w:ascii="Arial;Helvetica;sans-serif" w:hAnsi="Arial;Helvetica;sans-serif"/>
                <w:color w:val="000000"/>
                <w:sz w:val="18"/>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$2,500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$2,800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7"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$2,923.8 million </w:t>
            </w:r>
          </w:p>
        </w:tc>
        <w:tc>
          <w:tcPr>
            <w:tcW w:w="216"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212"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Global Regulatory Submissions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90" w:type="dxa"/>
            <w:tcBorders/>
            <w:shd w:fill="E6E6E6" w:val="clear"/>
            <w:vAlign w:val="center"/>
          </w:tcPr>
          <w:p>
            <w:pPr>
              <w:pStyle w:val="TableContents"/>
              <w:bidi w:val="0"/>
              <w:spacing w:before="0" w:after="283"/>
              <w:ind w:left="333" w:right="0" w:hanging="0"/>
              <w:jc w:val="left"/>
              <w:rPr>
                <w:rFonts w:ascii="Arial;Helvetica;sans-serif" w:hAnsi="Arial;Helvetica;sans-serif"/>
                <w:color w:val="000000"/>
                <w:sz w:val="18"/>
              </w:rPr>
            </w:pPr>
            <w:r>
              <w:rPr>
                <w:rFonts w:ascii="Arial;Helvetica;sans-serif" w:hAnsi="Arial;Helvetica;sans-serif"/>
                <w:color w:val="000000"/>
                <w:sz w:val="18"/>
              </w:rPr>
              <w:t>20%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120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140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87" w:type="dxa"/>
            <w:tcBorders/>
            <w:shd w:fill="E6E6E6" w:val="cle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140</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212"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9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87"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w:t>
            </w:r>
          </w:p>
        </w:tc>
        <w:tc>
          <w:tcPr>
            <w:tcW w:w="10080"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Adjusted EBITDA is derived from Viatris’ financial statements in the same manner as Viatris’ publicly reported adjusted EBITDA for 2024, except that the calculation for the 2024 annual incentive program utilized 2024 budgeted foreign exchange rates and further adjusts for all impacts of the Company’s divestitures following their consummation, and acquired in-process research and development (“IPR&amp;D”) costs. Viatris’ adjusted EBITDA as reported for the twelve months ended December 31, 2024 is reconciled to the most directly comparable U.S. GAAP measure in Appendix A. </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w:t>
            </w:r>
          </w:p>
        </w:tc>
        <w:tc>
          <w:tcPr>
            <w:tcW w:w="10070"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Free cash flow is derived from Viatris’ audited financial statements in the same manner as Viatris’ publicly reported free cash flow for 2024, except that the calculation for the 2024 annual incentive program utilized 2024 budgeted foreign exchange rates and further adjusts for transaction costs and taxes primarily related to the Company’s divestitures, all impacts of the Company’s divestitures following their consummation, proceeds from the sale of certain property, plant, and equipment, and material unplanned litigation gains and losses equal or greater than $25 million in the aggregate. Viatris’ free cash flow as reported for the twelve months ended December 31, 2024 is reconciled to the most directly comparable U.S. GAAP measure in Appendix A. </w:t>
            </w:r>
          </w:p>
        </w:tc>
      </w:tr>
    </w:tbl>
    <w:p>
      <w:pPr>
        <w:pStyle w:val="TextBody"/>
        <w:bidi w:val="0"/>
        <w:spacing w:lineRule="atLeast" w:line="274"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performance metrics set forth above resulted in an achieved performance payout reflecting 163.92% of target. Despite these above-target results, our Board and Compensation Committee exercised negative discretion to reduce payouts in light of the warning letter and import alert relating to our facility in Indore, India, which was received in late 2024. In addition, in establishing short-term incentive program targets for 2025, the Board set challenging stretch financial performance targets to encourage financial outperformance in 2025. The Board believes that these actions were appropriate to further align management with share price performance and to incentivize management to work expeditiously to resolve the issues relating to this facility.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ny20042022x3_10ka_105-cda_pg8"/>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lineRule="atLeast" w:line="274"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following table shows the 2024 actual incentive payout for each active NEO reflecting reduced payout of 140% of target instead of 163.92% of target. </w:t>
      </w:r>
    </w:p>
    <w:tbl>
      <w:tblPr>
        <w:tblW w:w="3780" w:type="dxa"/>
        <w:jc w:val="left"/>
        <w:tblInd w:w="0" w:type="dxa"/>
        <w:tblLayout w:type="fixed"/>
        <w:tblCellMar>
          <w:top w:w="0" w:type="dxa"/>
          <w:left w:w="0" w:type="dxa"/>
          <w:bottom w:w="0" w:type="dxa"/>
          <w:right w:w="0" w:type="dxa"/>
        </w:tblCellMar>
      </w:tblPr>
      <w:tblGrid>
        <w:gridCol w:w="185"/>
        <w:gridCol w:w="1565"/>
        <w:gridCol w:w="170"/>
        <w:gridCol w:w="170"/>
        <w:gridCol w:w="1475"/>
        <w:gridCol w:w="215"/>
      </w:tblGrid>
      <w:tr>
        <w:trPr/>
        <w:tc>
          <w:tcPr>
            <w:tcW w:w="185" w:type="dxa"/>
            <w:tcBorders/>
            <w:shd w:fill="722981" w:val="clear"/>
            <w:vAlign w:val="center"/>
          </w:tcPr>
          <w:p>
            <w:pPr>
              <w:pStyle w:val="TableContents"/>
              <w:bidi w:val="0"/>
              <w:spacing w:before="0" w:after="0"/>
              <w:jc w:val="left"/>
              <w:rPr/>
            </w:pPr>
            <w:r>
              <w:rPr/>
              <w:t> </w:t>
            </w:r>
          </w:p>
        </w:tc>
        <w:tc>
          <w:tcPr>
            <w:tcW w:w="156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475"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56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NEO</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47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Actual Annual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Incentive Award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Scott A. Smith</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75" w:type="dxa"/>
            <w:tcBorders/>
            <w:shd w:fill="E6E6E6" w:val="clear"/>
            <w:vAlign w:val="center"/>
          </w:tcPr>
          <w:p>
            <w:pPr>
              <w:pStyle w:val="TableContents"/>
              <w:bidi w:val="0"/>
              <w:spacing w:before="0" w:after="283"/>
              <w:ind w:left="235" w:right="0" w:hanging="0"/>
              <w:jc w:val="left"/>
              <w:rPr>
                <w:rFonts w:ascii="Arial;Helvetica;sans-serif" w:hAnsi="Arial;Helvetica;sans-serif"/>
                <w:color w:val="000000"/>
                <w:sz w:val="18"/>
              </w:rPr>
            </w:pPr>
            <w:r>
              <w:rPr>
                <w:rFonts w:ascii="Arial;Helvetica;sans-serif" w:hAnsi="Arial;Helvetica;sans-serif"/>
                <w:color w:val="000000"/>
                <w:sz w:val="18"/>
              </w:rPr>
              <w:t xml:space="preserve">$2,940,000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35" w:right="0" w:hanging="0"/>
              <w:jc w:val="left"/>
              <w:rPr>
                <w:rFonts w:ascii="Arial;Helvetica;sans-serif" w:hAnsi="Arial;Helvetica;sans-serif"/>
                <w:color w:val="000000"/>
                <w:sz w:val="18"/>
              </w:rPr>
            </w:pPr>
            <w:r>
              <w:rPr>
                <w:rFonts w:ascii="Arial;Helvetica;sans-serif" w:hAnsi="Arial;Helvetica;sans-serif"/>
                <w:color w:val="000000"/>
                <w:sz w:val="18"/>
              </w:rPr>
              <w:t xml:space="preserve">$1,155,000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Corinne Le Goff</w:t>
            </w:r>
            <w:r>
              <w:rPr>
                <w:rFonts w:ascii="Arial;Helvetica;sans-serif" w:hAnsi="Arial;Helvetica;sans-serif"/>
                <w:b/>
                <w:color w:val="000000"/>
                <w:position w:val="6"/>
                <w:sz w:val="14"/>
                <w:sz w:val="18"/>
              </w:rPr>
              <w:t>(1)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75" w:type="dxa"/>
            <w:tcBorders/>
            <w:shd w:fill="E6E6E6" w:val="clear"/>
            <w:vAlign w:val="center"/>
          </w:tcPr>
          <w:p>
            <w:pPr>
              <w:pStyle w:val="TableContents"/>
              <w:bidi w:val="0"/>
              <w:spacing w:before="0" w:after="283"/>
              <w:ind w:left="235" w:right="0" w:hanging="0"/>
              <w:jc w:val="left"/>
              <w:rPr>
                <w:rFonts w:ascii="Arial;Helvetica;sans-serif" w:hAnsi="Arial;Helvetica;sans-serif"/>
                <w:color w:val="000000"/>
                <w:sz w:val="18"/>
              </w:rPr>
            </w:pPr>
            <w:r>
              <w:rPr>
                <w:rFonts w:ascii="Arial;Helvetica;sans-serif" w:hAnsi="Arial;Helvetica;sans-serif"/>
                <w:color w:val="000000"/>
                <w:sz w:val="18"/>
              </w:rPr>
              <w:t xml:space="preserve">$873,566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Brian Roman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35" w:right="0" w:hanging="0"/>
              <w:jc w:val="left"/>
              <w:rPr>
                <w:rFonts w:ascii="Arial;Helvetica;sans-serif" w:hAnsi="Arial;Helvetica;sans-serif"/>
                <w:color w:val="000000"/>
                <w:sz w:val="18"/>
              </w:rPr>
            </w:pPr>
            <w:r>
              <w:rPr>
                <w:rFonts w:ascii="Arial;Helvetica;sans-serif" w:hAnsi="Arial;Helvetica;sans-serif"/>
                <w:color w:val="000000"/>
                <w:sz w:val="18"/>
              </w:rPr>
              <w:t xml:space="preserve">$1,155,000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Paul Campbell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75" w:type="dxa"/>
            <w:tcBorders/>
            <w:shd w:fill="E6E6E6" w:val="clear"/>
            <w:vAlign w:val="center"/>
          </w:tcPr>
          <w:p>
            <w:pPr>
              <w:pStyle w:val="TableContents"/>
              <w:bidi w:val="0"/>
              <w:spacing w:before="0" w:after="283"/>
              <w:ind w:left="235" w:right="0" w:hanging="0"/>
              <w:jc w:val="left"/>
              <w:rPr>
                <w:rFonts w:ascii="Arial;Helvetica;sans-serif" w:hAnsi="Arial;Helvetica;sans-serif"/>
                <w:color w:val="000000"/>
                <w:sz w:val="18"/>
              </w:rPr>
            </w:pPr>
            <w:r>
              <w:rPr>
                <w:rFonts w:ascii="Arial;Helvetica;sans-serif" w:hAnsi="Arial;Helvetica;sans-serif"/>
                <w:color w:val="000000"/>
                <w:sz w:val="18"/>
              </w:rPr>
              <w:t>$1,015,000</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56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7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35"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For Dr. Le Goff, payout represents a prorated amount to reflect the number of days she served as an active employee during 2024. </w:t>
            </w:r>
          </w:p>
        </w:tc>
      </w:tr>
    </w:tbl>
    <w:p>
      <w:pPr>
        <w:pStyle w:val="TextBody"/>
        <w:bidi w:val="0"/>
        <w:spacing w:before="250" w:after="283"/>
        <w:ind w:left="0" w:right="0" w:hanging="0"/>
        <w:jc w:val="left"/>
        <w:rPr>
          <w:rFonts w:ascii="Arial;Helvetica;sans-serif" w:hAnsi="Arial;Helvetica;sans-serif"/>
          <w:b/>
          <w:color w:val="26215F"/>
          <w:sz w:val="24"/>
        </w:rPr>
      </w:pPr>
      <w:bookmarkStart w:id="79" w:name="tLTI"/>
      <w:bookmarkEnd w:id="79"/>
      <w:r>
        <w:rPr>
          <w:rFonts w:ascii="Arial;Helvetica;sans-serif" w:hAnsi="Arial;Helvetica;sans-serif"/>
          <w:b/>
          <w:color w:val="26215F"/>
          <w:sz w:val="24"/>
        </w:rPr>
        <w:t xml:space="preserve">2024 Long-Term Incentive Compensation Programs </w:t>
      </w:r>
    </w:p>
    <w:p>
      <w:pPr>
        <w:pStyle w:val="TextBody"/>
        <w:bidi w:val="0"/>
        <w:spacing w:before="27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Long-Term Incentive Compensation Grants for 2024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believes that the value of long-term incentives should be directly related to the performance of Viatris’ common stock over several years, as well as other measures associated with the growth, success, and long-term sustainability of Viatris. The Compensation Committee approved annual long-term incentive (“LTI”) award grants in the first quarter of 2024.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In 2022, we increased the percentage of performance-based awards (which are subject to a TSR modifier) from 60% to 65%, with 65% of each NEO’s award in the form of PRSUs and 35% in the form of RSUs and we continued this practice in 2024. This increase in the allocation to PRSUs reflects a further reinforcement of our pay-for-performance philosophy and our robust shareholder engagement. RSUs vest ratably over a three-year period following the grant date, and PRSUs vest as described below. This mix of LTI awards provides NEOs with a combination of incentives and aligns them with the interests of shareholders.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Each NEO’s 2024 LTI award had a targeted value at grant equal to a percentage of the NEO’s base salary. In setting each NEO’s LTI targeted value, the Compensation Committee considered a variety of factors, including, among others, peer group compensation and expectations regarding individual roles and responsibilities. </w:t>
      </w:r>
    </w:p>
    <w:p>
      <w:pPr>
        <w:pStyle w:val="TextBody"/>
        <w:bidi w:val="0"/>
        <w:spacing w:before="25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For 2024, the Compensation Committee approved the following annual LTI award values for our active NEOs: </w:t>
      </w:r>
    </w:p>
    <w:tbl>
      <w:tblPr>
        <w:tblW w:w="5850" w:type="dxa"/>
        <w:jc w:val="left"/>
        <w:tblInd w:w="0" w:type="dxa"/>
        <w:tblLayout w:type="fixed"/>
        <w:tblCellMar>
          <w:top w:w="0" w:type="dxa"/>
          <w:left w:w="0" w:type="dxa"/>
          <w:bottom w:w="0" w:type="dxa"/>
          <w:right w:w="0" w:type="dxa"/>
        </w:tblCellMar>
      </w:tblPr>
      <w:tblGrid>
        <w:gridCol w:w="185"/>
        <w:gridCol w:w="1445"/>
        <w:gridCol w:w="170"/>
        <w:gridCol w:w="170"/>
        <w:gridCol w:w="980"/>
        <w:gridCol w:w="170"/>
        <w:gridCol w:w="170"/>
        <w:gridCol w:w="980"/>
        <w:gridCol w:w="170"/>
        <w:gridCol w:w="170"/>
        <w:gridCol w:w="1025"/>
        <w:gridCol w:w="215"/>
      </w:tblGrid>
      <w:tr>
        <w:trPr/>
        <w:tc>
          <w:tcPr>
            <w:tcW w:w="185" w:type="dxa"/>
            <w:tcBorders/>
            <w:shd w:fill="722981" w:val="clear"/>
            <w:vAlign w:val="center"/>
          </w:tcPr>
          <w:p>
            <w:pPr>
              <w:pStyle w:val="TableContents"/>
              <w:bidi w:val="0"/>
              <w:spacing w:before="0" w:after="0"/>
              <w:jc w:val="left"/>
              <w:rPr/>
            </w:pPr>
            <w:r>
              <w:rPr/>
              <w:t> </w:t>
            </w:r>
          </w:p>
        </w:tc>
        <w:tc>
          <w:tcPr>
            <w:tcW w:w="144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25"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44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NEO</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PRSUs</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RSUs</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2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Total LTI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Award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44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Scott A. Smith</w:t>
            </w:r>
            <w:r>
              <w:rPr>
                <w:rFonts w:ascii="Arial;Helvetica;sans-serif" w:hAnsi="Arial;Helvetica;sans-serif"/>
                <w:b/>
                <w:color w:val="000000"/>
                <w:position w:val="6"/>
                <w:sz w:val="14"/>
                <w:sz w:val="18"/>
              </w:rPr>
              <w:t>(1)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$6,370,000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$3,430,000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$9,800,000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$2,145,000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$1,155,000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$3,300,000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44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Corinne Le Goff</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$2,275,000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$1,225,000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$3,500,000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Brian Roman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$1,608,750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$866,250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$2,475,000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44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Paul Campbell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$1,178,125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$634,375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$1,812,500</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44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4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In 2024, Mr. Smith's annual LTI award as a percentage of annual base salary was reduced from 800% to 700% pursuant to the terms of his offer letter. </w:t>
            </w:r>
          </w:p>
        </w:tc>
      </w:tr>
    </w:tbl>
    <w:p>
      <w:pPr>
        <w:pStyle w:val="TextBody"/>
        <w:bidi w:val="0"/>
        <w:spacing w:before="28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2024 Three-Year PRSU Performance Metrics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2024 grant of PRSUs is subject to free cash flow performance and TSR performance relative to the S&amp;P 500 Pharmaceutical Index, which is used as a modifier to determine the final payout percentage, as described below. The free cash flow metric incentivizes effective use of Viatris’ capital to drive cash flow generation, encouraging behavior that is closely aligned with our efforts to drive a durable and sustainable business. In addition, the relative TSR modifier impacts executive pay based on Viatris’ performance as compared to industry competitors.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0" w:name="ny20042022x3_10ka_105-cda_pg9"/>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As shown in the table below, payouts under the 2024 PRSUs will be determined in two steps. First, in the first quarter of 2027, the outcome of the free cash flow metric will be assessed, resulting in an initial payout percentage of 50% for threshold performance (with 0% payout for below threshold performance) up to 150% for maximum performance, with linear interpolation for achievement between threshold and maximum. Second, the relative TSR metric will be applied as a modifier to the initial payout percentage with the effect of either: decreasing it by 30%, leaving it unaffected, or increasing it by 30%. </w:t>
      </w:r>
    </w:p>
    <w:tbl>
      <w:tblPr>
        <w:tblW w:w="9825" w:type="dxa"/>
        <w:jc w:val="left"/>
        <w:tblInd w:w="0" w:type="dxa"/>
        <w:tblLayout w:type="fixed"/>
        <w:tblCellMar>
          <w:top w:w="0" w:type="dxa"/>
          <w:left w:w="0" w:type="dxa"/>
          <w:bottom w:w="0" w:type="dxa"/>
          <w:right w:w="0" w:type="dxa"/>
        </w:tblCellMar>
      </w:tblPr>
      <w:tblGrid>
        <w:gridCol w:w="185"/>
        <w:gridCol w:w="2945"/>
        <w:gridCol w:w="170"/>
        <w:gridCol w:w="170"/>
        <w:gridCol w:w="890"/>
        <w:gridCol w:w="170"/>
        <w:gridCol w:w="170"/>
        <w:gridCol w:w="1325"/>
        <w:gridCol w:w="170"/>
        <w:gridCol w:w="170"/>
        <w:gridCol w:w="1580"/>
        <w:gridCol w:w="170"/>
        <w:gridCol w:w="170"/>
        <w:gridCol w:w="1325"/>
        <w:gridCol w:w="215"/>
      </w:tblGrid>
      <w:tr>
        <w:trPr/>
        <w:tc>
          <w:tcPr>
            <w:tcW w:w="185" w:type="dxa"/>
            <w:tcBorders/>
            <w:shd w:fill="722981" w:val="clear"/>
            <w:vAlign w:val="center"/>
          </w:tcPr>
          <w:p>
            <w:pPr>
              <w:pStyle w:val="TableContents"/>
              <w:bidi w:val="0"/>
              <w:spacing w:before="0" w:after="0"/>
              <w:jc w:val="left"/>
              <w:rPr/>
            </w:pPr>
            <w:r>
              <w:rPr/>
              <w:t> </w:t>
            </w:r>
          </w:p>
        </w:tc>
        <w:tc>
          <w:tcPr>
            <w:tcW w:w="294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9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32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58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325"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294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Metric</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9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Weighting</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32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Threshold</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58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Target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32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Maximum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94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Free Cash Flow*</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9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2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$6,200 million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58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$7,200 million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2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$8,200 million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4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Relative TSR 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Multiplier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At or Below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25th Percentile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Between 25th and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75th Percentiles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At or Above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75th Percentile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of Peer Group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94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Payout Opportunity (as % of Target)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90"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2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58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2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195%</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94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9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2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58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2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w:t>
            </w:r>
          </w:p>
        </w:tc>
        <w:tc>
          <w:tcPr>
            <w:tcW w:w="10080"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Free cash flow is derived from Viatris’ audited financial statements in the same manner as the calculation for Viatris’ 2024 annual incentive program, except that the calculation for the 2024 PRSUs further adjusts for any of the following, as applicable: material changes in tax laws, unbudgeted restructuring costs and unbudgeted R&amp;D expense. Free cash flow for the 2024 PRSUs will be the sum of such free cash flow measure for each of the years ended December 31, 2024, 2025 and 2026 and will utilize budgeted foreign exchange rates for the relevant year. Viatris’ free cash flow as reported for the twelve months ended December 31, 2024 is reconciled to the most directly comparable U.S. GAAP measure in Appendix A.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w:t>
            </w:r>
          </w:p>
        </w:tc>
        <w:tc>
          <w:tcPr>
            <w:tcW w:w="10058"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 </w:t>
            </w:r>
          </w:p>
        </w:tc>
      </w:tr>
    </w:tbl>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Payouts with respect to PRSUs granted in 2024 will be determined in early 2027 following the conclusion of the three-year performance cycle. </w:t>
      </w:r>
    </w:p>
    <w:p>
      <w:pPr>
        <w:pStyle w:val="TextBody"/>
        <w:bidi w:val="0"/>
        <w:spacing w:before="32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2022-2024 Three-Year PRSU Performance Metric Results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During the three-year period of 2022 to 2024, Viatris achieved the following performance against the Compensation Committee-approved performance goals: </w:t>
      </w:r>
    </w:p>
    <w:tbl>
      <w:tblPr>
        <w:tblW w:w="10205" w:type="dxa"/>
        <w:jc w:val="left"/>
        <w:tblInd w:w="0" w:type="dxa"/>
        <w:tblLayout w:type="fixed"/>
        <w:tblCellMar>
          <w:top w:w="0" w:type="dxa"/>
          <w:left w:w="0" w:type="dxa"/>
          <w:bottom w:w="0" w:type="dxa"/>
          <w:right w:w="0" w:type="dxa"/>
        </w:tblCellMar>
      </w:tblPr>
      <w:tblGrid>
        <w:gridCol w:w="185"/>
        <w:gridCol w:w="2059"/>
        <w:gridCol w:w="170"/>
        <w:gridCol w:w="170"/>
        <w:gridCol w:w="890"/>
        <w:gridCol w:w="170"/>
        <w:gridCol w:w="170"/>
        <w:gridCol w:w="1270"/>
        <w:gridCol w:w="170"/>
        <w:gridCol w:w="170"/>
        <w:gridCol w:w="1385"/>
        <w:gridCol w:w="170"/>
        <w:gridCol w:w="170"/>
        <w:gridCol w:w="1270"/>
        <w:gridCol w:w="170"/>
        <w:gridCol w:w="170"/>
        <w:gridCol w:w="1229"/>
        <w:gridCol w:w="217"/>
      </w:tblGrid>
      <w:tr>
        <w:trPr/>
        <w:tc>
          <w:tcPr>
            <w:tcW w:w="185" w:type="dxa"/>
            <w:tcBorders/>
            <w:shd w:fill="722981" w:val="clear"/>
            <w:vAlign w:val="center"/>
          </w:tcPr>
          <w:p>
            <w:pPr>
              <w:pStyle w:val="TableContents"/>
              <w:bidi w:val="0"/>
              <w:spacing w:before="0" w:after="0"/>
              <w:jc w:val="left"/>
              <w:rPr/>
            </w:pPr>
            <w:r>
              <w:rPr/>
              <w:t> </w:t>
            </w:r>
          </w:p>
        </w:tc>
        <w:tc>
          <w:tcPr>
            <w:tcW w:w="2059"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9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38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29" w:type="dxa"/>
            <w:tcBorders/>
            <w:shd w:fill="722981" w:val="clear"/>
            <w:vAlign w:val="center"/>
          </w:tcPr>
          <w:p>
            <w:pPr>
              <w:pStyle w:val="TableContents"/>
              <w:bidi w:val="0"/>
              <w:spacing w:before="0" w:after="0"/>
              <w:jc w:val="left"/>
              <w:rPr/>
            </w:pPr>
            <w:r>
              <w:rPr/>
              <w:t> </w:t>
            </w:r>
          </w:p>
        </w:tc>
        <w:tc>
          <w:tcPr>
            <w:tcW w:w="217"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2059"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Metric</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9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Weighting</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7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Threshold</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38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Target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7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Maximum</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29"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Results </w:t>
            </w:r>
          </w:p>
        </w:tc>
        <w:tc>
          <w:tcPr>
            <w:tcW w:w="217"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059"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Free Cash Flow*</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9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7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$6,900 million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$7,900 million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7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$8,900 million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9"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$9,495 million </w:t>
            </w:r>
          </w:p>
        </w:tc>
        <w:tc>
          <w:tcPr>
            <w:tcW w:w="217"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59"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Relative TSR 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Multiplier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At or Below</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25th Percentile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Between 25th and</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75th Percentiles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At or Above</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75th Percentile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67th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Percentile </w:t>
            </w:r>
          </w:p>
        </w:tc>
        <w:tc>
          <w:tcPr>
            <w:tcW w:w="217"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059"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Payout Opportunity (as % of Target)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90" w:type="dxa"/>
            <w:tcBorders/>
            <w:shd w:fill="E6E6E6" w:val="clear"/>
            <w:vAlign w:val="center"/>
          </w:tcPr>
          <w:p>
            <w:pPr>
              <w:pStyle w:val="TableContents"/>
              <w:bidi w:val="0"/>
              <w:spacing w:before="0" w:after="283"/>
              <w:jc w:val="center"/>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7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70" w:type="dxa"/>
            <w:tcBorders/>
            <w:shd w:fill="E6E6E6"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195%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9" w:type="dxa"/>
            <w:tcBorders/>
            <w:shd w:fill="E6E6E6" w:val="clear"/>
            <w:vAlign w:val="center"/>
          </w:tcPr>
          <w:p>
            <w:pPr>
              <w:pStyle w:val="TableContents"/>
              <w:bidi w:val="0"/>
              <w:spacing w:before="0" w:after="283"/>
              <w:jc w:val="center"/>
              <w:rPr>
                <w:color w:val="000000"/>
              </w:rPr>
            </w:pPr>
            <w:r>
              <w:rPr>
                <w:color w:val="000000"/>
              </w:rPr>
              <w:t> </w:t>
            </w:r>
          </w:p>
        </w:tc>
        <w:tc>
          <w:tcPr>
            <w:tcW w:w="217"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059"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9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9" w:type="dxa"/>
            <w:tcBorders/>
            <w:shd w:fill="E6E6E6" w:val="clear"/>
            <w:vAlign w:val="center"/>
          </w:tcPr>
          <w:p>
            <w:pPr>
              <w:pStyle w:val="TableContents"/>
              <w:bidi w:val="0"/>
              <w:spacing w:before="0" w:after="0"/>
              <w:jc w:val="left"/>
              <w:rPr/>
            </w:pPr>
            <w:r>
              <w:rPr/>
              <w:t> </w:t>
            </w:r>
          </w:p>
        </w:tc>
        <w:tc>
          <w:tcPr>
            <w:tcW w:w="217"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w:t>
            </w:r>
          </w:p>
        </w:tc>
        <w:tc>
          <w:tcPr>
            <w:tcW w:w="10080"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Free cash flow is derived from Viatris’ audited financial statements in the same manner as Viatris’ publicly reported free cash flow, except that the calculation for the 2022-2024 three-year PRSUs utilized budgeted foreign exchange rates for the relevant year and further adjusts for the following, as applicable: transaction costs and taxes related to the acquisitions of Oyster Point Pharma, Inc. (“Oyster Point”) and Famy Life Sciences Private Limited (“Famy Life Sciences”) as well as any incremental transaction costs and taxes related to other select assets sales or reshaping initiatives and other impacts of divestitures, Biocon Biologics Transaction-related taxes and transaction costs and results of the divested biosimilars business from the closing of the transaction on November 29, 2022 through December 31, 2022, material unplanned litigation gains or losses equal to or greater than $25 million in the aggregate, proceeds from the sale of certain property, plant and equipment, unbudgeted R&amp;D costs, unbudgeted restructuring costs, and the impact of free cash flow from divestitures that closed in 2022 to 2024. Free cash flow for the 2022-2024 three-year PRSUs is the sum of such free cash flow measure for each of the years ended December 31, 2022, 2023, and 2024. Viatris’ free cash flow as reported for each of the three years ended December 31, 2022, 2023 and 2024 is reconciled to the most directly comparable U.S. GAAP measure in Appendix A.</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w:t>
            </w:r>
          </w:p>
        </w:tc>
        <w:tc>
          <w:tcPr>
            <w:tcW w:w="10058"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42022x3_10ka_105-cda_pg10"/>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following table shows the 2022-2024 PRSU share award payout for each active NEO reflecting Company performance at 150% of target. </w:t>
      </w:r>
    </w:p>
    <w:tbl>
      <w:tblPr>
        <w:tblW w:w="3330" w:type="dxa"/>
        <w:jc w:val="left"/>
        <w:tblInd w:w="0" w:type="dxa"/>
        <w:tblLayout w:type="fixed"/>
        <w:tblCellMar>
          <w:top w:w="0" w:type="dxa"/>
          <w:left w:w="0" w:type="dxa"/>
          <w:bottom w:w="0" w:type="dxa"/>
          <w:right w:w="0" w:type="dxa"/>
        </w:tblCellMar>
      </w:tblPr>
      <w:tblGrid>
        <w:gridCol w:w="185"/>
        <w:gridCol w:w="1385"/>
        <w:gridCol w:w="170"/>
        <w:gridCol w:w="170"/>
        <w:gridCol w:w="1205"/>
        <w:gridCol w:w="215"/>
      </w:tblGrid>
      <w:tr>
        <w:trPr/>
        <w:tc>
          <w:tcPr>
            <w:tcW w:w="185" w:type="dxa"/>
            <w:tcBorders/>
            <w:shd w:fill="722981" w:val="clear"/>
            <w:vAlign w:val="center"/>
          </w:tcPr>
          <w:p>
            <w:pPr>
              <w:pStyle w:val="TableContents"/>
              <w:bidi w:val="0"/>
              <w:spacing w:before="0" w:after="0"/>
              <w:jc w:val="left"/>
              <w:rPr/>
            </w:pPr>
            <w:r>
              <w:rPr/>
              <w:t> </w:t>
            </w:r>
          </w:p>
        </w:tc>
        <w:tc>
          <w:tcPr>
            <w:tcW w:w="138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38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NEO</w:t>
            </w:r>
            <w:r>
              <w:rPr>
                <w:rFonts w:ascii="Arial;Helvetica;sans-serif" w:hAnsi="Arial;Helvetica;sans-serif"/>
                <w:b/>
                <w:color w:val="FFFFFF"/>
                <w:position w:val="6"/>
                <w:sz w:val="14"/>
                <w:sz w:val="18"/>
              </w:rPr>
              <w:t>(1)</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Actual Award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 of Shares)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Scott A. Smith</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ind w:left="245" w:right="0" w:hanging="0"/>
              <w:jc w:val="left"/>
              <w:rPr>
                <w:rFonts w:ascii="Arial;Helvetica;sans-serif" w:hAnsi="Arial;Helvetica;sans-serif"/>
                <w:color w:val="000000"/>
                <w:sz w:val="18"/>
              </w:rPr>
            </w:pPr>
            <w:r>
              <w:rPr>
                <w:rFonts w:ascii="Arial;Helvetica;sans-serif" w:hAnsi="Arial;Helvetica;sans-serif"/>
                <w:color w:val="000000"/>
                <w:sz w:val="18"/>
              </w:rPr>
              <w:t xml:space="preserve">N/A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45" w:right="0" w:hanging="0"/>
              <w:jc w:val="left"/>
              <w:rPr>
                <w:rFonts w:ascii="Arial;Helvetica;sans-serif" w:hAnsi="Arial;Helvetica;sans-serif"/>
                <w:color w:val="000000"/>
                <w:sz w:val="18"/>
              </w:rPr>
            </w:pPr>
            <w:r>
              <w:rPr>
                <w:rFonts w:ascii="Arial;Helvetica;sans-serif" w:hAnsi="Arial;Helvetica;sans-serif"/>
                <w:color w:val="000000"/>
                <w:sz w:val="18"/>
              </w:rPr>
              <w:t xml:space="preserve">N/A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Corinne Le Goff</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ind w:left="245" w:right="0" w:hanging="0"/>
              <w:jc w:val="left"/>
              <w:rPr>
                <w:rFonts w:ascii="Arial;Helvetica;sans-serif" w:hAnsi="Arial;Helvetica;sans-serif"/>
                <w:color w:val="000000"/>
                <w:sz w:val="18"/>
              </w:rPr>
            </w:pPr>
            <w:r>
              <w:rPr>
                <w:rFonts w:ascii="Arial;Helvetica;sans-serif" w:hAnsi="Arial;Helvetica;sans-serif"/>
                <w:color w:val="000000"/>
                <w:sz w:val="18"/>
              </w:rPr>
              <w:t xml:space="preserve">N/A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Brian Roman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45" w:right="0" w:hanging="0"/>
              <w:jc w:val="left"/>
              <w:rPr>
                <w:rFonts w:ascii="Arial;Helvetica;sans-serif" w:hAnsi="Arial;Helvetica;sans-serif"/>
                <w:color w:val="000000"/>
                <w:sz w:val="18"/>
              </w:rPr>
            </w:pPr>
            <w:r>
              <w:rPr>
                <w:rFonts w:ascii="Arial;Helvetica;sans-serif" w:hAnsi="Arial;Helvetica;sans-serif"/>
                <w:color w:val="000000"/>
                <w:sz w:val="18"/>
              </w:rPr>
              <w:t xml:space="preserve">162,468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Paul Campbell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ind w:left="245" w:right="0" w:hanging="0"/>
              <w:jc w:val="left"/>
              <w:rPr>
                <w:rFonts w:ascii="Arial;Helvetica;sans-serif" w:hAnsi="Arial;Helvetica;sans-serif"/>
                <w:color w:val="000000"/>
                <w:sz w:val="18"/>
              </w:rPr>
            </w:pPr>
            <w:r>
              <w:rPr>
                <w:rFonts w:ascii="Arial;Helvetica;sans-serif" w:hAnsi="Arial;Helvetica;sans-serif"/>
                <w:color w:val="000000"/>
                <w:sz w:val="18"/>
              </w:rPr>
              <w:t>169,238</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37"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Mr. Smith, Ms. Mistras, and Dr. Le Goff did not receive the 2022 PRSU grant as they were not active employees in 2022 at time of grant. </w:t>
            </w:r>
          </w:p>
        </w:tc>
      </w:tr>
    </w:tbl>
    <w:p>
      <w:pPr>
        <w:pStyle w:val="TextBody"/>
        <w:bidi w:val="0"/>
        <w:spacing w:before="280" w:after="283"/>
        <w:ind w:left="0" w:right="0" w:hanging="0"/>
        <w:jc w:val="left"/>
        <w:rPr>
          <w:rFonts w:ascii="Arial;Helvetica;sans-serif" w:hAnsi="Arial;Helvetica;sans-serif"/>
          <w:b/>
          <w:color w:val="26215F"/>
          <w:sz w:val="20"/>
        </w:rPr>
      </w:pPr>
      <w:bookmarkStart w:id="82" w:name="tVCD"/>
      <w:bookmarkEnd w:id="82"/>
      <w:r>
        <w:rPr>
          <w:rFonts w:ascii="Arial;Helvetica;sans-serif" w:hAnsi="Arial;Helvetica;sans-serif"/>
          <w:b/>
          <w:color w:val="26215F"/>
          <w:sz w:val="20"/>
        </w:rPr>
        <w:t xml:space="preserve">Governance and Other Considerations Impacting Viatris Compensation Decisions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Board or the Compensation Committee to be in the interests of the Company. </w:t>
      </w:r>
    </w:p>
    <w:p>
      <w:pPr>
        <w:pStyle w:val="TextBody"/>
        <w:bidi w:val="0"/>
        <w:spacing w:before="180" w:after="283"/>
        <w:ind w:left="0" w:right="0" w:hanging="0"/>
        <w:jc w:val="both"/>
        <w:rPr/>
      </w:pPr>
      <w:r>
        <w:rPr>
          <w:rFonts w:ascii="Arial;Helvetica;sans-serif" w:hAnsi="Arial;Helvetica;sans-serif"/>
          <w:color w:val="404040"/>
          <w:sz w:val="20"/>
        </w:rPr>
        <w:t xml:space="preserve">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 </w:t>
      </w:r>
      <w:hyperlink w:anchor="tECP">
        <w:r>
          <w:rPr>
            <w:rStyle w:val="InternetLink"/>
            <w:rFonts w:ascii="Arial;Helvetica;sans-serif" w:hAnsi="Arial;Helvetica;sans-serif"/>
            <w:color w:val="000080"/>
            <w:sz w:val="20"/>
          </w:rPr>
          <w:t>28</w:t>
        </w:r>
      </w:hyperlink>
      <w:r>
        <w:rPr>
          <w:rFonts w:ascii="Arial;Helvetica;sans-serif" w:hAnsi="Arial;Helvetica;sans-serif"/>
          <w:color w:val="404040"/>
          <w:sz w:val="20"/>
        </w:rPr>
        <w:t xml:space="preser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ny20042022x3_10ka_105-cda_pg1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26215F"/>
          <w:sz w:val="20"/>
        </w:rPr>
      </w:pPr>
      <w:bookmarkStart w:id="84" w:name="tCTR"/>
      <w:bookmarkEnd w:id="84"/>
      <w:r>
        <w:rPr>
          <w:rFonts w:ascii="Arial;Helvetica;sans-serif" w:hAnsi="Arial;Helvetica;sans-serif"/>
          <w:b/>
          <w:color w:val="26215F"/>
          <w:sz w:val="20"/>
        </w:rPr>
        <w:t xml:space="preserve">Commitment to Responsible, Shareholder-Aligned Compensation Governance Practices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following table summarizes certain specific compensation-related governance practices adopted by the Compensation Committee and Board with respect to 2024 compensation. We note that implementation of many of these practices was responsive to comments from shareholders or otherwise endorsed by shareholders during our robust shareholder engagement program or prior say-on-pay votes.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9280"/>
        <w:gridCol w:w="215"/>
      </w:tblGrid>
      <w:tr>
        <w:trPr/>
        <w:tc>
          <w:tcPr>
            <w:tcW w:w="185" w:type="dxa"/>
            <w:tcBorders/>
            <w:shd w:fill="722981" w:val="clear"/>
            <w:vAlign w:val="center"/>
          </w:tcPr>
          <w:p>
            <w:pPr>
              <w:pStyle w:val="TableContents"/>
              <w:bidi w:val="0"/>
              <w:spacing w:before="0" w:after="0"/>
              <w:jc w:val="left"/>
              <w:rPr/>
            </w:pPr>
            <w:r>
              <w:rPr/>
              <w:t> </w:t>
            </w:r>
          </w:p>
        </w:tc>
        <w:tc>
          <w:tcPr>
            <w:tcW w:w="9805" w:type="dxa"/>
            <w:gridSpan w:val="4"/>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9805" w:type="dxa"/>
            <w:gridSpan w:val="4"/>
            <w:tcBorders/>
            <w:shd w:fill="722981" w:val="clear"/>
            <w:vAlign w:val="center"/>
          </w:tcPr>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What We Do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80" w:after="283"/>
              <w:ind w:left="6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80" w:after="283"/>
              <w:ind w:left="0" w:right="0" w:hanging="0"/>
              <w:jc w:val="both"/>
              <w:rPr>
                <w:rFonts w:ascii="Arial;Helvetica;sans-serif" w:hAnsi="Arial;Helvetica;sans-serif"/>
                <w:color w:val="404040"/>
                <w:sz w:val="18"/>
              </w:rPr>
            </w:pPr>
            <w:r>
              <w:rPr>
                <w:rFonts w:ascii="Arial;Helvetica;sans-serif" w:hAnsi="Arial;Helvetica;sans-serif"/>
                <w:color w:val="404040"/>
                <w:sz w:val="18"/>
              </w:rPr>
              <w:t xml:space="preserve">Maintain a significant portion of compensation aligned with shareholder interests and tied to share price or financial and operational business performance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85" w:type="dxa"/>
            <w:tcBorders/>
            <w:shd w:fill="E6E6E6"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80" w:type="dxa"/>
            <w:tcBorders/>
            <w:shd w:fill="E6E6E6" w:val="clear"/>
            <w:vAlign w:val="center"/>
          </w:tcPr>
          <w:p>
            <w:pPr>
              <w:pStyle w:val="TableContents"/>
              <w:bidi w:val="0"/>
              <w:spacing w:before="0" w:after="283"/>
              <w:ind w:left="0" w:right="0" w:hanging="0"/>
              <w:jc w:val="both"/>
              <w:rPr>
                <w:rFonts w:ascii="Arial;Helvetica;sans-serif" w:hAnsi="Arial;Helvetica;sans-serif"/>
                <w:color w:val="404040"/>
                <w:sz w:val="18"/>
              </w:rPr>
            </w:pPr>
            <w:r>
              <w:rPr>
                <w:rFonts w:ascii="Arial;Helvetica;sans-serif" w:hAnsi="Arial;Helvetica;sans-serif"/>
                <w:color w:val="404040"/>
                <w:sz w:val="18"/>
              </w:rPr>
              <w:t xml:space="preserve">Employ metrics for annual and long-term incentives that support both short- and long-term strategies and align with shareholder interests, including a non-financial metric in the annual program tied to important product development initiatives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6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both"/>
              <w:rPr>
                <w:rFonts w:ascii="Arial;Helvetica;sans-serif" w:hAnsi="Arial;Helvetica;sans-serif"/>
                <w:color w:val="404040"/>
                <w:sz w:val="18"/>
              </w:rPr>
            </w:pPr>
            <w:r>
              <w:rPr>
                <w:rFonts w:ascii="Arial;Helvetica;sans-serif" w:hAnsi="Arial;Helvetica;sans-serif"/>
                <w:color w:val="404040"/>
                <w:sz w:val="18"/>
              </w:rPr>
              <w:t xml:space="preserve">Base long-term incentives heavily on performance-based metrics and short-term incentives entirely on performance-based metrics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85" w:type="dxa"/>
            <w:tcBorders/>
            <w:shd w:fill="E6E6E6"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80" w:type="dxa"/>
            <w:tcBorders/>
            <w:shd w:fill="E6E6E6" w:val="cle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Set rigorous and measurable performance goals and periodically review and discuss our executives’ performance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6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Use double-trigger vesting for annual long-term incentive awards upon a change in control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85" w:type="dxa"/>
            <w:tcBorders/>
            <w:shd w:fill="E6E6E6"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80" w:type="dxa"/>
            <w:tcBorders/>
            <w:shd w:fill="E6E6E6" w:val="cle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Retain independent compensation consultants that report directly to the Compensation Committee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6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Maintain strong share ownership guidelines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85" w:type="dxa"/>
            <w:tcBorders/>
            <w:shd w:fill="E6E6E6"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80" w:type="dxa"/>
            <w:tcBorders/>
            <w:shd w:fill="E6E6E6" w:val="cle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Maintain a robust clawback policy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6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Engage with shareholders on compensation and governance matters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85" w:type="dxa"/>
            <w:tcBorders/>
            <w:shd w:fill="E6E6E6"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80" w:type="dxa"/>
            <w:tcBorders/>
            <w:shd w:fill="E6E6E6" w:val="cle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Consider peer groups and market data in determining compensation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6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Annual say-on-pay vote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0"/>
        <w:gridCol w:w="170"/>
        <w:gridCol w:w="170"/>
        <w:gridCol w:w="9295"/>
        <w:gridCol w:w="215"/>
      </w:tblGrid>
      <w:tr>
        <w:trPr/>
        <w:tc>
          <w:tcPr>
            <w:tcW w:w="185" w:type="dxa"/>
            <w:tcBorders/>
            <w:shd w:fill="722981" w:val="clear"/>
            <w:vAlign w:val="center"/>
          </w:tcPr>
          <w:p>
            <w:pPr>
              <w:pStyle w:val="TableContents"/>
              <w:bidi w:val="0"/>
              <w:spacing w:before="0" w:after="0"/>
              <w:jc w:val="left"/>
              <w:rPr/>
            </w:pPr>
            <w:r>
              <w:rPr/>
              <w:t> </w:t>
            </w:r>
          </w:p>
        </w:tc>
        <w:tc>
          <w:tcPr>
            <w:tcW w:w="9805" w:type="dxa"/>
            <w:gridSpan w:val="4"/>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9805" w:type="dxa"/>
            <w:gridSpan w:val="4"/>
            <w:tcBorders/>
            <w:shd w:fill="722981" w:val="clear"/>
            <w:vAlign w:val="center"/>
          </w:tcPr>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What We Don’t Do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80" w:after="283"/>
              <w:ind w:left="60" w:right="0" w:hanging="0"/>
              <w:jc w:val="left"/>
              <w:rPr>
                <w:rFonts w:ascii="Arial;Helvetica;sans-serif" w:hAnsi="Arial;Helvetica;sans-serif"/>
                <w:i/>
                <w:color w:val="404040"/>
                <w:sz w:val="18"/>
              </w:rPr>
            </w:pPr>
            <w:r>
              <w:rPr>
                <w:rFonts w:ascii="Arial;Helvetica;sans-serif" w:hAnsi="Arial;Helvetica;sans-serif"/>
                <w:i/>
                <w:color w:val="404040"/>
                <w:sz w:val="18"/>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8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New fixed-term NEO employment agreements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283"/>
              <w:ind w:left="60" w:right="0" w:hanging="0"/>
              <w:jc w:val="left"/>
              <w:rPr>
                <w:rFonts w:ascii="Arial;Helvetica;sans-serif" w:hAnsi="Arial;Helvetica;sans-serif"/>
                <w:i/>
                <w:color w:val="404040"/>
                <w:sz w:val="18"/>
              </w:rPr>
            </w:pPr>
            <w:r>
              <w:rPr>
                <w:rFonts w:ascii="Arial;Helvetica;sans-serif" w:hAnsi="Arial;Helvetica;sans-serif"/>
                <w:i/>
                <w:color w:val="404040"/>
                <w:sz w:val="18"/>
              </w:rPr>
              <w:t>X</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95" w:type="dxa"/>
            <w:tcBorders/>
            <w:shd w:fill="E6E6E6" w:val="cle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Excise tax gross-ups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rFonts w:ascii="Arial;Helvetica;sans-serif" w:hAnsi="Arial;Helvetica;sans-serif"/>
                <w:i/>
                <w:color w:val="404040"/>
                <w:sz w:val="18"/>
              </w:rPr>
            </w:pPr>
            <w:r>
              <w:rPr>
                <w:rFonts w:ascii="Arial;Helvetica;sans-serif" w:hAnsi="Arial;Helvetica;sans-serif"/>
                <w:i/>
                <w:color w:val="404040"/>
                <w:sz w:val="18"/>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Supplemental retirement agreements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283"/>
              <w:ind w:left="60" w:right="0" w:hanging="0"/>
              <w:jc w:val="left"/>
              <w:rPr>
                <w:rFonts w:ascii="Arial;Helvetica;sans-serif" w:hAnsi="Arial;Helvetica;sans-serif"/>
                <w:i/>
                <w:color w:val="404040"/>
                <w:sz w:val="18"/>
              </w:rPr>
            </w:pPr>
            <w:r>
              <w:rPr>
                <w:rFonts w:ascii="Arial;Helvetica;sans-serif" w:hAnsi="Arial;Helvetica;sans-serif"/>
                <w:i/>
                <w:color w:val="404040"/>
                <w:sz w:val="18"/>
              </w:rPr>
              <w:t>X</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95" w:type="dxa"/>
            <w:tcBorders/>
            <w:shd w:fill="E6E6E6" w:val="cle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Exercise positive discretion in determining annual incentive compensation or LTI payouts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rFonts w:ascii="Arial;Helvetica;sans-serif" w:hAnsi="Arial;Helvetica;sans-serif"/>
                <w:i/>
                <w:color w:val="404040"/>
                <w:sz w:val="18"/>
              </w:rPr>
            </w:pPr>
            <w:r>
              <w:rPr>
                <w:rFonts w:ascii="Arial;Helvetica;sans-serif" w:hAnsi="Arial;Helvetica;sans-serif"/>
                <w:i/>
                <w:color w:val="404040"/>
                <w:sz w:val="18"/>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Re-pricing of stock options without shareholder approval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283"/>
              <w:ind w:left="60" w:right="0" w:hanging="0"/>
              <w:jc w:val="left"/>
              <w:rPr>
                <w:rFonts w:ascii="Arial;Helvetica;sans-serif" w:hAnsi="Arial;Helvetica;sans-serif"/>
                <w:i/>
                <w:color w:val="404040"/>
                <w:sz w:val="18"/>
              </w:rPr>
            </w:pPr>
            <w:r>
              <w:rPr>
                <w:rFonts w:ascii="Arial;Helvetica;sans-serif" w:hAnsi="Arial;Helvetica;sans-serif"/>
                <w:i/>
                <w:color w:val="404040"/>
                <w:sz w:val="18"/>
              </w:rPr>
              <w:t>X</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95" w:type="dxa"/>
            <w:tcBorders/>
            <w:shd w:fill="E6E6E6" w:val="cle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Hedging or pledging of shares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rFonts w:ascii="Arial;Helvetica;sans-serif" w:hAnsi="Arial;Helvetica;sans-serif"/>
                <w:i/>
                <w:color w:val="404040"/>
                <w:sz w:val="18"/>
              </w:rPr>
            </w:pPr>
            <w:r>
              <w:rPr>
                <w:rFonts w:ascii="Arial;Helvetica;sans-serif" w:hAnsi="Arial;Helvetica;sans-serif"/>
                <w:i/>
                <w:color w:val="404040"/>
                <w:sz w:val="18"/>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both"/>
              <w:rPr>
                <w:rFonts w:ascii="Arial;Helvetica;sans-serif" w:hAnsi="Arial;Helvetica;sans-serif"/>
                <w:color w:val="404040"/>
                <w:sz w:val="18"/>
              </w:rPr>
            </w:pPr>
            <w:r>
              <w:rPr>
                <w:rFonts w:ascii="Arial;Helvetica;sans-serif" w:hAnsi="Arial;Helvetica;sans-serif"/>
                <w:color w:val="404040"/>
                <w:sz w:val="18"/>
              </w:rPr>
              <w:t>New cash-based retention awards for NEOs without performance vesting conditions, except in extraordinary situations or in connection with new hires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Arial;Helvetica;sans-serif" w:hAnsi="Arial;Helvetica;sans-serif"/>
          <w:b/>
          <w:color w:val="26215F"/>
          <w:sz w:val="20"/>
        </w:rPr>
      </w:pPr>
      <w:bookmarkStart w:id="85" w:name="tLP"/>
      <w:bookmarkEnd w:id="85"/>
      <w:r>
        <w:rPr>
          <w:rFonts w:ascii="Arial;Helvetica;sans-serif" w:hAnsi="Arial;Helvetica;sans-serif"/>
          <w:b/>
          <w:color w:val="26215F"/>
          <w:sz w:val="20"/>
        </w:rPr>
        <w:t xml:space="preserve">Limited Perquisites </w:t>
      </w:r>
    </w:p>
    <w:p>
      <w:pPr>
        <w:pStyle w:val="TextBody"/>
        <w:bidi w:val="0"/>
        <w:spacing w:before="20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We provide certain limited perquisites to our NEOs, including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Each NEO receives a car allowance and payment of certain ancillary expenses. The NEOs are responsible for paying any taxes incurred relating to this perquisite.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Our NEOs take an extraordinarily active approach to overseeing and managing Viatris’ global operations, which necessitates and will continue to necessitate a significant amount of U.S. domestic and international travel time due to our diverse business centers, manufacturing and other facilities, and many client and vendor locations around the world. Viatris provides management with access to corporate aircraft to assist in the management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42022x3_10ka_105-cda_pg12"/>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Arial;Helvetica;sans-serif" w:hAnsi="Arial;Helvetica;sans-serif"/>
          <w:color w:val="404040"/>
          <w:sz w:val="20"/>
        </w:rPr>
      </w:pPr>
      <w:r>
        <w:rPr>
          <w:rFonts w:ascii="Arial;Helvetica;sans-serif" w:hAnsi="Arial;Helvetica;sans-serif"/>
          <w:color w:val="404040"/>
          <w:sz w:val="20"/>
        </w:rPr>
        <w:t xml:space="preserve">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we also may from time to time require certain executives to use corporate aircraft for business and personal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04040"/>
              </w:rPr>
            </w:pPr>
            <w:r>
              <w:rPr>
                <w:color w:val="404040"/>
              </w:rPr>
              <w:t>•</w:t>
            </w:r>
          </w:p>
        </w:tc>
        <w:tc>
          <w:tcPr>
            <w:tcW w:w="10065" w:type="dxa"/>
            <w:tcBorders/>
            <w:vAlign w:val="center"/>
          </w:tcPr>
          <w:p>
            <w:pPr>
              <w:pStyle w:val="TableContents"/>
              <w:bidi w:val="0"/>
              <w:spacing w:before="0" w:after="0"/>
              <w:jc w:val="both"/>
              <w:rPr>
                <w:rFonts w:ascii="Arial;Helvetica;sans-serif" w:hAnsi="Arial;Helvetica;sans-serif"/>
                <w:color w:val="404040"/>
                <w:sz w:val="20"/>
              </w:rPr>
            </w:pPr>
            <w:r>
              <w:rPr>
                <w:rFonts w:ascii="Arial;Helvetica;sans-serif" w:hAnsi="Arial;Helvetica;sans-serif"/>
                <w:color w:val="404040"/>
                <w:sz w:val="20"/>
              </w:rPr>
              <w:t xml:space="preserve">Because of continued security-related concerns, we may from time-to-time provide certain NEOs with personal security. </w:t>
            </w:r>
          </w:p>
        </w:tc>
      </w:tr>
    </w:tbl>
    <w:p>
      <w:pPr>
        <w:pStyle w:val="TextBody"/>
        <w:bidi w:val="0"/>
        <w:spacing w:before="310" w:after="283"/>
        <w:ind w:left="0" w:right="0" w:hanging="0"/>
        <w:jc w:val="left"/>
        <w:rPr>
          <w:rFonts w:ascii="Arial;Helvetica;sans-serif" w:hAnsi="Arial;Helvetica;sans-serif"/>
          <w:b/>
          <w:color w:val="26215F"/>
          <w:sz w:val="20"/>
        </w:rPr>
      </w:pPr>
      <w:bookmarkStart w:id="87" w:name="tRP"/>
      <w:bookmarkEnd w:id="87"/>
      <w:r>
        <w:rPr>
          <w:rFonts w:ascii="Arial;Helvetica;sans-serif" w:hAnsi="Arial;Helvetica;sans-serif"/>
          <w:b/>
          <w:color w:val="26215F"/>
          <w:sz w:val="20"/>
        </w:rPr>
        <w:t xml:space="preserve">401(k) Restoration Plan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401(k) Restoration Plan (the “Restoration Plan”) permits employees (including NEOs) who earn compensation in excess of the limits imposed by Section 401(a)(17) of the Internal Revenue Code of 1986, as amended (the “Code”) to (i) defer a portion of base salary and bonus compensation, (ii) be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his or her non-elective contributions. Distributions of such participant’s vested account balance will be made in a lump sum within 60 days following a participant’s separation from service (or such later date as may be required by Section 409A of the Code). </w:t>
      </w:r>
    </w:p>
    <w:p>
      <w:pPr>
        <w:pStyle w:val="TextBody"/>
        <w:bidi w:val="0"/>
        <w:spacing w:before="310" w:after="283"/>
        <w:ind w:left="0" w:right="0" w:hanging="0"/>
        <w:jc w:val="left"/>
        <w:rPr>
          <w:rFonts w:ascii="Arial;Helvetica;sans-serif" w:hAnsi="Arial;Helvetica;sans-serif"/>
          <w:b/>
          <w:color w:val="26215F"/>
          <w:sz w:val="20"/>
        </w:rPr>
      </w:pPr>
      <w:bookmarkStart w:id="88" w:name="tSOR"/>
      <w:bookmarkEnd w:id="88"/>
      <w:r>
        <w:rPr>
          <w:rFonts w:ascii="Arial;Helvetica;sans-serif" w:hAnsi="Arial;Helvetica;sans-serif"/>
          <w:b/>
          <w:color w:val="26215F"/>
          <w:sz w:val="20"/>
        </w:rPr>
        <w:t xml:space="preserve">2024 Share Ownership Requirements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maintains robust share ownership requirements for our NEOs. The requirement is expressed as a multiple of base salary and shown in the table below. </w:t>
      </w:r>
    </w:p>
    <w:tbl>
      <w:tblPr>
        <w:tblW w:w="3840" w:type="dxa"/>
        <w:jc w:val="left"/>
        <w:tblInd w:w="0" w:type="dxa"/>
        <w:tblLayout w:type="fixed"/>
        <w:tblCellMar>
          <w:top w:w="0" w:type="dxa"/>
          <w:left w:w="0" w:type="dxa"/>
          <w:bottom w:w="0" w:type="dxa"/>
          <w:right w:w="0" w:type="dxa"/>
        </w:tblCellMar>
      </w:tblPr>
      <w:tblGrid>
        <w:gridCol w:w="185"/>
        <w:gridCol w:w="1895"/>
        <w:gridCol w:w="170"/>
        <w:gridCol w:w="170"/>
        <w:gridCol w:w="1205"/>
        <w:gridCol w:w="215"/>
      </w:tblGrid>
      <w:tr>
        <w:trPr/>
        <w:tc>
          <w:tcPr>
            <w:tcW w:w="185" w:type="dxa"/>
            <w:tcBorders/>
            <w:shd w:fill="722981" w:val="clear"/>
            <w:vAlign w:val="center"/>
          </w:tcPr>
          <w:p>
            <w:pPr>
              <w:pStyle w:val="TableContents"/>
              <w:bidi w:val="0"/>
              <w:spacing w:before="0" w:after="0"/>
              <w:jc w:val="left"/>
              <w:rPr/>
            </w:pPr>
            <w:r>
              <w:rPr/>
              <w:t> </w:t>
            </w:r>
          </w:p>
        </w:tc>
        <w:tc>
          <w:tcPr>
            <w:tcW w:w="189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89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Position</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Ownership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Requirement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89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Chief Executive Officer</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ind w:left="455" w:right="0" w:hanging="0"/>
              <w:jc w:val="left"/>
              <w:rPr>
                <w:rFonts w:ascii="Arial;Helvetica;sans-serif" w:hAnsi="Arial;Helvetica;sans-serif"/>
                <w:color w:val="000000"/>
                <w:sz w:val="18"/>
              </w:rPr>
            </w:pPr>
            <w:r>
              <w:rPr>
                <w:rFonts w:ascii="Arial;Helvetica;sans-serif" w:hAnsi="Arial;Helvetica;sans-serif"/>
                <w:color w:val="000000"/>
                <w:sz w:val="18"/>
              </w:rPr>
              <w:t xml:space="preserve">6x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455" w:right="0" w:hanging="0"/>
              <w:jc w:val="left"/>
              <w:rPr>
                <w:rFonts w:ascii="Arial;Helvetica;sans-serif" w:hAnsi="Arial;Helvetica;sans-serif"/>
                <w:color w:val="000000"/>
                <w:sz w:val="18"/>
              </w:rPr>
            </w:pPr>
            <w:r>
              <w:rPr>
                <w:rFonts w:ascii="Arial;Helvetica;sans-serif" w:hAnsi="Arial;Helvetica;sans-serif"/>
                <w:color w:val="000000"/>
                <w:sz w:val="18"/>
              </w:rPr>
              <w:t xml:space="preserve">3x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89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Other NEOs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ind w:left="455" w:right="0" w:hanging="0"/>
              <w:jc w:val="left"/>
              <w:rPr>
                <w:rFonts w:ascii="Arial;Helvetica;sans-serif" w:hAnsi="Arial;Helvetica;sans-serif"/>
                <w:color w:val="000000"/>
                <w:sz w:val="18"/>
              </w:rPr>
            </w:pPr>
            <w:r>
              <w:rPr>
                <w:rFonts w:ascii="Arial;Helvetica;sans-serif" w:hAnsi="Arial;Helvetica;sans-serif"/>
                <w:color w:val="000000"/>
                <w:sz w:val="18"/>
              </w:rPr>
              <w:t>3x</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89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p>
      <w:pPr>
        <w:pStyle w:val="TextBody"/>
        <w:bidi w:val="0"/>
        <w:spacing w:before="30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In addition to the NEOs, the Viatris share ownership policy covers the most senior employees at Viatris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(including corresponding dividend equivalent units (“DEUs”)) count toward compliance with these requirements. The Company believes that this approach is appropriate given the robust requirements set and the fact that the realized value of vested awards has been less than grant date values in the past. All NEOs meet these share ownership requirements or are expected to meet them by the applicable date.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42022x3_10ka_105-cda_pg13"/>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26215F"/>
          <w:sz w:val="20"/>
        </w:rPr>
      </w:pPr>
      <w:bookmarkStart w:id="90" w:name="tCP"/>
      <w:bookmarkEnd w:id="90"/>
      <w:r>
        <w:rPr>
          <w:rFonts w:ascii="Arial;Helvetica;sans-serif" w:hAnsi="Arial;Helvetica;sans-serif"/>
          <w:b/>
          <w:color w:val="26215F"/>
          <w:sz w:val="20"/>
        </w:rPr>
        <w:t xml:space="preserve">Clawback Policy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Board has adopted a clawback policy relating to incentive compensation programs. The policy provides that Viatris may take action to recoup annual incentive compensation and equity-based incentive compensation gains resulting from specified misconduct.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Board and the Compensation Committee are not otherwise constrained from seeking to clawback from or deny compensation to any member of the executive team in response to any breach of duties or ethics. The Board considers additional updates to the clawback policy from time to time.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In the fourth quarter of 2023, we also adopted a clawback policy as required by the final Dodd-Frank rules and exchange listing standards. Our policy requires recoupment of excess compensation paid to our executive officers if amounts are based on material noncompliance with any financial reporting requirement that causes an accounting restatement, without regard to any fault or misconduct. </w:t>
      </w:r>
    </w:p>
    <w:p>
      <w:pPr>
        <w:pStyle w:val="TextBody"/>
        <w:bidi w:val="0"/>
        <w:spacing w:before="320" w:after="283"/>
        <w:ind w:left="0" w:right="0" w:hanging="0"/>
        <w:jc w:val="left"/>
        <w:rPr>
          <w:rFonts w:ascii="Arial;Helvetica;sans-serif" w:hAnsi="Arial;Helvetica;sans-serif"/>
          <w:b/>
          <w:color w:val="26215F"/>
          <w:sz w:val="20"/>
        </w:rPr>
      </w:pPr>
      <w:bookmarkStart w:id="91" w:name="tAHA"/>
      <w:bookmarkEnd w:id="91"/>
      <w:r>
        <w:rPr>
          <w:rFonts w:ascii="Arial;Helvetica;sans-serif" w:hAnsi="Arial;Helvetica;sans-serif"/>
          <w:b/>
          <w:color w:val="26215F"/>
          <w:sz w:val="20"/>
        </w:rPr>
        <w:t xml:space="preserve">Anti-Hedging and Anti-Pledging Policy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has a securities trading policy that prohibits Directors and “officers” (as defined in Rule 16a-1(f) of the Exchange Act)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the Company, such as options and forward contracts.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 </w:t>
      </w:r>
    </w:p>
    <w:p>
      <w:pPr>
        <w:pStyle w:val="TextBody"/>
        <w:bidi w:val="0"/>
        <w:spacing w:before="310" w:after="283"/>
        <w:ind w:left="0" w:right="0" w:hanging="0"/>
        <w:jc w:val="left"/>
        <w:rPr>
          <w:rFonts w:ascii="Arial;Helvetica;sans-serif" w:hAnsi="Arial;Helvetica;sans-serif"/>
          <w:b/>
          <w:color w:val="26215F"/>
          <w:sz w:val="20"/>
        </w:rPr>
      </w:pPr>
      <w:bookmarkStart w:id="92" w:name="tCOR"/>
      <w:bookmarkEnd w:id="92"/>
      <w:r>
        <w:rPr>
          <w:rFonts w:ascii="Arial;Helvetica;sans-serif" w:hAnsi="Arial;Helvetica;sans-serif"/>
          <w:b/>
          <w:color w:val="26215F"/>
          <w:sz w:val="20"/>
        </w:rPr>
        <w:t xml:space="preserve">Consideration of Risk in Company Compensation Policies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has considered risk management in determining compensation policies and believes that our programs are designed appropriately to encourage outstanding, consistent, sustainable business performance over extended periods of time. Management and the Compensation Committee have considered and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3" w:name="ny20042022x3_10ka_105-cda_pg14"/>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believes that our compensation policies and practices do not encourage excessive risk and are not reasonably likely to have a material adverse effect on the Company. </w:t>
      </w:r>
    </w:p>
    <w:p>
      <w:pPr>
        <w:pStyle w:val="TextBody"/>
        <w:bidi w:val="0"/>
        <w:spacing w:before="320" w:after="283"/>
        <w:ind w:left="0" w:right="0" w:hanging="0"/>
        <w:jc w:val="left"/>
        <w:rPr>
          <w:rFonts w:ascii="Arial;Helvetica;sans-serif" w:hAnsi="Arial;Helvetica;sans-serif"/>
          <w:b/>
          <w:color w:val="26215F"/>
          <w:sz w:val="20"/>
        </w:rPr>
      </w:pPr>
      <w:bookmarkStart w:id="94" w:name="tROT"/>
      <w:bookmarkEnd w:id="94"/>
      <w:r>
        <w:rPr>
          <w:rFonts w:ascii="Arial;Helvetica;sans-serif" w:hAnsi="Arial;Helvetica;sans-serif"/>
          <w:b/>
          <w:color w:val="26215F"/>
          <w:sz w:val="20"/>
        </w:rPr>
        <w:t xml:space="preserve">Role of the Compensation Committee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also receives advice from outside counsel including, but not limited to, Cravath, Swaine &amp; Moore LLP.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performs an annual review of the independence of its outside advisors, consistent with NASDAQ requirements and the Compensation Committee charter. </w:t>
      </w:r>
    </w:p>
    <w:p>
      <w:pPr>
        <w:pStyle w:val="TextBody"/>
        <w:bidi w:val="0"/>
        <w:spacing w:before="320" w:after="283"/>
        <w:ind w:left="0" w:right="0" w:hanging="0"/>
        <w:jc w:val="left"/>
        <w:rPr>
          <w:rFonts w:ascii="Arial;Helvetica;sans-serif" w:hAnsi="Arial;Helvetica;sans-serif"/>
          <w:b/>
          <w:color w:val="26215F"/>
          <w:sz w:val="20"/>
        </w:rPr>
      </w:pPr>
      <w:bookmarkStart w:id="95" w:name="tTDC"/>
      <w:bookmarkEnd w:id="95"/>
      <w:r>
        <w:rPr>
          <w:rFonts w:ascii="Arial;Helvetica;sans-serif" w:hAnsi="Arial;Helvetica;sans-serif"/>
          <w:b/>
          <w:color w:val="26215F"/>
          <w:sz w:val="20"/>
        </w:rPr>
        <w:t xml:space="preserve">Tax Deduction Cap on Executive Compensation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6" w:name="ny20042022x3_10ka_105-cda_pg15"/>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Interlocks and Insider Participation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None of the members of the Compensation Committee during 2024 was an officer or employee of Viatris, was formerly an officer of Viatris, or had any relationship requiring disclosure by Viatris under Item 404 of Regulation S-K. During 2024, no executive officer of Viatris served on the compensation committee or board of another entity, one of whose executive officers served on the Compensation Committee or the Board of Viatris. </w:t>
      </w:r>
    </w:p>
    <w:p>
      <w:pPr>
        <w:pStyle w:val="TextBody"/>
        <w:bidi w:val="0"/>
        <w:spacing w:before="31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Insider Trading Policies and Procedures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We have adopted a Global Insider Trading Policy and Insider Trading Policy Additional Procedures governing the purchase, sale, and/or other dispositions of our securities by our directors, officers, and employees, as well as by Viatris itself, that we believe are reasonably designed to promote compliance with insider trading laws, rules and regulations, and listing standards applicable to us. </w:t>
      </w:r>
    </w:p>
    <w:p>
      <w:pPr>
        <w:pStyle w:val="TextBody"/>
        <w:bidi w:val="0"/>
        <w:spacing w:before="31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Equity Award Grant Practices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Our longstanding historical practice is to grant awards in the first quarter of each year, following the release of prior year’s financial results. We do not take material nonpublic information into account when determining the timing or terms of awards, and do not currently grant stock options or stock appreciation rights. </w:t>
      </w:r>
    </w:p>
    <w:p>
      <w:pPr>
        <w:pStyle w:val="TextBody"/>
        <w:bidi w:val="0"/>
        <w:spacing w:before="310" w:after="283"/>
        <w:ind w:left="0" w:right="0" w:hanging="0"/>
        <w:jc w:val="left"/>
        <w:rPr>
          <w:rFonts w:ascii="Arial;Helvetica;sans-serif" w:hAnsi="Arial;Helvetica;sans-serif"/>
          <w:b/>
          <w:color w:val="26215F"/>
          <w:sz w:val="20"/>
        </w:rPr>
      </w:pPr>
      <w:bookmarkStart w:id="97" w:name="tCCR"/>
      <w:bookmarkEnd w:id="97"/>
      <w:r>
        <w:rPr>
          <w:rFonts w:ascii="Arial;Helvetica;sans-serif" w:hAnsi="Arial;Helvetica;sans-serif"/>
          <w:b/>
          <w:color w:val="26215F"/>
          <w:sz w:val="20"/>
        </w:rPr>
        <w:t xml:space="preserve">Compensation Committee Report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We have reviewed and discussed the CD&amp;A with management. Based on such review and discussions, we recommended to the Board that the CD&amp;A be included in this Amendment. </w:t>
      </w:r>
    </w:p>
    <w:p>
      <w:pPr>
        <w:pStyle w:val="TextBody"/>
        <w:bidi w:val="0"/>
        <w:spacing w:before="250" w:after="283"/>
        <w:ind w:left="5200" w:right="0" w:hanging="0"/>
        <w:jc w:val="left"/>
        <w:rPr>
          <w:rFonts w:ascii="Arial;Helvetica;sans-serif" w:hAnsi="Arial;Helvetica;sans-serif"/>
          <w:color w:val="404040"/>
          <w:sz w:val="20"/>
        </w:rPr>
      </w:pPr>
      <w:r>
        <w:rPr>
          <w:rFonts w:ascii="Arial;Helvetica;sans-serif" w:hAnsi="Arial;Helvetica;sans-serif"/>
          <w:color w:val="404040"/>
          <w:sz w:val="20"/>
        </w:rPr>
        <w:t xml:space="preserve">Respectfully submitted, </w:t>
      </w:r>
    </w:p>
    <w:p>
      <w:pPr>
        <w:pStyle w:val="TextBody"/>
        <w:bidi w:val="0"/>
        <w:spacing w:before="250" w:after="283"/>
        <w:ind w:left="5200" w:right="0" w:hanging="0"/>
        <w:jc w:val="left"/>
        <w:rPr>
          <w:rFonts w:ascii="Arial;Helvetica;sans-serif" w:hAnsi="Arial;Helvetica;sans-serif"/>
          <w:color w:val="404040"/>
          <w:sz w:val="20"/>
        </w:rPr>
      </w:pPr>
      <w:r>
        <w:rPr>
          <w:rFonts w:ascii="Arial;Helvetica;sans-serif" w:hAnsi="Arial;Helvetica;sans-serif"/>
          <w:color w:val="404040"/>
          <w:sz w:val="20"/>
        </w:rPr>
        <w:t xml:space="preserve">Harry Korman, Chair </w:t>
      </w:r>
    </w:p>
    <w:p>
      <w:pPr>
        <w:pStyle w:val="TextBody"/>
        <w:bidi w:val="0"/>
        <w:spacing w:before="0" w:after="283"/>
        <w:ind w:left="5200" w:right="0" w:hanging="0"/>
        <w:jc w:val="left"/>
        <w:rPr>
          <w:rFonts w:ascii="Arial;Helvetica;sans-serif" w:hAnsi="Arial;Helvetica;sans-serif"/>
          <w:color w:val="404040"/>
          <w:sz w:val="20"/>
        </w:rPr>
      </w:pPr>
      <w:r>
        <w:rPr>
          <w:rFonts w:ascii="Arial;Helvetica;sans-serif" w:hAnsi="Arial;Helvetica;sans-serif"/>
          <w:color w:val="404040"/>
          <w:sz w:val="20"/>
        </w:rPr>
        <w:t xml:space="preserve">JoEllen Lyons Dillon </w:t>
      </w:r>
    </w:p>
    <w:p>
      <w:pPr>
        <w:pStyle w:val="TextBody"/>
        <w:bidi w:val="0"/>
        <w:spacing w:before="0" w:after="283"/>
        <w:ind w:left="5200" w:right="0" w:hanging="0"/>
        <w:jc w:val="left"/>
        <w:rPr>
          <w:rFonts w:ascii="Arial;Helvetica;sans-serif" w:hAnsi="Arial;Helvetica;sans-serif"/>
          <w:color w:val="404040"/>
          <w:sz w:val="20"/>
        </w:rPr>
      </w:pPr>
      <w:r>
        <w:rPr>
          <w:rFonts w:ascii="Arial;Helvetica;sans-serif" w:hAnsi="Arial;Helvetica;sans-serif"/>
          <w:color w:val="404040"/>
          <w:sz w:val="20"/>
        </w:rPr>
        <w:t>James M. Kilts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39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8" w:name="ny20042022x3_10ka_106-comp_pg1"/>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666666"/>
          <w:sz w:val="28"/>
        </w:rPr>
      </w:pPr>
      <w:bookmarkStart w:id="99" w:name="tECT"/>
      <w:bookmarkEnd w:id="99"/>
      <w:r>
        <w:rPr>
          <w:rFonts w:ascii="Arial;Helvetica;sans-serif" w:hAnsi="Arial;Helvetica;sans-serif"/>
          <w:b/>
          <w:color w:val="666666"/>
          <w:sz w:val="28"/>
        </w:rPr>
        <w:t>Executive Compensation Tables</w:t>
      </w:r>
    </w:p>
    <w:p>
      <w:pPr>
        <w:pStyle w:val="TextBody"/>
        <w:bidi w:val="0"/>
        <w:spacing w:before="230" w:after="283"/>
        <w:ind w:left="0" w:right="0" w:hanging="0"/>
        <w:jc w:val="left"/>
        <w:rPr>
          <w:rFonts w:ascii="Arial;Helvetica;sans-serif" w:hAnsi="Arial;Helvetica;sans-serif"/>
          <w:b/>
          <w:color w:val="722981"/>
          <w:sz w:val="20"/>
        </w:rPr>
      </w:pPr>
      <w:bookmarkStart w:id="100" w:name="tSCT"/>
      <w:bookmarkEnd w:id="100"/>
      <w:r>
        <w:rPr>
          <w:rFonts w:ascii="Arial;Helvetica;sans-serif" w:hAnsi="Arial;Helvetica;sans-serif"/>
          <w:b/>
          <w:color w:val="722981"/>
          <w:sz w:val="20"/>
        </w:rPr>
        <w:t xml:space="preserve">2024 Summary Compensation Table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following summary compensation table sets forth the cash and non-cash compensation paid or granted to or earned by the NEOs for 2024, 2023, and 2022. </w:t>
      </w:r>
    </w:p>
    <w:tbl>
      <w:tblPr>
        <w:tblW w:w="12465" w:type="dxa"/>
        <w:jc w:val="left"/>
        <w:tblInd w:w="0" w:type="dxa"/>
        <w:tblLayout w:type="fixed"/>
        <w:tblCellMar>
          <w:top w:w="0" w:type="dxa"/>
          <w:left w:w="0" w:type="dxa"/>
          <w:bottom w:w="0" w:type="dxa"/>
          <w:right w:w="0" w:type="dxa"/>
        </w:tblCellMar>
      </w:tblPr>
      <w:tblGrid>
        <w:gridCol w:w="185"/>
        <w:gridCol w:w="920"/>
        <w:gridCol w:w="170"/>
        <w:gridCol w:w="170"/>
        <w:gridCol w:w="515"/>
        <w:gridCol w:w="170"/>
        <w:gridCol w:w="170"/>
        <w:gridCol w:w="770"/>
        <w:gridCol w:w="170"/>
        <w:gridCol w:w="170"/>
        <w:gridCol w:w="770"/>
        <w:gridCol w:w="170"/>
        <w:gridCol w:w="170"/>
        <w:gridCol w:w="860"/>
        <w:gridCol w:w="170"/>
        <w:gridCol w:w="170"/>
        <w:gridCol w:w="650"/>
        <w:gridCol w:w="170"/>
        <w:gridCol w:w="170"/>
        <w:gridCol w:w="1220"/>
        <w:gridCol w:w="170"/>
        <w:gridCol w:w="170"/>
        <w:gridCol w:w="1220"/>
        <w:gridCol w:w="170"/>
        <w:gridCol w:w="170"/>
        <w:gridCol w:w="1220"/>
        <w:gridCol w:w="170"/>
        <w:gridCol w:w="170"/>
        <w:gridCol w:w="860"/>
        <w:gridCol w:w="215"/>
      </w:tblGrid>
      <w:tr>
        <w:trPr/>
        <w:tc>
          <w:tcPr>
            <w:tcW w:w="185" w:type="dxa"/>
            <w:tcBorders/>
            <w:shd w:fill="722981" w:val="clear"/>
            <w:vAlign w:val="center"/>
          </w:tcPr>
          <w:p>
            <w:pPr>
              <w:pStyle w:val="TableContents"/>
              <w:bidi w:val="0"/>
              <w:spacing w:before="0" w:after="0"/>
              <w:jc w:val="left"/>
              <w:rPr/>
            </w:pPr>
            <w:r>
              <w:rPr/>
              <w:t> </w:t>
            </w:r>
          </w:p>
        </w:tc>
        <w:tc>
          <w:tcPr>
            <w:tcW w:w="92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51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5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2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2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2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920"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 and</w:t>
            </w:r>
          </w:p>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Principal</w:t>
            </w:r>
          </w:p>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515"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5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2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 Plan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2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in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Pension 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Non-Qualified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Deferred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Earnings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2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All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(5)</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722981" w:val="clear"/>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920"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Scott A. Smith</w:t>
            </w:r>
          </w:p>
          <w:p>
            <w:pPr>
              <w:pStyle w:val="TableContents"/>
              <w:bidi w:val="0"/>
              <w:spacing w:before="0" w:after="283"/>
              <w:ind w:left="3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Executive Officer</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1,400,000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9,800,021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0" w:type="dxa"/>
            <w:tcBorders/>
            <w:shd w:fill="E6E6E6"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2,940,000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47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619,358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14,759,379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92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1,023,077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11,200,008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0" w:type="dxa"/>
            <w:tcBorders/>
            <w:shd w:fill="E6E6E6"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2,884,494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47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822,830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15,930,409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Doretta Mistras</w:t>
            </w:r>
          </w:p>
          <w:p>
            <w:pPr>
              <w:pStyle w:val="TableContents"/>
              <w:bidi w:val="0"/>
              <w:spacing w:before="0" w:after="283"/>
              <w:ind w:left="3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809,135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3,800,019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1,155,000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109,538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6,373,692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Corinne Le Goff</w:t>
            </w:r>
          </w:p>
          <w:p>
            <w:pPr>
              <w:pStyle w:val="TableContents"/>
              <w:bidi w:val="0"/>
              <w:spacing w:before="0" w:after="283"/>
              <w:ind w:left="3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Commercial Officer</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605,769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4,375,019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0" w:type="dxa"/>
            <w:tcBorders/>
            <w:shd w:fill="E6E6E6"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873,566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47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61,040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5,915,394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Paul Campbell</w:t>
            </w:r>
          </w:p>
          <w:p>
            <w:pPr>
              <w:pStyle w:val="TableContents"/>
              <w:bidi w:val="0"/>
              <w:spacing w:before="0" w:after="283"/>
              <w:ind w:left="3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 xml:space="preserve">Chief Accounting Officer </w:t>
            </w:r>
          </w:p>
          <w:p>
            <w:pPr>
              <w:pStyle w:val="TableContents"/>
              <w:bidi w:val="0"/>
              <w:spacing w:before="0" w:after="283"/>
              <w:ind w:left="3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and Corporate Controller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715,385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1,812,507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1,015,000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222,398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5,515,290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920"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Brian Roman</w:t>
            </w:r>
          </w:p>
          <w:p>
            <w:pPr>
              <w:pStyle w:val="TableContents"/>
              <w:bidi w:val="0"/>
              <w:spacing w:before="0" w:after="283"/>
              <w:ind w:left="3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Legal Officer</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824,520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2,475,004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0" w:type="dxa"/>
            <w:tcBorders/>
            <w:shd w:fill="E6E6E6"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1,155,000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47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234,780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4,689,304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92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790,385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1,600,015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50" w:type="dxa"/>
            <w:tcBorders/>
            <w:shd w:fill="E6E6E6"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1,458,480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47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20"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263,253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4,112,133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920"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Sanjeev Narula</w:t>
            </w:r>
          </w:p>
          <w:p>
            <w:pPr>
              <w:pStyle w:val="TableContents"/>
              <w:bidi w:val="0"/>
              <w:spacing w:before="0" w:after="283"/>
              <w:ind w:left="3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 xml:space="preserve">Former Chief Financial </w:t>
            </w:r>
          </w:p>
          <w:p>
            <w:pPr>
              <w:pStyle w:val="TableContents"/>
              <w:bidi w:val="0"/>
              <w:spacing w:before="0" w:after="283"/>
              <w:ind w:left="3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681,821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229,986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4,152,344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5,249,151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923,558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3,700,013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1,686,368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470,303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6,780,242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840,385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3,400,006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1,586,355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281,660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6,108,406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67"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Represents the base salary actually paid to the NEO in 2024, 2023, and 2022. For Dr. Le Goff, the amount reflects salary received commencing with her April 15, 2024 hire date. For Mr. Narula, the amount reflects salary received up until his last day of employment, which was March 5, 2024.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998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In connection with the hire date for Ms. Mistras, she received a cash sign-on bonus in the amount of $500,000. In connection with the Combination in 2020, Mr. Campbell was granted a retention bonus (equal to $1,500,000), which became payable in 2024 upon the four-year anniversary of the Combination, subject to Mr. Campbell's continued employment through such date. In connection with the successful completion of the divestiture of our OTC Business, Mr. Campbell was also granted a bonus (equal to $250,000), which became payable in 2024. Consistent with our engagement with shareholders, the Compensation Committee has determined that it does not intend to issue new cash-based retention awards for NEOs except in extraordinary situations where such awards will have a performance-based component with meaningful vesting requirements or in connection with new hires.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9985"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Represents the grant date fair value of the long-term incentive awards granted to the NEO in 2024, 2023, and 2022, as applicable. The grant date fair value of PRSUs for 2024 is based on the target value and is as follows: Smith ($6,370,010), Mistras ($2,145,004), Le Goff ($2,275,007), Campbell ($1,178,130), and Roman ($1,608,753). If the maximum achievement of performance goals had been assumed, the grant date fair value of the PRSUs for 2024 would have been as follows: Smith ($12,421,528), Mistras ($4,182,760), Le Goff ($4,436,268), Campbell ($2,297,366), and Roman ($3,137,079). Mr. Narula did not receive a 2024 long-term incentive award grant in 2024. The amount reported reflects the accounting incremental fair value of a prorated portion of the PRSUs awarded to him in 2022 resulting from their modification under his separation agreement to provide for continued vesting. For information regarding assumptions used in determining the expense of such awards, please refer to Note 13 to the Company’s Consolidated Financial Statements contained in the Original Filing.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(4)</w:t>
            </w:r>
          </w:p>
        </w:tc>
        <w:tc>
          <w:tcPr>
            <w:tcW w:w="9951" w:type="dxa"/>
            <w:tcBorders/>
            <w:vAlign w:val="center"/>
          </w:tcPr>
          <w:p>
            <w:pPr>
              <w:pStyle w:val="TableContents"/>
              <w:bidi w:val="0"/>
              <w:spacing w:before="0" w:after="0"/>
              <w:jc w:val="both"/>
              <w:rPr/>
            </w:pPr>
            <w:r>
              <w:rPr>
                <w:rFonts w:ascii="Arial;Helvetica;sans-serif" w:hAnsi="Arial;Helvetica;sans-serif"/>
                <w:color w:val="404040"/>
                <w:sz w:val="18"/>
              </w:rPr>
              <w:t xml:space="preserve">Represents amounts paid under the Company’s annual short-term incentive plan. For a discussion of this plan, see “2024 Annual Incentive Compensation Program” on page </w:t>
            </w:r>
            <w:hyperlink w:anchor="tAIC">
              <w:r>
                <w:rPr>
                  <w:rStyle w:val="InternetLink"/>
                  <w:rFonts w:ascii="Arial;Helvetica;sans-serif" w:hAnsi="Arial;Helvetica;sans-serif"/>
                  <w:color w:val="000080"/>
                  <w:sz w:val="18"/>
                </w:rPr>
                <w:t>30</w:t>
              </w:r>
            </w:hyperlink>
            <w:r>
              <w:rPr>
                <w:rFonts w:ascii="Arial;Helvetica;sans-serif" w:hAnsi="Arial;Helvetica;sans-serif"/>
                <w:color w:val="404040"/>
                <w:sz w:val="18"/>
              </w:rPr>
              <w:t xml:space="preserv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1" w:name="ny20042022x3_10ka_106-comp_pg2"/>
        <w:bookmarkEnd w:id="101"/>
        <w:r>
          <w:rPr>
            <w:rStyle w:val="InternetLink"/>
            <w:rFonts w:ascii="Times New Roman;Times;Serif" w:hAnsi="Times New Roman;Times;Serif"/>
            <w:b/>
            <w:caps w:val="false"/>
            <w:smallCaps w:val="false"/>
            <w:color w:val="000000"/>
            <w:sz w:val="16"/>
          </w:rPr>
          <w:t>TABLE OF CONTENTS</w:t>
        </w:r>
      </w:hyperlink>
    </w:p>
    <w:tbl>
      <w:tblPr>
        <w:tblW w:w="5665" w:type="dxa"/>
        <w:jc w:val="left"/>
        <w:tblInd w:w="0" w:type="dxa"/>
        <w:tblLayout w:type="fixed"/>
        <w:tblCellMar>
          <w:top w:w="0" w:type="dxa"/>
          <w:left w:w="0" w:type="dxa"/>
          <w:bottom w:w="0" w:type="dxa"/>
          <w:right w:w="0" w:type="dxa"/>
        </w:tblCellMar>
      </w:tblPr>
      <w:tblGrid>
        <w:gridCol w:w="275"/>
        <w:gridCol w:w="5390"/>
      </w:tblGrid>
      <w:tr>
        <w:trPr/>
        <w:tc>
          <w:tcPr>
            <w:tcW w:w="2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(5)</w:t>
            </w:r>
          </w:p>
        </w:tc>
        <w:tc>
          <w:tcPr>
            <w:tcW w:w="539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Amounts shown in this column are detailed in the following chart. </w:t>
            </w:r>
          </w:p>
        </w:tc>
      </w:tr>
    </w:tbl>
    <w:tbl>
      <w:tblPr>
        <w:tblW w:w="11775" w:type="dxa"/>
        <w:jc w:val="left"/>
        <w:tblInd w:w="0" w:type="dxa"/>
        <w:tblLayout w:type="fixed"/>
        <w:tblCellMar>
          <w:top w:w="0" w:type="dxa"/>
          <w:left w:w="0" w:type="dxa"/>
          <w:bottom w:w="0" w:type="dxa"/>
          <w:right w:w="0" w:type="dxa"/>
        </w:tblCellMar>
      </w:tblPr>
      <w:tblGrid>
        <w:gridCol w:w="185"/>
        <w:gridCol w:w="725"/>
        <w:gridCol w:w="170"/>
        <w:gridCol w:w="170"/>
        <w:gridCol w:w="515"/>
        <w:gridCol w:w="170"/>
        <w:gridCol w:w="170"/>
        <w:gridCol w:w="980"/>
        <w:gridCol w:w="170"/>
        <w:gridCol w:w="170"/>
        <w:gridCol w:w="845"/>
        <w:gridCol w:w="170"/>
        <w:gridCol w:w="170"/>
        <w:gridCol w:w="845"/>
        <w:gridCol w:w="170"/>
        <w:gridCol w:w="170"/>
        <w:gridCol w:w="1070"/>
        <w:gridCol w:w="170"/>
        <w:gridCol w:w="170"/>
        <w:gridCol w:w="1070"/>
        <w:gridCol w:w="170"/>
        <w:gridCol w:w="170"/>
        <w:gridCol w:w="860"/>
        <w:gridCol w:w="170"/>
        <w:gridCol w:w="170"/>
        <w:gridCol w:w="635"/>
        <w:gridCol w:w="170"/>
        <w:gridCol w:w="170"/>
        <w:gridCol w:w="770"/>
        <w:gridCol w:w="215"/>
      </w:tblGrid>
      <w:tr>
        <w:trPr/>
        <w:tc>
          <w:tcPr>
            <w:tcW w:w="185" w:type="dxa"/>
            <w:tcBorders/>
            <w:shd w:fill="722981" w:val="clear"/>
            <w:vAlign w:val="center"/>
          </w:tcPr>
          <w:p>
            <w:pPr>
              <w:pStyle w:val="TableContents"/>
              <w:bidi w:val="0"/>
              <w:spacing w:before="0" w:after="0"/>
              <w:jc w:val="left"/>
              <w:rPr/>
            </w:pPr>
            <w:r>
              <w:rPr/>
              <w:t> </w:t>
            </w:r>
          </w:p>
        </w:tc>
        <w:tc>
          <w:tcPr>
            <w:tcW w:w="72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51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4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4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3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72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7"/>
              </w:rPr>
            </w:pPr>
            <w:r>
              <w:rPr>
                <w:rFonts w:ascii="Arial;Helvetica;sans-serif" w:hAnsi="Arial;Helvetica;sans-serif"/>
                <w:b/>
                <w:color w:val="FFFFFF"/>
                <w:sz w:val="17"/>
              </w:rPr>
              <w:t>Name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515" w:type="dxa"/>
            <w:tcBorders/>
            <w:shd w:fill="72298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Fiscal</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Year</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Automobile</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Benefit</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w:t>
            </w:r>
            <w:r>
              <w:rPr>
                <w:rFonts w:ascii="Arial;Helvetica;sans-serif" w:hAnsi="Arial;Helvetica;sans-serif"/>
                <w:b/>
                <w:color w:val="FFFFFF"/>
                <w:position w:val="6"/>
                <w:sz w:val="14"/>
                <w:sz w:val="17"/>
              </w:rPr>
              <w:t>(a)</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45" w:type="dxa"/>
            <w:tcBorders/>
            <w:shd w:fill="72298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Personal</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Use of</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Corporate</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Aircraft</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w:t>
            </w:r>
            <w:r>
              <w:rPr>
                <w:rFonts w:ascii="Arial;Helvetica;sans-serif" w:hAnsi="Arial;Helvetica;sans-serif"/>
                <w:b/>
                <w:color w:val="FFFFFF"/>
                <w:position w:val="6"/>
                <w:sz w:val="14"/>
                <w:sz w:val="17"/>
              </w:rPr>
              <w:t>(b)</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45" w:type="dxa"/>
            <w:tcBorders/>
            <w:shd w:fill="72298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Expatriate</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Benefits</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w:t>
            </w:r>
            <w:r>
              <w:rPr>
                <w:rFonts w:ascii="Arial;Helvetica;sans-serif" w:hAnsi="Arial;Helvetica;sans-serif"/>
                <w:b/>
                <w:color w:val="FFFFFF"/>
                <w:position w:val="6"/>
                <w:sz w:val="14"/>
                <w:sz w:val="17"/>
              </w:rPr>
              <w:t>(c)</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70" w:type="dxa"/>
            <w:tcBorders/>
            <w:shd w:fill="72298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401(k) and</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Profit</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Sharing</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Plan</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Matching</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and Profit</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Sharing</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Contribution</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w:t>
            </w:r>
            <w:r>
              <w:rPr>
                <w:rFonts w:ascii="Arial;Helvetica;sans-serif" w:hAnsi="Arial;Helvetica;sans-serif"/>
                <w:b/>
                <w:color w:val="FFFFFF"/>
                <w:position w:val="6"/>
                <w:sz w:val="14"/>
                <w:sz w:val="17"/>
              </w:rPr>
              <w:t>)(d)</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70" w:type="dxa"/>
            <w:tcBorders/>
            <w:shd w:fill="72298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Restoration</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Plan</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Contribution</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w:t>
            </w:r>
            <w:r>
              <w:rPr>
                <w:rFonts w:ascii="Arial;Helvetica;sans-serif" w:hAnsi="Arial;Helvetica;sans-serif"/>
                <w:b/>
                <w:color w:val="FFFFFF"/>
                <w:position w:val="6"/>
                <w:sz w:val="14"/>
                <w:sz w:val="17"/>
              </w:rPr>
              <w:t>(e)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Transition</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Related</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Benefits</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w:t>
            </w:r>
            <w:r>
              <w:rPr>
                <w:rFonts w:ascii="Arial;Helvetica;sans-serif" w:hAnsi="Arial;Helvetica;sans-serif"/>
                <w:b/>
                <w:color w:val="FFFFFF"/>
                <w:position w:val="6"/>
                <w:sz w:val="14"/>
                <w:sz w:val="17"/>
              </w:rPr>
              <w:t>(f)</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35" w:type="dxa"/>
            <w:tcBorders/>
            <w:shd w:fill="72298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Other</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w:t>
            </w:r>
            <w:r>
              <w:rPr>
                <w:rFonts w:ascii="Arial;Helvetica;sans-serif" w:hAnsi="Arial;Helvetica;sans-serif"/>
                <w:b/>
                <w:color w:val="FFFFFF"/>
                <w:position w:val="6"/>
                <w:sz w:val="14"/>
                <w:sz w:val="17"/>
              </w:rPr>
              <w:t>(g)</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Total</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 xml:space="preserve">($) </w:t>
            </w:r>
          </w:p>
        </w:tc>
        <w:tc>
          <w:tcPr>
            <w:tcW w:w="215" w:type="dxa"/>
            <w:tcBorders/>
            <w:shd w:fill="722981" w:val="clear"/>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725"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Scott A. Smith</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19,200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99" w:right="0" w:hanging="0"/>
              <w:jc w:val="left"/>
              <w:rPr>
                <w:rFonts w:ascii="Arial;Helvetica;sans-serif" w:hAnsi="Arial;Helvetica;sans-serif"/>
                <w:color w:val="000000"/>
                <w:sz w:val="17"/>
              </w:rPr>
            </w:pPr>
            <w:r>
              <w:rPr>
                <w:rFonts w:ascii="Arial;Helvetica;sans-serif" w:hAnsi="Arial;Helvetica;sans-serif"/>
                <w:color w:val="000000"/>
                <w:sz w:val="17"/>
              </w:rPr>
              <w:t>167,669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34,700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395,970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1,819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619,358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725"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14,458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99" w:right="0" w:hanging="0"/>
              <w:jc w:val="left"/>
              <w:rPr>
                <w:rFonts w:ascii="Arial;Helvetica;sans-serif" w:hAnsi="Arial;Helvetica;sans-serif"/>
                <w:color w:val="000000"/>
                <w:sz w:val="17"/>
              </w:rPr>
            </w:pPr>
            <w:r>
              <w:rPr>
                <w:rFonts w:ascii="Arial;Helvetica;sans-serif" w:hAnsi="Arial;Helvetica;sans-serif"/>
                <w:color w:val="000000"/>
                <w:sz w:val="17"/>
              </w:rPr>
              <w:t>163,853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37,177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188,587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418,755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822,830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19,200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42,154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46,413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1,771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109,538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Corinne Le Goff</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13,653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9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30,462</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15,646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1,279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61,040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16,800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34,915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151,659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19,024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222,398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725"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Brian Roman</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16,800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9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34,508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181,653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1,819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234,780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725"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15" w:type="dxa"/>
            <w:tcBorders/>
            <w:shd w:fill="E6E6E6" w:val="clear"/>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16,800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9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45"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36,515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70" w:type="dxa"/>
            <w:tcBorders/>
            <w:shd w:fill="E6E6E6" w:val="clear"/>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206,747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3,191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263,253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25"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Sanjeev Narula</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3,458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4" w:right="0" w:hanging="0"/>
              <w:jc w:val="left"/>
              <w:rPr>
                <w:rFonts w:ascii="Arial;Helvetica;sans-serif" w:hAnsi="Arial;Helvetica;sans-serif"/>
                <w:color w:val="000000"/>
                <w:sz w:val="17"/>
              </w:rPr>
            </w:pPr>
            <w:r>
              <w:rPr>
                <w:rFonts w:ascii="Arial;Helvetica;sans-serif" w:hAnsi="Arial;Helvetica;sans-serif"/>
                <w:color w:val="000000"/>
                <w:sz w:val="17"/>
              </w:rPr>
              <w:t>94,457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27,815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96,653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8" w:right="0" w:hanging="0"/>
              <w:jc w:val="left"/>
              <w:rPr>
                <w:rFonts w:ascii="Arial;Helvetica;sans-serif" w:hAnsi="Arial;Helvetica;sans-serif"/>
                <w:color w:val="000000"/>
                <w:sz w:val="17"/>
              </w:rPr>
            </w:pPr>
            <w:r>
              <w:rPr>
                <w:rFonts w:ascii="Arial;Helvetica;sans-serif" w:hAnsi="Arial;Helvetica;sans-serif"/>
                <w:color w:val="000000"/>
                <w:sz w:val="17"/>
              </w:rPr>
              <w:t>3,784,522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145,439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4,152,344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19,200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4" w:right="0" w:hanging="0"/>
              <w:jc w:val="left"/>
              <w:rPr>
                <w:rFonts w:ascii="Arial;Helvetica;sans-serif" w:hAnsi="Arial;Helvetica;sans-serif"/>
                <w:color w:val="000000"/>
                <w:sz w:val="17"/>
              </w:rPr>
            </w:pPr>
            <w:r>
              <w:rPr>
                <w:rFonts w:ascii="Arial;Helvetica;sans-serif" w:hAnsi="Arial;Helvetica;sans-serif"/>
                <w:color w:val="000000"/>
                <w:sz w:val="17"/>
              </w:rPr>
              <w:t>175,942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29,638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243,768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1,755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470,303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52" w:right="0" w:hanging="0"/>
              <w:jc w:val="left"/>
              <w:rPr>
                <w:rFonts w:ascii="Arial;Helvetica;sans-serif" w:hAnsi="Arial;Helvetica;sans-serif"/>
                <w:color w:val="000000"/>
                <w:sz w:val="17"/>
              </w:rPr>
            </w:pPr>
            <w:r>
              <w:rPr>
                <w:rFonts w:ascii="Arial;Helvetica;sans-serif" w:hAnsi="Arial;Helvetica;sans-serif"/>
                <w:color w:val="000000"/>
                <w:sz w:val="17"/>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08" w:right="0" w:hanging="0"/>
              <w:jc w:val="left"/>
              <w:rPr>
                <w:rFonts w:ascii="Arial;Helvetica;sans-serif" w:hAnsi="Arial;Helvetica;sans-serif"/>
                <w:color w:val="000000"/>
                <w:sz w:val="17"/>
              </w:rPr>
            </w:pPr>
            <w:r>
              <w:rPr>
                <w:rFonts w:ascii="Arial;Helvetica;sans-serif" w:hAnsi="Arial;Helvetica;sans-serif"/>
                <w:color w:val="000000"/>
                <w:sz w:val="17"/>
              </w:rPr>
              <w:t>19,262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4" w:right="0" w:hanging="0"/>
              <w:jc w:val="left"/>
              <w:rPr>
                <w:rFonts w:ascii="Arial;Helvetica;sans-serif" w:hAnsi="Arial;Helvetica;sans-serif"/>
                <w:color w:val="000000"/>
                <w:sz w:val="17"/>
              </w:rPr>
            </w:pPr>
            <w:r>
              <w:rPr>
                <w:rFonts w:ascii="Arial;Helvetica;sans-serif" w:hAnsi="Arial;Helvetica;sans-serif"/>
                <w:color w:val="000000"/>
                <w:sz w:val="17"/>
              </w:rPr>
              <w:t>4,756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50" w:right="0" w:hanging="0"/>
              <w:jc w:val="left"/>
              <w:rPr>
                <w:rFonts w:ascii="Arial;Helvetica;sans-serif" w:hAnsi="Arial;Helvetica;sans-serif"/>
                <w:color w:val="000000"/>
                <w:sz w:val="17"/>
              </w:rPr>
            </w:pPr>
            <w:r>
              <w:rPr>
                <w:rFonts w:ascii="Arial;Helvetica;sans-serif" w:hAnsi="Arial;Helvetica;sans-serif"/>
                <w:color w:val="000000"/>
                <w:sz w:val="17"/>
              </w:rPr>
              <w:t>27,504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3" w:right="0" w:hanging="0"/>
              <w:jc w:val="left"/>
              <w:rPr>
                <w:rFonts w:ascii="Arial;Helvetica;sans-serif" w:hAnsi="Arial;Helvetica;sans-serif"/>
                <w:color w:val="000000"/>
                <w:sz w:val="17"/>
              </w:rPr>
            </w:pPr>
            <w:r>
              <w:rPr>
                <w:rFonts w:ascii="Arial;Helvetica;sans-serif" w:hAnsi="Arial;Helvetica;sans-serif"/>
                <w:color w:val="000000"/>
                <w:sz w:val="17"/>
              </w:rPr>
              <w:t>228,450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1,688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281,660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9955"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The values for 2024 represent a vehicle allowance. In addition to the vehicle allowance, there were ancillary expenses associated with such vehicle for Mr. Smith in 2023 and for Mr. Narula in 2022.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(b)</w:t>
            </w:r>
          </w:p>
        </w:tc>
        <w:tc>
          <w:tcPr>
            <w:tcW w:w="998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(c)</w:t>
            </w:r>
          </w:p>
        </w:tc>
        <w:tc>
          <w:tcPr>
            <w:tcW w:w="9986"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For 2024, amount disclosed represents the tax equalization, gross up, and tax preparation of $94,457. For 2023, amount disclosed represents the tax equalization, gross up, and tax preparation of $175,942. For 2022, amount disclosed includes the value of certain one-time, non-recurring expatriate, repatriation, and relocation benefits of $4,756.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(d)</w:t>
            </w:r>
          </w:p>
        </w:tc>
        <w:tc>
          <w:tcPr>
            <w:tcW w:w="9982"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For 2024, amounts for each NEO include a matching contribution for Smith ($14,000), Mistras ($21,454), Le Goff ($9,762), Campbell ($14,215), Roman ($13,808), and Narula ($7,115) and a profit sharing contribution received in March 2025 in respect of fiscal year 2024 to each NEO of Smith, Mistras, Le Goff, Campbell, Roman, and Narula ($20,700). For 2023, amounts for each NEO include a matching contribution for Messrs. Smith ($14,077), Roman ($13,415), and Narula ($6,538) and a profit sharing contribution received in March 2024 in respect of fiscal year 2023 to each of Messrs. Smith, Roman, and Narula ($23,100). For 2022, amounts for each NEO include a matching contribution for Mr. Narula ($6,154), and a profit sharing contribution received in March 2023 in respect of fiscal year 2022 to Mr. Narula, ($21,350).</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(e)</w:t>
            </w:r>
          </w:p>
        </w:tc>
        <w:tc>
          <w:tcPr>
            <w:tcW w:w="9984"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For 2024, amounts disclosed include a matching contribution under the Restoration Plan for Smith ($159,600), Mistras ($18,565), Campbell ($55,600), Roman ($65,373), and a profit sharing contribution under the Restoration Plan received in March 2025 in respect of fiscal year 2024 for NEOs Smith ($236,370), Mistras ($27,848), Le Goff ($15,646), Campbell ($96,059), Roman ($116,280), and Narula ($96,653). For 2023, amounts disclosed include a matching contribution under the Restoration Plan for Messrs. Smith ($140,072), Roman ($76,539), and Narula ($91,174), and a profit sharing contribution under the Restoration Plan received in March 2024 in respect of fiscal year 2023 for Messrs. Smith ($48,515), Roman ($130,208), and Narula ($152,594). For 2022, amounts disclosed include a matching contribution under the Restoration Plan for Mr. Narula ($82,254), and a profit sharing contribution under the Restoration Plan received in March 2023 in respect of fiscal year 2022 for Mr. Narula ($144,196).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(f)</w:t>
            </w:r>
          </w:p>
        </w:tc>
        <w:tc>
          <w:tcPr>
            <w:tcW w:w="1003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For Mr. Narula, the amount reflects a severance amount of $3,700,000 and payment in lieu of accrued vacation ($84,522) in connection with his separation as an executive of the Company. All separation benefits paid to Mr. Narula were required pursuant to the existing terms of their contractual agreements, which were previously disclosed and subject to prior say-on-pay resolutions.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(g)</w:t>
            </w:r>
          </w:p>
        </w:tc>
        <w:tc>
          <w:tcPr>
            <w:tcW w:w="9981"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For 2024, amounts disclosed represent premiums for international travel assistance and long-term disability for each of the NEOs, events and non-recurring relocation allowances for Mr. Narula ($145,055). For 2023, amounts disclosed represent non-employee board compensation fees for Mr. Smith 2023 earned prior to becoming CEO on April 1, 2023 ($37,500); non-recurring relocation allowances for Mr. Smith ($379,952); events for Mr. Roman; and premiums for international travel assistance and long-term disability for each of the NEOs. For 2022, amounts disclosed represent international travel assistance premiums for Mr. Narula; and long-term disability premiums for Mr. Narula.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42022x3_10ka_106-comp_pg3"/>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22981"/>
          <w:sz w:val="20"/>
        </w:rPr>
      </w:pPr>
      <w:bookmarkStart w:id="103" w:name="tGPBA24"/>
      <w:bookmarkEnd w:id="103"/>
      <w:r>
        <w:rPr>
          <w:rFonts w:ascii="Arial;Helvetica;sans-serif" w:hAnsi="Arial;Helvetica;sans-serif"/>
          <w:b/>
          <w:color w:val="722981"/>
          <w:sz w:val="20"/>
        </w:rPr>
        <w:t xml:space="preserve">Grants of Plan-Based Awards for 2024 </w:t>
      </w:r>
    </w:p>
    <w:p>
      <w:pPr>
        <w:pStyle w:val="TextBody"/>
        <w:bidi w:val="0"/>
        <w:spacing w:before="20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following table summarizes grants of plan-based awards made to each NEO during 2024. </w:t>
      </w:r>
    </w:p>
    <w:tbl>
      <w:tblPr>
        <w:tblW w:w="14385" w:type="dxa"/>
        <w:jc w:val="left"/>
        <w:tblInd w:w="0" w:type="dxa"/>
        <w:tblLayout w:type="fixed"/>
        <w:tblCellMar>
          <w:top w:w="0" w:type="dxa"/>
          <w:left w:w="0" w:type="dxa"/>
          <w:bottom w:w="0" w:type="dxa"/>
          <w:right w:w="0" w:type="dxa"/>
        </w:tblCellMar>
      </w:tblPr>
      <w:tblGrid>
        <w:gridCol w:w="185"/>
        <w:gridCol w:w="800"/>
        <w:gridCol w:w="170"/>
        <w:gridCol w:w="170"/>
        <w:gridCol w:w="500"/>
        <w:gridCol w:w="170"/>
        <w:gridCol w:w="170"/>
        <w:gridCol w:w="770"/>
        <w:gridCol w:w="170"/>
        <w:gridCol w:w="170"/>
        <w:gridCol w:w="860"/>
        <w:gridCol w:w="170"/>
        <w:gridCol w:w="170"/>
        <w:gridCol w:w="770"/>
        <w:gridCol w:w="170"/>
        <w:gridCol w:w="170"/>
        <w:gridCol w:w="815"/>
        <w:gridCol w:w="170"/>
        <w:gridCol w:w="170"/>
        <w:gridCol w:w="860"/>
        <w:gridCol w:w="170"/>
        <w:gridCol w:w="170"/>
        <w:gridCol w:w="635"/>
        <w:gridCol w:w="170"/>
        <w:gridCol w:w="170"/>
        <w:gridCol w:w="815"/>
        <w:gridCol w:w="170"/>
        <w:gridCol w:w="170"/>
        <w:gridCol w:w="680"/>
        <w:gridCol w:w="170"/>
        <w:gridCol w:w="170"/>
        <w:gridCol w:w="920"/>
        <w:gridCol w:w="170"/>
        <w:gridCol w:w="170"/>
        <w:gridCol w:w="710"/>
        <w:gridCol w:w="170"/>
        <w:gridCol w:w="170"/>
        <w:gridCol w:w="770"/>
        <w:gridCol w:w="215"/>
      </w:tblGrid>
      <w:tr>
        <w:trPr/>
        <w:tc>
          <w:tcPr>
            <w:tcW w:w="185" w:type="dxa"/>
            <w:tcBorders/>
            <w:shd w:fill="722981" w:val="clear"/>
            <w:vAlign w:val="center"/>
          </w:tcPr>
          <w:p>
            <w:pPr>
              <w:pStyle w:val="TableContents"/>
              <w:bidi w:val="0"/>
              <w:spacing w:before="0" w:after="0"/>
              <w:jc w:val="left"/>
              <w:rPr/>
            </w:pPr>
            <w:r>
              <w:rPr/>
              <w:t> </w:t>
            </w:r>
          </w:p>
        </w:tc>
        <w:tc>
          <w:tcPr>
            <w:tcW w:w="80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50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3125" w:type="dxa"/>
            <w:gridSpan w:val="7"/>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2990" w:type="dxa"/>
            <w:gridSpan w:val="7"/>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8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2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1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vMerge w:val="restart"/>
            <w:tcBorders/>
            <w:shd w:fill="722981" w:val="clear"/>
            <w:vAlign w:val="center"/>
          </w:tcPr>
          <w:p>
            <w:pPr>
              <w:pStyle w:val="TableContents"/>
              <w:bidi w:val="0"/>
              <w:spacing w:before="0" w:after="0"/>
              <w:jc w:val="left"/>
              <w:rPr/>
            </w:pPr>
            <w:r>
              <w:rPr/>
              <w:t> </w:t>
            </w:r>
          </w:p>
        </w:tc>
        <w:tc>
          <w:tcPr>
            <w:tcW w:w="800" w:type="dxa"/>
            <w:vMerge w:val="restart"/>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vMerge w:val="restart"/>
            <w:tcBorders/>
            <w:shd w:fill="722981" w:val="clear"/>
            <w:vAlign w:val="center"/>
          </w:tcPr>
          <w:p>
            <w:pPr>
              <w:pStyle w:val="TableContents"/>
              <w:bidi w:val="0"/>
              <w:spacing w:before="0" w:after="0"/>
              <w:jc w:val="left"/>
              <w:rPr/>
            </w:pPr>
            <w:r>
              <w:rPr/>
              <w:t> </w:t>
            </w:r>
          </w:p>
        </w:tc>
        <w:tc>
          <w:tcPr>
            <w:tcW w:w="170" w:type="dxa"/>
            <w:vMerge w:val="restart"/>
            <w:tcBorders/>
            <w:shd w:fill="722981" w:val="clear"/>
            <w:vAlign w:val="center"/>
          </w:tcPr>
          <w:p>
            <w:pPr>
              <w:pStyle w:val="TableContents"/>
              <w:bidi w:val="0"/>
              <w:spacing w:before="0" w:after="0"/>
              <w:jc w:val="left"/>
              <w:rPr/>
            </w:pPr>
            <w:r>
              <w:rPr/>
              <w:t> </w:t>
            </w:r>
          </w:p>
        </w:tc>
        <w:tc>
          <w:tcPr>
            <w:tcW w:w="500" w:type="dxa"/>
            <w:vMerge w:val="restart"/>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vMerge w:val="restart"/>
            <w:tcBorders/>
            <w:shd w:fill="722981" w:val="clear"/>
            <w:vAlign w:val="center"/>
          </w:tcPr>
          <w:p>
            <w:pPr>
              <w:pStyle w:val="TableContents"/>
              <w:bidi w:val="0"/>
              <w:spacing w:before="0" w:after="0"/>
              <w:jc w:val="left"/>
              <w:rPr/>
            </w:pPr>
            <w:r>
              <w:rPr/>
              <w:t> </w:t>
            </w:r>
          </w:p>
        </w:tc>
        <w:tc>
          <w:tcPr>
            <w:tcW w:w="170" w:type="dxa"/>
            <w:vMerge w:val="restart"/>
            <w:tcBorders/>
            <w:shd w:fill="722981" w:val="clear"/>
            <w:vAlign w:val="center"/>
          </w:tcPr>
          <w:p>
            <w:pPr>
              <w:pStyle w:val="TableContents"/>
              <w:bidi w:val="0"/>
              <w:spacing w:before="0" w:after="0"/>
              <w:jc w:val="left"/>
              <w:rPr/>
            </w:pPr>
            <w:r>
              <w:rPr/>
              <w:t> </w:t>
            </w:r>
          </w:p>
        </w:tc>
        <w:tc>
          <w:tcPr>
            <w:tcW w:w="770" w:type="dxa"/>
            <w:vMerge w:val="restart"/>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Approval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vMerge w:val="restart"/>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3125" w:type="dxa"/>
            <w:gridSpan w:val="7"/>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Estimated Future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Payments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 Non-Equity Incentive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r>
              <w:rPr>
                <w:rFonts w:ascii="Arial;Helvetica;sans-serif" w:hAnsi="Arial;Helvetica;sans-serif"/>
                <w:b/>
                <w:color w:val="FFFFFF"/>
                <w:position w:val="5"/>
                <w:sz w:val="13"/>
                <w:sz w:val="16"/>
              </w:rPr>
              <w:t>(1)</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2990" w:type="dxa"/>
            <w:gridSpan w:val="7"/>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Estimated Future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Payments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 Equity Incentive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r>
              <w:rPr>
                <w:rFonts w:ascii="Arial;Helvetica;sans-serif" w:hAnsi="Arial;Helvetica;sans-serif"/>
                <w:b/>
                <w:color w:val="FFFFFF"/>
                <w:position w:val="5"/>
                <w:sz w:val="13"/>
                <w:sz w:val="16"/>
              </w:rPr>
              <w:t>(2)</w:t>
            </w:r>
          </w:p>
        </w:tc>
        <w:tc>
          <w:tcPr>
            <w:tcW w:w="170" w:type="dxa"/>
            <w:tcBorders/>
            <w:shd w:fill="722981" w:val="clear"/>
            <w:vAlign w:val="center"/>
          </w:tcPr>
          <w:p>
            <w:pPr>
              <w:pStyle w:val="TableContents"/>
              <w:bidi w:val="0"/>
              <w:spacing w:before="0" w:after="0"/>
              <w:jc w:val="left"/>
              <w:rPr/>
            </w:pPr>
            <w:r>
              <w:rPr/>
              <w:t> </w:t>
            </w:r>
          </w:p>
        </w:tc>
        <w:tc>
          <w:tcPr>
            <w:tcW w:w="170" w:type="dxa"/>
            <w:vMerge w:val="restart"/>
            <w:tcBorders/>
            <w:shd w:fill="722981" w:val="clear"/>
            <w:vAlign w:val="center"/>
          </w:tcPr>
          <w:p>
            <w:pPr>
              <w:pStyle w:val="TableContents"/>
              <w:bidi w:val="0"/>
              <w:spacing w:before="0" w:after="0"/>
              <w:jc w:val="left"/>
              <w:rPr/>
            </w:pPr>
            <w:r>
              <w:rPr/>
              <w:t> </w:t>
            </w:r>
          </w:p>
        </w:tc>
        <w:tc>
          <w:tcPr>
            <w:tcW w:w="680" w:type="dxa"/>
            <w:vMerge w:val="restart"/>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All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Stock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or Units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vMerge w:val="restart"/>
            <w:tcBorders/>
            <w:shd w:fill="722981" w:val="clear"/>
            <w:vAlign w:val="center"/>
          </w:tcPr>
          <w:p>
            <w:pPr>
              <w:pStyle w:val="TableContents"/>
              <w:bidi w:val="0"/>
              <w:spacing w:before="0" w:after="0"/>
              <w:jc w:val="left"/>
              <w:rPr/>
            </w:pPr>
            <w:r>
              <w:rPr/>
              <w:t> </w:t>
            </w:r>
          </w:p>
        </w:tc>
        <w:tc>
          <w:tcPr>
            <w:tcW w:w="170" w:type="dxa"/>
            <w:vMerge w:val="restart"/>
            <w:tcBorders/>
            <w:shd w:fill="722981" w:val="clear"/>
            <w:vAlign w:val="center"/>
          </w:tcPr>
          <w:p>
            <w:pPr>
              <w:pStyle w:val="TableContents"/>
              <w:bidi w:val="0"/>
              <w:spacing w:before="0" w:after="0"/>
              <w:jc w:val="left"/>
              <w:rPr/>
            </w:pPr>
            <w:r>
              <w:rPr/>
              <w:t> </w:t>
            </w:r>
          </w:p>
        </w:tc>
        <w:tc>
          <w:tcPr>
            <w:tcW w:w="920" w:type="dxa"/>
            <w:vMerge w:val="restart"/>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Securities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vMerge w:val="restart"/>
            <w:tcBorders/>
            <w:shd w:fill="722981" w:val="clear"/>
            <w:vAlign w:val="center"/>
          </w:tcPr>
          <w:p>
            <w:pPr>
              <w:pStyle w:val="TableContents"/>
              <w:bidi w:val="0"/>
              <w:spacing w:before="0" w:after="0"/>
              <w:jc w:val="left"/>
              <w:rPr/>
            </w:pPr>
            <w:r>
              <w:rPr/>
              <w:t> </w:t>
            </w:r>
          </w:p>
        </w:tc>
        <w:tc>
          <w:tcPr>
            <w:tcW w:w="170" w:type="dxa"/>
            <w:vMerge w:val="restart"/>
            <w:tcBorders/>
            <w:shd w:fill="722981" w:val="clear"/>
            <w:vAlign w:val="center"/>
          </w:tcPr>
          <w:p>
            <w:pPr>
              <w:pStyle w:val="TableContents"/>
              <w:bidi w:val="0"/>
              <w:spacing w:before="0" w:after="0"/>
              <w:jc w:val="left"/>
              <w:rPr/>
            </w:pPr>
            <w:r>
              <w:rPr/>
              <w:t> </w:t>
            </w:r>
          </w:p>
        </w:tc>
        <w:tc>
          <w:tcPr>
            <w:tcW w:w="710" w:type="dxa"/>
            <w:vMerge w:val="restart"/>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or Base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Price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w:t>
            </w:r>
          </w:p>
        </w:tc>
        <w:tc>
          <w:tcPr>
            <w:tcW w:w="170" w:type="dxa"/>
            <w:vMerge w:val="restart"/>
            <w:tcBorders/>
            <w:shd w:fill="722981" w:val="clear"/>
            <w:vAlign w:val="center"/>
          </w:tcPr>
          <w:p>
            <w:pPr>
              <w:pStyle w:val="TableContents"/>
              <w:bidi w:val="0"/>
              <w:spacing w:before="0" w:after="0"/>
              <w:jc w:val="left"/>
              <w:rPr/>
            </w:pPr>
            <w:r>
              <w:rPr/>
              <w:t> </w:t>
            </w:r>
          </w:p>
        </w:tc>
        <w:tc>
          <w:tcPr>
            <w:tcW w:w="170" w:type="dxa"/>
            <w:vMerge w:val="restart"/>
            <w:tcBorders/>
            <w:shd w:fill="722981" w:val="clear"/>
            <w:vAlign w:val="center"/>
          </w:tcPr>
          <w:p>
            <w:pPr>
              <w:pStyle w:val="TableContents"/>
              <w:bidi w:val="0"/>
              <w:spacing w:before="0" w:after="0"/>
              <w:jc w:val="left"/>
              <w:rPr/>
            </w:pPr>
            <w:r>
              <w:rPr/>
              <w:t> </w:t>
            </w:r>
          </w:p>
        </w:tc>
        <w:tc>
          <w:tcPr>
            <w:tcW w:w="770" w:type="dxa"/>
            <w:vMerge w:val="restart"/>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r>
              <w:rPr>
                <w:rFonts w:ascii="Arial;Helvetica;sans-serif" w:hAnsi="Arial;Helvetica;sans-serif"/>
                <w:b/>
                <w:color w:val="FFFFFF"/>
                <w:sz w:val="16"/>
              </w:rPr>
              <w:t xml:space="preserve"> </w:t>
            </w:r>
          </w:p>
        </w:tc>
        <w:tc>
          <w:tcPr>
            <w:tcW w:w="215" w:type="dxa"/>
            <w:vMerge w:val="restart"/>
            <w:tcBorders/>
            <w:shd w:fill="722981" w:val="clear"/>
            <w:vAlign w:val="center"/>
          </w:tcPr>
          <w:p>
            <w:pPr>
              <w:pStyle w:val="TableContents"/>
              <w:bidi w:val="0"/>
              <w:spacing w:before="0" w:after="0"/>
              <w:jc w:val="left"/>
              <w:rPr/>
            </w:pPr>
            <w:r>
              <w:rPr/>
              <w:t> </w:t>
            </w:r>
          </w:p>
        </w:tc>
      </w:tr>
      <w:tr>
        <w:trPr/>
        <w:tc>
          <w:tcPr>
            <w:tcW w:w="185" w:type="dxa"/>
            <w:vMerge w:val="continue"/>
            <w:tcBorders/>
            <w:shd w:fill="722981" w:val="clear"/>
            <w:vAlign w:val="center"/>
          </w:tcPr>
          <w:p>
            <w:pPr>
              <w:pStyle w:val="Normal"/>
              <w:bidi w:val="0"/>
              <w:jc w:val="left"/>
              <w:rPr/>
            </w:pPr>
            <w:r>
              <w:rPr/>
            </w:r>
          </w:p>
        </w:tc>
        <w:tc>
          <w:tcPr>
            <w:tcW w:w="80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50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77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170"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Threshold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15"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Threshold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35"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15"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722981" w:val="clear"/>
            <w:vAlign w:val="center"/>
          </w:tcPr>
          <w:p>
            <w:pPr>
              <w:pStyle w:val="TableContents"/>
              <w:bidi w:val="0"/>
              <w:spacing w:before="0" w:after="0"/>
              <w:jc w:val="left"/>
              <w:rPr/>
            </w:pPr>
            <w:r>
              <w:rPr/>
              <w:t> </w:t>
            </w:r>
          </w:p>
        </w:tc>
        <w:tc>
          <w:tcPr>
            <w:tcW w:w="170" w:type="dxa"/>
            <w:vMerge w:val="continue"/>
            <w:tcBorders/>
            <w:shd w:fill="722981" w:val="clear"/>
            <w:vAlign w:val="center"/>
          </w:tcPr>
          <w:p>
            <w:pPr>
              <w:pStyle w:val="Normal"/>
              <w:bidi w:val="0"/>
              <w:jc w:val="left"/>
              <w:rPr/>
            </w:pPr>
            <w:r>
              <w:rPr/>
            </w:r>
          </w:p>
        </w:tc>
        <w:tc>
          <w:tcPr>
            <w:tcW w:w="68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92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71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170" w:type="dxa"/>
            <w:vMerge w:val="continue"/>
            <w:tcBorders/>
            <w:shd w:fill="722981" w:val="clear"/>
            <w:vAlign w:val="center"/>
          </w:tcPr>
          <w:p>
            <w:pPr>
              <w:pStyle w:val="Normal"/>
              <w:bidi w:val="0"/>
              <w:jc w:val="left"/>
              <w:rPr/>
            </w:pPr>
            <w:r>
              <w:rPr/>
            </w:r>
          </w:p>
        </w:tc>
        <w:tc>
          <w:tcPr>
            <w:tcW w:w="770" w:type="dxa"/>
            <w:vMerge w:val="continue"/>
            <w:tcBorders/>
            <w:shd w:fill="722981" w:val="clear"/>
            <w:vAlign w:val="center"/>
          </w:tcPr>
          <w:p>
            <w:pPr>
              <w:pStyle w:val="Normal"/>
              <w:bidi w:val="0"/>
              <w:jc w:val="left"/>
              <w:rPr/>
            </w:pPr>
            <w:r>
              <w:rPr/>
            </w:r>
          </w:p>
        </w:tc>
        <w:tc>
          <w:tcPr>
            <w:tcW w:w="215" w:type="dxa"/>
            <w:vMerge w:val="continue"/>
            <w:tcBorders/>
            <w:shd w:fill="722981" w:val="clear"/>
            <w:vAlign w:val="center"/>
          </w:tcPr>
          <w:p>
            <w:pPr>
              <w:pStyle w:val="Normal"/>
              <w:bidi w:val="0"/>
              <w:jc w:val="left"/>
              <w:rPr/>
            </w:pPr>
            <w:r>
              <w:rPr/>
            </w:r>
          </w:p>
        </w:tc>
      </w:tr>
      <w:tr>
        <w:trPr/>
        <w:tc>
          <w:tcPr>
            <w:tcW w:w="185" w:type="dxa"/>
            <w:vMerge w:val="restart"/>
            <w:tcBorders/>
            <w:shd w:fill="E6E6E6" w:val="clear"/>
            <w:vAlign w:val="center"/>
          </w:tcPr>
          <w:p>
            <w:pPr>
              <w:pStyle w:val="TableContents"/>
              <w:bidi w:val="0"/>
              <w:spacing w:before="0" w:after="0"/>
              <w:jc w:val="left"/>
              <w:rPr/>
            </w:pPr>
            <w:r>
              <w:rPr/>
              <w:t> </w:t>
            </w:r>
          </w:p>
        </w:tc>
        <w:tc>
          <w:tcPr>
            <w:tcW w:w="800"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Scott A. Smith</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1,050,000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2,100,000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4,200,000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0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154,612</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515,373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1,004,978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6,370,010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0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277,509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3,430,011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00"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Doretta Mistras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412,500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1,650,000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46,169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500,010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52,064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173,544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338,411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2,145,004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93,447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1,155,005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800"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Corinne Le Goff</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311,988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623,975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1,247,951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0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4/18/2024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61,377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204,587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398,945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2,275,007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0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4/18/2024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110,162</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1,225,001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0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4/18/2024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78,688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875,011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00"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Paul Campbell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362,500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1,450,000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28,596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95,318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185,871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1,178,130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51,325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634,377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800"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Brian Roman</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412,500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825,000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1,650,000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0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39,048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130,158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253,809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1,608,753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0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50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26"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93"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8"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80" w:type="dxa"/>
            <w:tcBorders/>
            <w:shd w:fill="E6E6E6" w:val="clear"/>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70,085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20" w:type="dxa"/>
            <w:tcBorders/>
            <w:shd w:fill="E6E6E6" w:val="clear"/>
            <w:vAlign w:val="center"/>
          </w:tcPr>
          <w:p>
            <w:pPr>
              <w:pStyle w:val="TableContents"/>
              <w:bidi w:val="0"/>
              <w:spacing w:before="0" w:after="283"/>
              <w:ind w:left="33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2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22" w:right="0" w:hanging="0"/>
              <w:jc w:val="left"/>
              <w:rPr>
                <w:rFonts w:ascii="Arial;Helvetica;sans-serif" w:hAnsi="Arial;Helvetica;sans-serif"/>
                <w:color w:val="000000"/>
                <w:sz w:val="16"/>
              </w:rPr>
            </w:pPr>
            <w:r>
              <w:rPr>
                <w:rFonts w:ascii="Arial;Helvetica;sans-serif" w:hAnsi="Arial;Helvetica;sans-serif"/>
                <w:color w:val="000000"/>
                <w:sz w:val="16"/>
              </w:rPr>
              <w:t xml:space="preserve">866,251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00"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Sanjeev Narula</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82,138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164,276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rFonts w:ascii="Arial;Helvetica;sans-serif" w:hAnsi="Arial;Helvetica;sans-serif"/>
                <w:color w:val="000000"/>
                <w:sz w:val="16"/>
              </w:rPr>
            </w:pPr>
            <w:r>
              <w:rPr>
                <w:rFonts w:ascii="Arial;Helvetica;sans-serif" w:hAnsi="Arial;Helvetica;sans-serif"/>
                <w:color w:val="000000"/>
                <w:sz w:val="16"/>
              </w:rPr>
              <w:t>328,552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73" w:type="dxa"/>
            <w:tcBorders/>
            <w:vAlign w:val="center"/>
          </w:tcPr>
          <w:p>
            <w:pPr>
              <w:pStyle w:val="TableContents"/>
              <w:bidi w:val="0"/>
              <w:spacing w:before="0" w:after="0"/>
              <w:jc w:val="both"/>
              <w:rPr/>
            </w:pPr>
            <w:r>
              <w:rPr>
                <w:rFonts w:ascii="Arial;Helvetica;sans-serif" w:hAnsi="Arial;Helvetica;sans-serif"/>
                <w:color w:val="404040"/>
                <w:sz w:val="18"/>
              </w:rPr>
              <w:t xml:space="preserve">The performance goals under the annual incentive compensation program applicable to the NEOs during 2024 are described above in the CD&amp;A. For a discussion of these awards, see “2024 Annual Incentive Compensation Program” on pages </w:t>
            </w:r>
            <w:hyperlink w:anchor="tAIC">
              <w:r>
                <w:rPr>
                  <w:rStyle w:val="InternetLink"/>
                  <w:rFonts w:ascii="Arial;Helvetica;sans-serif" w:hAnsi="Arial;Helvetica;sans-serif"/>
                  <w:color w:val="000080"/>
                  <w:sz w:val="18"/>
                </w:rPr>
                <w:t>30</w:t>
              </w:r>
            </w:hyperlink>
            <w:r>
              <w:rPr>
                <w:rFonts w:ascii="Arial;Helvetica;sans-serif" w:hAnsi="Arial;Helvetica;sans-serif"/>
                <w:color w:val="404040"/>
                <w:sz w:val="18"/>
              </w:rPr>
              <w:t xml:space="preserve"> to </w:t>
            </w:r>
            <w:hyperlink w:anchor="tLTI">
              <w:r>
                <w:rPr>
                  <w:rStyle w:val="InternetLink"/>
                  <w:rFonts w:ascii="Arial;Helvetica;sans-serif" w:hAnsi="Arial;Helvetica;sans-serif"/>
                  <w:color w:val="000080"/>
                  <w:sz w:val="18"/>
                </w:rPr>
                <w:t>32</w:t>
              </w:r>
            </w:hyperlink>
            <w:r>
              <w:rPr>
                <w:rFonts w:ascii="Arial;Helvetica;sans-serif" w:hAnsi="Arial;Helvetica;sans-serif"/>
                <w:color w:val="404040"/>
                <w:sz w:val="18"/>
              </w:rPr>
              <w:t xml:space="preserve"> of this Form 10-K/A. The amounts for Dr. Le Goff and Mr. Narula have been adjusted to reflect their partial year of service during 2024.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9959"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Consists of PRSUs awarded under the Viatris 2020 Stock Plan. The vesting terms applicable to these awards are described above in the CD&amp;A and below following the Outstanding Equity Awards at the End of 2024 table.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9959"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Consists of RSUs awarded under the Viatris 2020 Stock Plan. The vesting terms applicable to these awards are described above in the CD&amp;A and below following the Outstanding Equity Awards at the End of 2024 table.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(4)</w:t>
            </w:r>
          </w:p>
        </w:tc>
        <w:tc>
          <w:tcPr>
            <w:tcW w:w="9964"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Represents the grant date fair value of the specific award granted to the NEO. For information regarding assumptions used in determining such value, please refer to Note 13 to the Company’s Consolidated Financial Statements contained in the Original Filing.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4" w:name="ny20042022x3_10ka_106-comp_pg4"/>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22981"/>
          <w:sz w:val="20"/>
        </w:rPr>
      </w:pPr>
      <w:bookmarkStart w:id="105" w:name="tOEAE24"/>
      <w:bookmarkEnd w:id="105"/>
      <w:r>
        <w:rPr>
          <w:rFonts w:ascii="Arial;Helvetica;sans-serif" w:hAnsi="Arial;Helvetica;sans-serif"/>
          <w:b/>
          <w:color w:val="722981"/>
          <w:sz w:val="20"/>
        </w:rPr>
        <w:t xml:space="preserve">Outstanding Equity Awards at the End of 2024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following table sets forth information concerning all of the outstanding LTI awards held by each NEO as of December 31, 2024. </w:t>
      </w:r>
    </w:p>
    <w:tbl>
      <w:tblPr>
        <w:tblW w:w="11175" w:type="dxa"/>
        <w:jc w:val="left"/>
        <w:tblInd w:w="0" w:type="dxa"/>
        <w:tblLayout w:type="fixed"/>
        <w:tblCellMar>
          <w:top w:w="0" w:type="dxa"/>
          <w:left w:w="0" w:type="dxa"/>
          <w:bottom w:w="0" w:type="dxa"/>
          <w:right w:w="0" w:type="dxa"/>
        </w:tblCellMar>
      </w:tblPr>
      <w:tblGrid>
        <w:gridCol w:w="185"/>
        <w:gridCol w:w="860"/>
        <w:gridCol w:w="170"/>
        <w:gridCol w:w="170"/>
        <w:gridCol w:w="1025"/>
        <w:gridCol w:w="170"/>
        <w:gridCol w:w="170"/>
        <w:gridCol w:w="1160"/>
        <w:gridCol w:w="170"/>
        <w:gridCol w:w="170"/>
        <w:gridCol w:w="710"/>
        <w:gridCol w:w="170"/>
        <w:gridCol w:w="170"/>
        <w:gridCol w:w="860"/>
        <w:gridCol w:w="170"/>
        <w:gridCol w:w="170"/>
        <w:gridCol w:w="770"/>
        <w:gridCol w:w="170"/>
        <w:gridCol w:w="170"/>
        <w:gridCol w:w="875"/>
        <w:gridCol w:w="170"/>
        <w:gridCol w:w="170"/>
        <w:gridCol w:w="815"/>
        <w:gridCol w:w="170"/>
        <w:gridCol w:w="170"/>
        <w:gridCol w:w="980"/>
        <w:gridCol w:w="215"/>
      </w:tblGrid>
      <w:tr>
        <w:trPr/>
        <w:tc>
          <w:tcPr>
            <w:tcW w:w="185"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4775" w:type="dxa"/>
            <w:gridSpan w:val="10"/>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4460" w:type="dxa"/>
            <w:gridSpan w:val="10"/>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4775" w:type="dxa"/>
            <w:gridSpan w:val="10"/>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4460" w:type="dxa"/>
            <w:gridSpan w:val="10"/>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25"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Exercisable</w:t>
            </w:r>
            <w:r>
              <w:rPr>
                <w:rFonts w:ascii="Arial;Helvetica;sans-serif" w:hAnsi="Arial;Helvetica;sans-serif"/>
                <w:b/>
                <w:color w:val="FFFFFF"/>
                <w:position w:val="5"/>
                <w:sz w:val="13"/>
                <w:sz w:val="16"/>
              </w:rPr>
              <w:t>(1)</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16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Unexercisable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1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Exercise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Price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6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Expiration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75"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Market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or 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15"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Unearned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or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Rights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80" w:type="dxa"/>
            <w:tcBorders/>
            <w:shd w:fill="72298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Market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Payout 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Unearned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or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Rights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r>
              <w:rPr>
                <w:rFonts w:ascii="Arial;Helvetica;sans-serif" w:hAnsi="Arial;Helvetica;sans-serif"/>
                <w:b/>
                <w:color w:val="FFFFFF"/>
                <w:sz w:val="16"/>
              </w:rPr>
              <w:t xml:space="preserve"> </w:t>
            </w:r>
          </w:p>
        </w:tc>
        <w:tc>
          <w:tcPr>
            <w:tcW w:w="215" w:type="dxa"/>
            <w:tcBorders/>
            <w:shd w:fill="722981" w:val="clear"/>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860"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Scott A. Smith</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293,399</w:t>
            </w:r>
            <w:r>
              <w:rPr>
                <w:rFonts w:ascii="Arial;Helvetica;sans-serif" w:hAnsi="Arial;Helvetica;sans-serif"/>
                <w:color w:val="000000"/>
                <w:position w:val="6"/>
                <w:sz w:val="14"/>
                <w:sz w:val="18"/>
              </w:rPr>
              <w:t>(3)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3,652,818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817,327</w:t>
            </w:r>
            <w:r>
              <w:rPr>
                <w:rFonts w:ascii="Arial;Helvetica;sans-serif" w:hAnsi="Arial;Helvetica;sans-serif"/>
                <w:color w:val="000000"/>
                <w:position w:val="6"/>
                <w:sz w:val="14"/>
                <w:sz w:val="18"/>
              </w:rPr>
              <w:t>(7)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10,175,721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289,291</w:t>
            </w:r>
            <w:r>
              <w:rPr>
                <w:rFonts w:ascii="Arial;Helvetica;sans-serif" w:hAnsi="Arial;Helvetica;sans-serif"/>
                <w:color w:val="000000"/>
                <w:position w:val="6"/>
                <w:sz w:val="14"/>
                <w:sz w:val="18"/>
              </w:rPr>
              <w:t>(4)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3,601,673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537,253</w:t>
            </w:r>
            <w:r>
              <w:rPr>
                <w:rFonts w:ascii="Arial;Helvetica;sans-serif" w:hAnsi="Arial;Helvetica;sans-serif"/>
                <w:color w:val="000000"/>
                <w:position w:val="6"/>
                <w:sz w:val="14"/>
                <w:sz w:val="18"/>
              </w:rPr>
              <w:t>(8)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6,688,800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Doretta Mistras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48,130</w:t>
            </w:r>
            <w:r>
              <w:rPr>
                <w:rFonts w:ascii="Arial;Helvetica;sans-serif" w:hAnsi="Arial;Helvetica;sans-serif"/>
                <w:color w:val="000000"/>
                <w:position w:val="6"/>
                <w:sz w:val="14"/>
                <w:sz w:val="18"/>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599,219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97,415</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1,212,817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180,912</w:t>
            </w:r>
            <w:r>
              <w:rPr>
                <w:rFonts w:ascii="Arial;Helvetica;sans-serif" w:hAnsi="Arial;Helvetica;sans-serif"/>
                <w:color w:val="000000"/>
                <w:position w:val="6"/>
                <w:sz w:val="14"/>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2,252,354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860"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Corinne Le Goff</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81,201</w:t>
            </w:r>
            <w:r>
              <w:rPr>
                <w:rFonts w:ascii="Arial;Helvetica;sans-serif" w:hAnsi="Arial;Helvetica;sans-serif"/>
                <w:color w:val="000000"/>
                <w:position w:val="6"/>
                <w:sz w:val="14"/>
                <w:sz w:val="18"/>
              </w:rPr>
              <w:t>(5)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1,010,952</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113,679</w:t>
            </w:r>
            <w:r>
              <w:rPr>
                <w:rFonts w:ascii="Arial;Helvetica;sans-serif" w:hAnsi="Arial;Helvetica;sans-serif"/>
                <w:color w:val="000000"/>
                <w:position w:val="6"/>
                <w:sz w:val="14"/>
                <w:sz w:val="18"/>
              </w:rPr>
              <w:t>(4)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1,415,304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211,119</w:t>
            </w:r>
            <w:r>
              <w:rPr>
                <w:rFonts w:ascii="Arial;Helvetica;sans-serif" w:hAnsi="Arial;Helvetica;sans-serif"/>
                <w:color w:val="000000"/>
                <w:position w:val="6"/>
                <w:sz w:val="14"/>
                <w:sz w:val="18"/>
              </w:rPr>
              <w:t>(8)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2,628,432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Paul Campbell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2,059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55.61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4,181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46.27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2/17/2026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4,392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45.18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3/3/2027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9,681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40.97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7,398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27.45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3/1/2029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11,071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17.48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20,251</w:t>
            </w:r>
            <w:r>
              <w:rPr>
                <w:rFonts w:ascii="Arial;Helvetica;sans-serif" w:hAnsi="Arial;Helvetica;sans-serif"/>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252,125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112,826</w:t>
            </w:r>
            <w:r>
              <w:rPr>
                <w:rFonts w:ascii="Arial;Helvetica;sans-serif" w:hAnsi="Arial;Helvetica;sans-serif"/>
                <w:color w:val="000000"/>
                <w:position w:val="6"/>
                <w:sz w:val="14"/>
                <w:sz w:val="18"/>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1,404,684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38,696</w:t>
            </w:r>
            <w:r>
              <w:rPr>
                <w:rFonts w:ascii="Arial;Helvetica;sans-serif" w:hAnsi="Arial;Helvetica;sans-serif"/>
                <w:color w:val="000000"/>
                <w:position w:val="6"/>
                <w:sz w:val="14"/>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481,765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107,795</w:t>
            </w:r>
            <w:r>
              <w:rPr>
                <w:rFonts w:ascii="Arial;Helvetica;sans-serif" w:hAnsi="Arial;Helvetica;sans-serif"/>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1,342,048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53,504</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666,125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99,365</w:t>
            </w:r>
            <w:r>
              <w:rPr>
                <w:rFonts w:ascii="Arial;Helvetica;sans-serif" w:hAnsi="Arial;Helvetica;sans-serif"/>
                <w:color w:val="000000"/>
                <w:position w:val="6"/>
                <w:sz w:val="14"/>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1,237,094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860" w:type="dxa"/>
            <w:vMerge w:val="restart"/>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Brian Roman</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4,111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55.61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3/4/2025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4,739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46.27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2/17/2026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5,694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45.18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3/3/2027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7,876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40.97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3/2/2028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6,267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27.45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3/1/2029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rFonts w:ascii="Arial;Helvetica;sans-serif" w:hAnsi="Arial;Helvetica;sans-serif"/>
                <w:color w:val="000000"/>
                <w:sz w:val="18"/>
              </w:rPr>
            </w:pPr>
            <w:r>
              <w:rPr>
                <w:rFonts w:ascii="Arial;Helvetica;sans-serif" w:hAnsi="Arial;Helvetica;sans-serif"/>
                <w:color w:val="000000"/>
                <w:sz w:val="18"/>
              </w:rPr>
              <w:t>8,119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17.48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3/2/2030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19,441</w:t>
            </w:r>
            <w:r>
              <w:rPr>
                <w:rFonts w:ascii="Arial;Helvetica;sans-serif" w:hAnsi="Arial;Helvetica;sans-serif"/>
                <w:color w:val="000000"/>
                <w:position w:val="6"/>
                <w:sz w:val="14"/>
                <w:sz w:val="18"/>
              </w:rPr>
              <w:t>(6)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242,040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108,312</w:t>
            </w:r>
            <w:r>
              <w:rPr>
                <w:rFonts w:ascii="Arial;Helvetica;sans-serif" w:hAnsi="Arial;Helvetica;sans-serif"/>
                <w:color w:val="000000"/>
                <w:position w:val="6"/>
                <w:sz w:val="14"/>
                <w:sz w:val="18"/>
              </w:rPr>
              <w:t>(9)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1,348,484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36,690</w:t>
            </w:r>
            <w:r>
              <w:rPr>
                <w:rFonts w:ascii="Arial;Helvetica;sans-serif" w:hAnsi="Arial;Helvetica;sans-serif"/>
                <w:color w:val="000000"/>
                <w:position w:val="6"/>
                <w:sz w:val="14"/>
                <w:sz w:val="18"/>
              </w:rPr>
              <w:t>(3)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456,791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102,206</w:t>
            </w:r>
            <w:r>
              <w:rPr>
                <w:rFonts w:ascii="Arial;Helvetica;sans-serif" w:hAnsi="Arial;Helvetica;sans-serif"/>
                <w:color w:val="000000"/>
                <w:position w:val="6"/>
                <w:sz w:val="14"/>
                <w:sz w:val="18"/>
              </w:rPr>
              <w:t>(7)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1,272,465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860"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shd w:fill="E6E6E6" w:val="clear"/>
            <w:vAlign w:val="center"/>
          </w:tcPr>
          <w:p>
            <w:pPr>
              <w:pStyle w:val="TableContents"/>
              <w:bidi w:val="0"/>
              <w:spacing w:before="0" w:after="0"/>
              <w:jc w:val="left"/>
              <w:rPr/>
            </w:pPr>
            <w:r>
              <w:rPr/>
              <w:t> </w:t>
            </w:r>
          </w:p>
        </w:tc>
        <w:tc>
          <w:tcPr>
            <w:tcW w:w="1025" w:type="dxa"/>
            <w:tcBorders/>
            <w:shd w:fill="E6E6E6" w:val="clear"/>
            <w:vAlign w:val="center"/>
          </w:tcPr>
          <w:p>
            <w:pPr>
              <w:pStyle w:val="TableContents"/>
              <w:bidi w:val="0"/>
              <w:spacing w:before="0" w:after="283"/>
              <w:ind w:left="249"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60" w:type="dxa"/>
            <w:tcBorders/>
            <w:shd w:fill="E6E6E6" w:val="clear"/>
            <w:vAlign w:val="center"/>
          </w:tcPr>
          <w:p>
            <w:pPr>
              <w:pStyle w:val="TableContents"/>
              <w:bidi w:val="0"/>
              <w:spacing w:before="0" w:after="283"/>
              <w:ind w:left="452"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10" w:type="dxa"/>
            <w:tcBorders/>
            <w:shd w:fill="E6E6E6"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6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84" w:right="0" w:hanging="0"/>
              <w:jc w:val="left"/>
              <w:rPr>
                <w:rFonts w:ascii="Arial;Helvetica;sans-serif" w:hAnsi="Arial;Helvetica;sans-serif"/>
                <w:color w:val="000000"/>
                <w:sz w:val="18"/>
              </w:rPr>
            </w:pPr>
            <w:r>
              <w:rPr>
                <w:rFonts w:ascii="Arial;Helvetica;sans-serif" w:hAnsi="Arial;Helvetica;sans-serif"/>
                <w:color w:val="000000"/>
                <w:sz w:val="18"/>
              </w:rPr>
              <w:t>73,061</w:t>
            </w:r>
            <w:r>
              <w:rPr>
                <w:rFonts w:ascii="Arial;Helvetica;sans-serif" w:hAnsi="Arial;Helvetica;sans-serif"/>
                <w:color w:val="000000"/>
                <w:position w:val="6"/>
                <w:sz w:val="14"/>
                <w:sz w:val="18"/>
              </w:rPr>
              <w:t>(4)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909,609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15" w:type="dxa"/>
            <w:tcBorders/>
            <w:shd w:fill="E6E6E6" w:val="clear"/>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135,684</w:t>
            </w:r>
            <w:r>
              <w:rPr>
                <w:rFonts w:ascii="Arial;Helvetica;sans-serif" w:hAnsi="Arial;Helvetica;sans-serif"/>
                <w:color w:val="000000"/>
                <w:position w:val="6"/>
                <w:sz w:val="14"/>
                <w:sz w:val="18"/>
              </w:rPr>
              <w:t>(8)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80" w:type="dxa"/>
            <w:tcBorders/>
            <w:shd w:fill="E6E6E6" w:val="clear"/>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1,689,266 </w:t>
            </w:r>
          </w:p>
        </w:tc>
        <w:tc>
          <w:tcPr>
            <w:tcW w:w="215" w:type="dxa"/>
            <w:tcBorders/>
            <w:shd w:fill="E6E6E6"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Sanjeev Narula</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178,082</w:t>
            </w:r>
            <w:r>
              <w:rPr>
                <w:rFonts w:ascii="Arial;Helvetica;sans-serif" w:hAnsi="Arial;Helvetica;sans-serif"/>
                <w:color w:val="000000"/>
                <w:position w:val="6"/>
                <w:sz w:val="14"/>
                <w:sz w:val="18"/>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 xml:space="preserve">2,217,121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7" w:right="0" w:hanging="0"/>
              <w:jc w:val="left"/>
              <w:rPr>
                <w:rFonts w:ascii="Arial;Helvetica;sans-serif" w:hAnsi="Arial;Helvetica;sans-serif"/>
                <w:color w:val="000000"/>
                <w:sz w:val="18"/>
              </w:rPr>
            </w:pPr>
            <w:r>
              <w:rPr>
                <w:rFonts w:ascii="Arial;Helvetica;sans-serif" w:hAnsi="Arial;Helvetica;sans-serif"/>
                <w:color w:val="000000"/>
                <w:sz w:val="18"/>
              </w:rPr>
              <w:t>91,914</w:t>
            </w:r>
            <w:r>
              <w:rPr>
                <w:rFonts w:ascii="Arial;Helvetica;sans-serif" w:hAnsi="Arial;Helvetica;sans-serif"/>
                <w:color w:val="000000"/>
                <w:position w:val="6"/>
                <w:sz w:val="14"/>
                <w:sz w:val="18"/>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61" w:right="0" w:hanging="0"/>
              <w:jc w:val="left"/>
              <w:rPr>
                <w:rFonts w:ascii="Arial;Helvetica;sans-serif" w:hAnsi="Arial;Helvetica;sans-serif"/>
                <w:color w:val="000000"/>
                <w:sz w:val="18"/>
              </w:rPr>
            </w:pPr>
            <w:r>
              <w:rPr>
                <w:rFonts w:ascii="Arial;Helvetica;sans-serif" w:hAnsi="Arial;Helvetica;sans-serif"/>
                <w:color w:val="000000"/>
                <w:sz w:val="18"/>
              </w:rPr>
              <w:t>1,144,329</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8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Subject to applicable employment agreement provisions, following termination of employment, vested stock options will generally remain exercisable for 30 days following termination, except that (i) in the case of termination because of disability, 100% of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vested options will remain exercisable for the remainder of the original term; and (iv) in the case of an involuntary termination without cause or a voluntary resignation for good reason that occurs within two years following a change in control, 100% of options remain exercisable for the remainder of the original term.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9938"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The market value of RSUs and PRSUs was calculated using the closing price of the Company’s shares as of December 31, 2024, $12.45.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42022x3_10ka_106-comp_pg5"/>
        <w:bookmarkEnd w:id="1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9977"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Of the 293,399 RSUs held by Mr. Smith, 146,700 vested on March 3, 2025 and 146,699 will vest on March 3, 2026; of the 38,696 RSUs held by Mr. Campbell, 19,348 vested on March 3, 2025 and 19,348 will vest on March 3, 2026; of the 36,690 RSUs held by Mr. Roman, 18,345 vested on March 3, 2025 and 18,345 will vest on March 3, 2026.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(4)</w:t>
            </w:r>
          </w:p>
        </w:tc>
        <w:tc>
          <w:tcPr>
            <w:tcW w:w="998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Of the 289,291 RSUs held by Mr. Smith, 96,431 vested on March 4, 2025 and 96,430 will vest each on March 4, 2026 and March 4, 2027; of the 97,415 RSUs held by Ms. Mistras, 32,472 vested on March 4, 2025 and 32,471 will vest on March 4, 2026 and 32,472 will vest on March 4, 2027; of the 113,679 RSUs held by Dr. Le Goff, 37,894 vested on March 4, 2025 and 37,892 will vest on March 4, 2026 and 37,893 will vest on March 4, 2027; of the 53,504 RSUs held by Mr. Campbell, 17,836 vested on March 4, 2025 and 17,834 will vest each on March 4, 2026 and March 4, 2027; of the 73,061 RSUs held by Mr. Roman, 24,354 vested on March 4, 2025 and 24,353 will vest on March 4, 2026 and 24,354 will vest on March 4, 2027.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(5)</w:t>
            </w:r>
          </w:p>
        </w:tc>
        <w:tc>
          <w:tcPr>
            <w:tcW w:w="9974"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Of the 48,130 RSUs held by Ms. Mistras, 24,065 vested on January 1, 2025 and 24,065 will vest on January 1, 2026; of the 81,201 RSUs held by Dr. Le Goff as of December 31, 2024, 40,601 vested on April 15, 2025 and 40,600 will vest on April 15, 2026. Amounts include all accrued and unvested whole share DEUs that vest only to the extent and at the same time the underlying award on which they are issued vest. </w:t>
            </w:r>
          </w:p>
        </w:tc>
      </w:tr>
    </w:tbl>
    <w:tbl>
      <w:tblPr>
        <w:tblW w:w="3715" w:type="dxa"/>
        <w:jc w:val="left"/>
        <w:tblInd w:w="0" w:type="dxa"/>
        <w:tblLayout w:type="fixed"/>
        <w:tblCellMar>
          <w:top w:w="0" w:type="dxa"/>
          <w:left w:w="0" w:type="dxa"/>
          <w:bottom w:w="0" w:type="dxa"/>
          <w:right w:w="0" w:type="dxa"/>
        </w:tblCellMar>
      </w:tblPr>
      <w:tblGrid>
        <w:gridCol w:w="275"/>
        <w:gridCol w:w="3440"/>
      </w:tblGrid>
      <w:tr>
        <w:trPr/>
        <w:tc>
          <w:tcPr>
            <w:tcW w:w="2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(6)</w:t>
            </w:r>
          </w:p>
        </w:tc>
        <w:tc>
          <w:tcPr>
            <w:tcW w:w="344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RSUs fully vested on March 4, 2025.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(7)</w:t>
            </w:r>
          </w:p>
        </w:tc>
        <w:tc>
          <w:tcPr>
            <w:tcW w:w="9962"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The PRSUs will vest on March 3, 2026, subject to attainment of performance goals.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(8)</w:t>
            </w:r>
          </w:p>
        </w:tc>
        <w:tc>
          <w:tcPr>
            <w:tcW w:w="9962"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The PRSUs will vest on March 4, 2027, subject to attainment of performance goals.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(9)</w:t>
            </w:r>
          </w:p>
        </w:tc>
        <w:tc>
          <w:tcPr>
            <w:tcW w:w="996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The PRSUs fully vested on March 4, 2025, subject to attainment of performance goals.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(10)</w:t>
            </w:r>
          </w:p>
        </w:tc>
        <w:tc>
          <w:tcPr>
            <w:tcW w:w="9870"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Of the 235,508 PRSUs held by Mr. Narula on March 5, 2024, only 178,082 remained eligible to vest in connection with his separation from Viatris on such date and fully vested on March 4, 2025, subject to attainment of performance goals, and the remaining portion was forfeited.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(11)</w:t>
            </w:r>
          </w:p>
        </w:tc>
        <w:tc>
          <w:tcPr>
            <w:tcW w:w="9870"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Of the 226,723 PRSUs held by Mr. Narula on March 5, 2024, only 91,914 remained eligible to vest in connection with his separation from Viatris on such date and will vest on March 3, 2026, subject to attainment of performance goals, and the remaining portion was forfeited. Amounts include all accrued and unvested whole share DEUs that vest only to the extent and at the same time the underlying award on which they are issued vest.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ny20042022x3_10ka_106-comp_pg6"/>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22981"/>
          <w:sz w:val="20"/>
        </w:rPr>
      </w:pPr>
      <w:r>
        <w:rPr>
          <w:rFonts w:ascii="Arial;Helvetica;sans-serif" w:hAnsi="Arial;Helvetica;sans-serif"/>
          <w:b/>
          <w:color w:val="722981"/>
          <w:sz w:val="20"/>
        </w:rPr>
        <w:t xml:space="preserve">Option Exercises and Stock Vested for 2024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option awards and stock awards reflected in the table below were exercised or became vested for the NEOs during 2024. </w:t>
      </w:r>
    </w:p>
    <w:tbl>
      <w:tblPr>
        <w:tblW w:w="7395" w:type="dxa"/>
        <w:jc w:val="left"/>
        <w:tblInd w:w="0" w:type="dxa"/>
        <w:tblLayout w:type="fixed"/>
        <w:tblCellMar>
          <w:top w:w="0" w:type="dxa"/>
          <w:left w:w="0" w:type="dxa"/>
          <w:bottom w:w="0" w:type="dxa"/>
          <w:right w:w="0" w:type="dxa"/>
        </w:tblCellMar>
      </w:tblPr>
      <w:tblGrid>
        <w:gridCol w:w="185"/>
        <w:gridCol w:w="1385"/>
        <w:gridCol w:w="170"/>
        <w:gridCol w:w="170"/>
        <w:gridCol w:w="1085"/>
        <w:gridCol w:w="170"/>
        <w:gridCol w:w="170"/>
        <w:gridCol w:w="1040"/>
        <w:gridCol w:w="170"/>
        <w:gridCol w:w="170"/>
        <w:gridCol w:w="1085"/>
        <w:gridCol w:w="170"/>
        <w:gridCol w:w="170"/>
        <w:gridCol w:w="1040"/>
        <w:gridCol w:w="215"/>
      </w:tblGrid>
      <w:tr>
        <w:trPr/>
        <w:tc>
          <w:tcPr>
            <w:tcW w:w="185" w:type="dxa"/>
            <w:tcBorders/>
            <w:shd w:fill="722981" w:val="clear"/>
            <w:vAlign w:val="center"/>
          </w:tcPr>
          <w:p>
            <w:pPr>
              <w:pStyle w:val="TableContents"/>
              <w:bidi w:val="0"/>
              <w:spacing w:before="0" w:after="0"/>
              <w:jc w:val="left"/>
              <w:rPr/>
            </w:pPr>
            <w:r>
              <w:rPr/>
              <w:t> </w:t>
            </w:r>
          </w:p>
        </w:tc>
        <w:tc>
          <w:tcPr>
            <w:tcW w:w="138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2465" w:type="dxa"/>
            <w:gridSpan w:val="4"/>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2465" w:type="dxa"/>
            <w:gridSpan w:val="4"/>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385" w:type="dxa"/>
            <w:tcBorders/>
            <w:shd w:fill="722981"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2465" w:type="dxa"/>
            <w:gridSpan w:val="4"/>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Option Awards</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2465" w:type="dxa"/>
            <w:gridSpan w:val="4"/>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Stock Awards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38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8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Number of</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Shares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Acquired on</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Exercise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4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Value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Realized on</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Exercise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8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Shares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Acquired on</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Vesting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4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Value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Realized on</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Vesting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Scott A. Smith</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43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40" w:type="dxa"/>
            <w:tcBorders/>
            <w:shd w:fill="E6E6E6" w:val="clear"/>
            <w:vAlign w:val="center"/>
          </w:tcPr>
          <w:p>
            <w:pPr>
              <w:pStyle w:val="TableContents"/>
              <w:bidi w:val="0"/>
              <w:spacing w:before="0" w:after="283"/>
              <w:ind w:left="41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8"/>
              </w:rPr>
            </w:pPr>
            <w:r>
              <w:rPr>
                <w:rFonts w:ascii="Arial;Helvetica;sans-serif" w:hAnsi="Arial;Helvetica;sans-serif"/>
                <w:color w:val="000000"/>
                <w:sz w:val="18"/>
              </w:rPr>
              <w:t>140,727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40" w:type="dxa"/>
            <w:tcBorders/>
            <w:shd w:fill="E6E6E6" w:val="cle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1,771,753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1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Corinne Le Goff</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43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40" w:type="dxa"/>
            <w:tcBorders/>
            <w:shd w:fill="E6E6E6" w:val="clear"/>
            <w:vAlign w:val="center"/>
          </w:tcPr>
          <w:p>
            <w:pPr>
              <w:pStyle w:val="TableContents"/>
              <w:bidi w:val="0"/>
              <w:spacing w:before="0" w:after="283"/>
              <w:ind w:left="41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20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40" w:type="dxa"/>
            <w:tcBorders/>
            <w:shd w:fill="E6E6E6" w:val="clear"/>
            <w:vAlign w:val="center"/>
          </w:tcPr>
          <w:p>
            <w:pPr>
              <w:pStyle w:val="TableContents"/>
              <w:bidi w:val="0"/>
              <w:spacing w:before="0" w:after="283"/>
              <w:ind w:left="100" w:right="0" w:hanging="0"/>
              <w:jc w:val="left"/>
              <w:rPr>
                <w:color w:val="000000"/>
              </w:rPr>
            </w:pPr>
            <w:r>
              <w:rPr>
                <w:color w:val="00000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1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0" w:right="0" w:hanging="0"/>
              <w:jc w:val="left"/>
              <w:rPr>
                <w:rFonts w:ascii="Arial;Helvetica;sans-serif" w:hAnsi="Arial;Helvetica;sans-serif"/>
                <w:color w:val="000000"/>
                <w:sz w:val="18"/>
              </w:rPr>
            </w:pPr>
            <w:r>
              <w:rPr>
                <w:rFonts w:ascii="Arial;Helvetica;sans-serif" w:hAnsi="Arial;Helvetica;sans-serif"/>
                <w:color w:val="000000"/>
                <w:sz w:val="18"/>
              </w:rPr>
              <w:t>128,284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1,610,627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8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Brian Roman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43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40" w:type="dxa"/>
            <w:tcBorders/>
            <w:shd w:fill="E6E6E6" w:val="clear"/>
            <w:vAlign w:val="center"/>
          </w:tcPr>
          <w:p>
            <w:pPr>
              <w:pStyle w:val="TableContents"/>
              <w:bidi w:val="0"/>
              <w:spacing w:before="0" w:after="283"/>
              <w:ind w:left="41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200" w:right="0" w:hanging="0"/>
              <w:jc w:val="left"/>
              <w:rPr>
                <w:rFonts w:ascii="Arial;Helvetica;sans-serif" w:hAnsi="Arial;Helvetica;sans-serif"/>
                <w:color w:val="000000"/>
                <w:sz w:val="18"/>
              </w:rPr>
            </w:pPr>
            <w:r>
              <w:rPr>
                <w:rFonts w:ascii="Arial;Helvetica;sans-serif" w:hAnsi="Arial;Helvetica;sans-serif"/>
                <w:color w:val="000000"/>
                <w:sz w:val="18"/>
              </w:rPr>
              <w:t>120,525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40" w:type="dxa"/>
            <w:tcBorders/>
            <w:shd w:fill="E6E6E6" w:val="cle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1,513,120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Sanjeev Narula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1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0" w:right="0" w:hanging="0"/>
              <w:jc w:val="left"/>
              <w:rPr>
                <w:rFonts w:ascii="Arial;Helvetica;sans-serif" w:hAnsi="Arial;Helvetica;sans-serif"/>
                <w:color w:val="000000"/>
                <w:sz w:val="18"/>
              </w:rPr>
            </w:pPr>
            <w:r>
              <w:rPr>
                <w:rFonts w:ascii="Arial;Helvetica;sans-serif" w:hAnsi="Arial;Helvetica;sans-serif"/>
                <w:color w:val="000000"/>
                <w:sz w:val="18"/>
              </w:rPr>
              <w:t>251,518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3,156,889</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5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All shares reflected as vesting in this table were paid pursuant to their pre-existing contractual terms, including those paid to Mr. Narula in connection with his separation from employment. </w:t>
            </w:r>
          </w:p>
        </w:tc>
      </w:tr>
    </w:tbl>
    <w:p>
      <w:pPr>
        <w:pStyle w:val="TextBody"/>
        <w:bidi w:val="0"/>
        <w:spacing w:before="400" w:after="283"/>
        <w:ind w:left="0" w:right="0" w:hanging="0"/>
        <w:jc w:val="left"/>
        <w:rPr>
          <w:rFonts w:ascii="Arial;Helvetica;sans-serif" w:hAnsi="Arial;Helvetica;sans-serif"/>
          <w:b/>
          <w:color w:val="722981"/>
          <w:sz w:val="20"/>
        </w:rPr>
      </w:pPr>
      <w:r>
        <w:rPr>
          <w:rFonts w:ascii="Arial;Helvetica;sans-serif" w:hAnsi="Arial;Helvetica;sans-serif"/>
          <w:b/>
          <w:color w:val="722981"/>
          <w:sz w:val="20"/>
        </w:rPr>
        <w:t xml:space="preserve">Non-Qualified Deferred Compensation for 2024 </w:t>
      </w:r>
    </w:p>
    <w:p>
      <w:pPr>
        <w:pStyle w:val="TextBody"/>
        <w:bidi w:val="0"/>
        <w:spacing w:before="20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 following table sets forth information relating to the Restoration Plan for 2024. </w:t>
      </w:r>
    </w:p>
    <w:tbl>
      <w:tblPr>
        <w:tblW w:w="10205" w:type="dxa"/>
        <w:jc w:val="left"/>
        <w:tblInd w:w="0" w:type="dxa"/>
        <w:tblLayout w:type="fixed"/>
        <w:tblCellMar>
          <w:top w:w="0" w:type="dxa"/>
          <w:left w:w="0" w:type="dxa"/>
          <w:bottom w:w="0" w:type="dxa"/>
          <w:right w:w="0" w:type="dxa"/>
        </w:tblCellMar>
      </w:tblPr>
      <w:tblGrid>
        <w:gridCol w:w="185"/>
        <w:gridCol w:w="1346"/>
        <w:gridCol w:w="170"/>
        <w:gridCol w:w="170"/>
        <w:gridCol w:w="950"/>
        <w:gridCol w:w="170"/>
        <w:gridCol w:w="170"/>
        <w:gridCol w:w="1205"/>
        <w:gridCol w:w="170"/>
        <w:gridCol w:w="170"/>
        <w:gridCol w:w="1218"/>
        <w:gridCol w:w="170"/>
        <w:gridCol w:w="170"/>
        <w:gridCol w:w="950"/>
        <w:gridCol w:w="170"/>
        <w:gridCol w:w="170"/>
        <w:gridCol w:w="1145"/>
        <w:gridCol w:w="170"/>
        <w:gridCol w:w="170"/>
        <w:gridCol w:w="950"/>
        <w:gridCol w:w="216"/>
      </w:tblGrid>
      <w:tr>
        <w:trPr/>
        <w:tc>
          <w:tcPr>
            <w:tcW w:w="185" w:type="dxa"/>
            <w:tcBorders/>
            <w:shd w:fill="722981" w:val="clear"/>
            <w:vAlign w:val="center"/>
          </w:tcPr>
          <w:p>
            <w:pPr>
              <w:pStyle w:val="TableContents"/>
              <w:bidi w:val="0"/>
              <w:spacing w:before="0" w:after="0"/>
              <w:jc w:val="left"/>
              <w:rPr/>
            </w:pPr>
            <w:r>
              <w:rPr/>
              <w:t> </w:t>
            </w:r>
          </w:p>
        </w:tc>
        <w:tc>
          <w:tcPr>
            <w:tcW w:w="1346"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5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18"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5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14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50" w:type="dxa"/>
            <w:tcBorders/>
            <w:shd w:fill="722981" w:val="clear"/>
            <w:vAlign w:val="center"/>
          </w:tcPr>
          <w:p>
            <w:pPr>
              <w:pStyle w:val="TableContents"/>
              <w:bidi w:val="0"/>
              <w:spacing w:before="0" w:after="0"/>
              <w:jc w:val="left"/>
              <w:rPr/>
            </w:pPr>
            <w:r>
              <w:rPr/>
              <w:t> </w:t>
            </w:r>
          </w:p>
        </w:tc>
        <w:tc>
          <w:tcPr>
            <w:tcW w:w="216"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346"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5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Aggregate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Balance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at Last</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FYE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0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Executive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Contributions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in Last FY</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18"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Company</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Profit Sharing</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and Match</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Contributions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in Last FY</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5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Aggregate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Earnings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(Loss) in</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Last FY</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14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Aggregate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Withdrawals/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Distributions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95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Aggregate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Balance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at FYE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 </w:t>
            </w:r>
          </w:p>
        </w:tc>
        <w:tc>
          <w:tcPr>
            <w:tcW w:w="216"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46"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Scott A. Smith</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50" w:type="dxa"/>
            <w:tcBorders/>
            <w:shd w:fill="E6E6E6" w:val="clear"/>
            <w:vAlign w:val="center"/>
          </w:tcPr>
          <w:p>
            <w:pPr>
              <w:pStyle w:val="TableContents"/>
              <w:bidi w:val="0"/>
              <w:spacing w:before="0" w:after="283"/>
              <w:ind w:left="45" w:right="0" w:hanging="0"/>
              <w:jc w:val="left"/>
              <w:rPr>
                <w:rFonts w:ascii="Arial;Helvetica;sans-serif" w:hAnsi="Arial;Helvetica;sans-serif"/>
                <w:color w:val="000000"/>
                <w:sz w:val="18"/>
              </w:rPr>
            </w:pPr>
            <w:r>
              <w:rPr>
                <w:rFonts w:ascii="Arial;Helvetica;sans-serif" w:hAnsi="Arial;Helvetica;sans-serif"/>
                <w:color w:val="000000"/>
                <w:sz w:val="18"/>
              </w:rPr>
              <w:t>55,805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ind w:left="265" w:right="0" w:hanging="0"/>
              <w:jc w:val="left"/>
              <w:rPr>
                <w:rFonts w:ascii="Arial;Helvetica;sans-serif" w:hAnsi="Arial;Helvetica;sans-serif"/>
                <w:color w:val="000000"/>
                <w:sz w:val="18"/>
              </w:rPr>
            </w:pPr>
            <w:r>
              <w:rPr>
                <w:rFonts w:ascii="Arial;Helvetica;sans-serif" w:hAnsi="Arial;Helvetica;sans-serif"/>
                <w:color w:val="000000"/>
                <w:sz w:val="18"/>
              </w:rPr>
              <w:t>157,580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18" w:type="dxa"/>
            <w:tcBorders/>
            <w:shd w:fill="E6E6E6" w:val="clear"/>
            <w:vAlign w:val="center"/>
          </w:tcPr>
          <w:p>
            <w:pPr>
              <w:pStyle w:val="TableContents"/>
              <w:bidi w:val="0"/>
              <w:spacing w:before="0" w:after="283"/>
              <w:ind w:left="270" w:right="0" w:hanging="0"/>
              <w:jc w:val="left"/>
              <w:rPr>
                <w:rFonts w:ascii="Arial;Helvetica;sans-serif" w:hAnsi="Arial;Helvetica;sans-serif"/>
                <w:color w:val="000000"/>
                <w:sz w:val="18"/>
              </w:rPr>
            </w:pPr>
            <w:r>
              <w:rPr>
                <w:rFonts w:ascii="Arial;Helvetica;sans-serif" w:hAnsi="Arial;Helvetica;sans-serif"/>
                <w:color w:val="000000"/>
                <w:sz w:val="18"/>
              </w:rPr>
              <w:t>206,095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50" w:type="dxa"/>
            <w:tcBorders/>
            <w:shd w:fill="E6E6E6" w:val="clear"/>
            <w:vAlign w:val="center"/>
          </w:tcPr>
          <w:p>
            <w:pPr>
              <w:pStyle w:val="TableContents"/>
              <w:bidi w:val="0"/>
              <w:spacing w:before="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9,478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45" w:type="dxa"/>
            <w:tcBorders/>
            <w:shd w:fill="E6E6E6" w:val="clear"/>
            <w:vAlign w:val="center"/>
          </w:tcPr>
          <w:p>
            <w:pPr>
              <w:pStyle w:val="TableContents"/>
              <w:bidi w:val="0"/>
              <w:spacing w:before="0" w:after="283"/>
              <w:ind w:left="12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50" w:type="dxa"/>
            <w:tcBorders/>
            <w:shd w:fill="E6E6E6" w:val="clear"/>
            <w:vAlign w:val="center"/>
          </w:tcPr>
          <w:p>
            <w:pPr>
              <w:pStyle w:val="TableContents"/>
              <w:bidi w:val="0"/>
              <w:spacing w:before="0" w:after="283"/>
              <w:ind w:left="45" w:right="0" w:hanging="0"/>
              <w:jc w:val="left"/>
              <w:rPr>
                <w:rFonts w:ascii="Arial;Helvetica;sans-serif" w:hAnsi="Arial;Helvetica;sans-serif"/>
                <w:color w:val="000000"/>
                <w:sz w:val="18"/>
              </w:rPr>
            </w:pPr>
            <w:r>
              <w:rPr>
                <w:rFonts w:ascii="Arial;Helvetica;sans-serif" w:hAnsi="Arial;Helvetica;sans-serif"/>
                <w:color w:val="000000"/>
                <w:sz w:val="18"/>
              </w:rPr>
              <w:t xml:space="preserve">428,958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6"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5" w:right="0" w:hanging="0"/>
              <w:jc w:val="left"/>
              <w:rPr>
                <w:rFonts w:ascii="Arial;Helvetica;sans-serif" w:hAnsi="Arial;Helvetica;sans-serif"/>
                <w:color w:val="000000"/>
                <w:sz w:val="18"/>
              </w:rPr>
            </w:pPr>
            <w:r>
              <w:rPr>
                <w:rFonts w:ascii="Arial;Helvetica;sans-serif" w:hAnsi="Arial;Helvetica;sans-serif"/>
                <w:color w:val="000000"/>
                <w:sz w:val="18"/>
              </w:rPr>
              <w:t>18,565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8" w:type="dxa"/>
            <w:tcBorders/>
            <w:vAlign w:val="center"/>
          </w:tcPr>
          <w:p>
            <w:pPr>
              <w:pStyle w:val="TableContents"/>
              <w:bidi w:val="0"/>
              <w:spacing w:before="0" w:after="283"/>
              <w:ind w:left="270" w:right="0" w:hanging="0"/>
              <w:jc w:val="left"/>
              <w:rPr>
                <w:rFonts w:ascii="Arial;Helvetica;sans-serif" w:hAnsi="Arial;Helvetica;sans-serif"/>
                <w:color w:val="000000"/>
                <w:sz w:val="18"/>
              </w:rPr>
            </w:pPr>
            <w:r>
              <w:rPr>
                <w:rFonts w:ascii="Arial;Helvetica;sans-serif" w:hAnsi="Arial;Helvetica;sans-serif"/>
                <w:color w:val="000000"/>
                <w:sz w:val="18"/>
              </w:rPr>
              <w:t>18,565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5" w:right="0" w:hanging="0"/>
              <w:jc w:val="left"/>
              <w:rPr>
                <w:rFonts w:ascii="Arial;Helvetica;sans-serif" w:hAnsi="Arial;Helvetica;sans-serif"/>
                <w:color w:val="000000"/>
                <w:sz w:val="18"/>
              </w:rPr>
            </w:pPr>
            <w:r>
              <w:rPr>
                <w:rFonts w:ascii="Arial;Helvetica;sans-serif" w:hAnsi="Arial;Helvetica;sans-serif"/>
                <w:color w:val="000000"/>
                <w:sz w:val="18"/>
              </w:rPr>
              <w:t xml:space="preserve">37,460 </w:t>
            </w:r>
          </w:p>
        </w:tc>
        <w:tc>
          <w:tcPr>
            <w:tcW w:w="216"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46"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Corinne Le Goff</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50" w:type="dxa"/>
            <w:tcBorders/>
            <w:shd w:fill="E6E6E6" w:val="clear"/>
            <w:vAlign w:val="center"/>
          </w:tcPr>
          <w:p>
            <w:pPr>
              <w:pStyle w:val="TableContents"/>
              <w:bidi w:val="0"/>
              <w:spacing w:before="0" w:after="283"/>
              <w:ind w:left="4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ind w:left="26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18" w:type="dxa"/>
            <w:tcBorders/>
            <w:shd w:fill="E6E6E6" w:val="clear"/>
            <w:vAlign w:val="center"/>
          </w:tcPr>
          <w:p>
            <w:pPr>
              <w:pStyle w:val="TableContents"/>
              <w:bidi w:val="0"/>
              <w:spacing w:before="0" w:after="283"/>
              <w:ind w:left="27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50" w:type="dxa"/>
            <w:tcBorders/>
            <w:shd w:fill="E6E6E6"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45" w:type="dxa"/>
            <w:tcBorders/>
            <w:shd w:fill="E6E6E6" w:val="clear"/>
            <w:vAlign w:val="center"/>
          </w:tcPr>
          <w:p>
            <w:pPr>
              <w:pStyle w:val="TableContents"/>
              <w:bidi w:val="0"/>
              <w:spacing w:before="0" w:after="283"/>
              <w:ind w:left="12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50" w:type="dxa"/>
            <w:tcBorders/>
            <w:shd w:fill="E6E6E6" w:val="clear"/>
            <w:vAlign w:val="center"/>
          </w:tcPr>
          <w:p>
            <w:pPr>
              <w:pStyle w:val="TableContents"/>
              <w:bidi w:val="0"/>
              <w:spacing w:before="0" w:after="283"/>
              <w:ind w:left="45" w:right="0" w:hanging="0"/>
              <w:jc w:val="left"/>
              <w:rPr>
                <w:color w:val="000000"/>
              </w:rPr>
            </w:pPr>
            <w:r>
              <w:rPr>
                <w:color w:val="000000"/>
              </w:rPr>
              <w:t xml:space="preserve">—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6"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5" w:right="0" w:hanging="0"/>
              <w:jc w:val="left"/>
              <w:rPr>
                <w:rFonts w:ascii="Arial;Helvetica;sans-serif" w:hAnsi="Arial;Helvetica;sans-serif"/>
                <w:color w:val="000000"/>
                <w:sz w:val="18"/>
              </w:rPr>
            </w:pPr>
            <w:r>
              <w:rPr>
                <w:rFonts w:ascii="Arial;Helvetica;sans-serif" w:hAnsi="Arial;Helvetica;sans-serif"/>
                <w:color w:val="000000"/>
                <w:sz w:val="18"/>
              </w:rPr>
              <w:t>2,743,277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5" w:right="0" w:hanging="0"/>
              <w:jc w:val="left"/>
              <w:rPr>
                <w:rFonts w:ascii="Arial;Helvetica;sans-serif" w:hAnsi="Arial;Helvetica;sans-serif"/>
                <w:color w:val="000000"/>
                <w:sz w:val="18"/>
              </w:rPr>
            </w:pPr>
            <w:r>
              <w:rPr>
                <w:rFonts w:ascii="Arial;Helvetica;sans-serif" w:hAnsi="Arial;Helvetica;sans-serif"/>
                <w:color w:val="000000"/>
                <w:sz w:val="18"/>
              </w:rPr>
              <w:t>61,808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8" w:type="dxa"/>
            <w:tcBorders/>
            <w:vAlign w:val="center"/>
          </w:tcPr>
          <w:p>
            <w:pPr>
              <w:pStyle w:val="TableContents"/>
              <w:bidi w:val="0"/>
              <w:spacing w:before="0" w:after="283"/>
              <w:ind w:left="270" w:right="0" w:hanging="0"/>
              <w:jc w:val="left"/>
              <w:rPr>
                <w:rFonts w:ascii="Arial;Helvetica;sans-serif" w:hAnsi="Arial;Helvetica;sans-serif"/>
                <w:color w:val="000000"/>
                <w:sz w:val="18"/>
              </w:rPr>
            </w:pPr>
            <w:r>
              <w:rPr>
                <w:rFonts w:ascii="Arial;Helvetica;sans-serif" w:hAnsi="Arial;Helvetica;sans-serif"/>
                <w:color w:val="000000"/>
                <w:sz w:val="18"/>
              </w:rPr>
              <w:t>166,936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387,523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5" w:right="0" w:hanging="0"/>
              <w:jc w:val="left"/>
              <w:rPr>
                <w:rFonts w:ascii="Arial;Helvetica;sans-serif" w:hAnsi="Arial;Helvetica;sans-serif"/>
                <w:color w:val="000000"/>
                <w:sz w:val="18"/>
              </w:rPr>
            </w:pPr>
            <w:r>
              <w:rPr>
                <w:rFonts w:ascii="Arial;Helvetica;sans-serif" w:hAnsi="Arial;Helvetica;sans-serif"/>
                <w:color w:val="000000"/>
                <w:sz w:val="18"/>
              </w:rPr>
              <w:t xml:space="preserve">3,359,544 </w:t>
            </w:r>
          </w:p>
        </w:tc>
        <w:tc>
          <w:tcPr>
            <w:tcW w:w="216"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346"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Brian Roman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50" w:type="dxa"/>
            <w:tcBorders/>
            <w:shd w:fill="E6E6E6" w:val="clear"/>
            <w:vAlign w:val="center"/>
          </w:tcPr>
          <w:p>
            <w:pPr>
              <w:pStyle w:val="TableContents"/>
              <w:bidi w:val="0"/>
              <w:spacing w:before="0" w:after="283"/>
              <w:ind w:left="45" w:right="0" w:hanging="0"/>
              <w:jc w:val="left"/>
              <w:rPr>
                <w:rFonts w:ascii="Arial;Helvetica;sans-serif" w:hAnsi="Arial;Helvetica;sans-serif"/>
                <w:color w:val="000000"/>
                <w:sz w:val="18"/>
              </w:rPr>
            </w:pPr>
            <w:r>
              <w:rPr>
                <w:rFonts w:ascii="Arial;Helvetica;sans-serif" w:hAnsi="Arial;Helvetica;sans-serif"/>
                <w:color w:val="000000"/>
                <w:sz w:val="18"/>
              </w:rPr>
              <w:t>4,361,501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ind w:left="265" w:right="0" w:hanging="0"/>
              <w:jc w:val="left"/>
              <w:rPr>
                <w:rFonts w:ascii="Arial;Helvetica;sans-serif" w:hAnsi="Arial;Helvetica;sans-serif"/>
                <w:color w:val="000000"/>
                <w:sz w:val="18"/>
              </w:rPr>
            </w:pPr>
            <w:r>
              <w:rPr>
                <w:rFonts w:ascii="Arial;Helvetica;sans-serif" w:hAnsi="Arial;Helvetica;sans-serif"/>
                <w:color w:val="000000"/>
                <w:sz w:val="18"/>
              </w:rPr>
              <w:t>77,520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18" w:type="dxa"/>
            <w:tcBorders/>
            <w:shd w:fill="E6E6E6" w:val="clear"/>
            <w:vAlign w:val="center"/>
          </w:tcPr>
          <w:p>
            <w:pPr>
              <w:pStyle w:val="TableContents"/>
              <w:bidi w:val="0"/>
              <w:spacing w:before="0" w:after="283"/>
              <w:ind w:left="270" w:right="0" w:hanging="0"/>
              <w:jc w:val="left"/>
              <w:rPr>
                <w:rFonts w:ascii="Arial;Helvetica;sans-serif" w:hAnsi="Arial;Helvetica;sans-serif"/>
                <w:color w:val="000000"/>
                <w:sz w:val="18"/>
              </w:rPr>
            </w:pPr>
            <w:r>
              <w:rPr>
                <w:rFonts w:ascii="Arial;Helvetica;sans-serif" w:hAnsi="Arial;Helvetica;sans-serif"/>
                <w:color w:val="000000"/>
                <w:sz w:val="18"/>
              </w:rPr>
              <w:t>207,728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50" w:type="dxa"/>
            <w:tcBorders/>
            <w:shd w:fill="E6E6E6" w:val="clear"/>
            <w:vAlign w:val="center"/>
          </w:tcPr>
          <w:p>
            <w:pPr>
              <w:pStyle w:val="TableContents"/>
              <w:bidi w:val="0"/>
              <w:spacing w:before="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422,996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45" w:type="dxa"/>
            <w:tcBorders/>
            <w:shd w:fill="E6E6E6" w:val="clear"/>
            <w:vAlign w:val="center"/>
          </w:tcPr>
          <w:p>
            <w:pPr>
              <w:pStyle w:val="TableContents"/>
              <w:bidi w:val="0"/>
              <w:spacing w:before="0" w:after="283"/>
              <w:ind w:left="125"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950" w:type="dxa"/>
            <w:tcBorders/>
            <w:shd w:fill="E6E6E6" w:val="clear"/>
            <w:vAlign w:val="center"/>
          </w:tcPr>
          <w:p>
            <w:pPr>
              <w:pStyle w:val="TableContents"/>
              <w:bidi w:val="0"/>
              <w:spacing w:before="0" w:after="283"/>
              <w:ind w:left="45" w:right="0" w:hanging="0"/>
              <w:jc w:val="left"/>
              <w:rPr>
                <w:rFonts w:ascii="Arial;Helvetica;sans-serif" w:hAnsi="Arial;Helvetica;sans-serif"/>
                <w:color w:val="000000"/>
                <w:sz w:val="18"/>
              </w:rPr>
            </w:pPr>
            <w:r>
              <w:rPr>
                <w:rFonts w:ascii="Arial;Helvetica;sans-serif" w:hAnsi="Arial;Helvetica;sans-serif"/>
                <w:color w:val="000000"/>
                <w:sz w:val="18"/>
              </w:rPr>
              <w:t xml:space="preserve">5,069,745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6"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Sanjeev Narula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5" w:right="0" w:hanging="0"/>
              <w:jc w:val="left"/>
              <w:rPr>
                <w:rFonts w:ascii="Arial;Helvetica;sans-serif" w:hAnsi="Arial;Helvetica;sans-serif"/>
                <w:color w:val="000000"/>
                <w:sz w:val="18"/>
              </w:rPr>
            </w:pPr>
            <w:r>
              <w:rPr>
                <w:rFonts w:ascii="Arial;Helvetica;sans-serif" w:hAnsi="Arial;Helvetica;sans-serif"/>
                <w:color w:val="000000"/>
                <w:sz w:val="18"/>
              </w:rPr>
              <w:t>685,714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5" w:right="0" w:hanging="0"/>
              <w:jc w:val="left"/>
              <w:rPr>
                <w:rFonts w:ascii="Arial;Helvetica;sans-serif" w:hAnsi="Arial;Helvetica;sans-serif"/>
                <w:color w:val="000000"/>
                <w:sz w:val="18"/>
              </w:rPr>
            </w:pPr>
            <w:r>
              <w:rPr>
                <w:rFonts w:ascii="Arial;Helvetica;sans-serif" w:hAnsi="Arial;Helvetica;sans-serif"/>
                <w:color w:val="000000"/>
                <w:sz w:val="18"/>
              </w:rPr>
              <w:t>151,925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8" w:type="dxa"/>
            <w:tcBorders/>
            <w:vAlign w:val="center"/>
          </w:tcPr>
          <w:p>
            <w:pPr>
              <w:pStyle w:val="TableContents"/>
              <w:bidi w:val="0"/>
              <w:spacing w:before="0" w:after="283"/>
              <w:ind w:left="270" w:right="0" w:hanging="0"/>
              <w:jc w:val="left"/>
              <w:rPr>
                <w:rFonts w:ascii="Arial;Helvetica;sans-serif" w:hAnsi="Arial;Helvetica;sans-serif"/>
                <w:color w:val="000000"/>
                <w:sz w:val="18"/>
              </w:rPr>
            </w:pPr>
            <w:r>
              <w:rPr>
                <w:rFonts w:ascii="Arial;Helvetica;sans-serif" w:hAnsi="Arial;Helvetica;sans-serif"/>
                <w:color w:val="000000"/>
                <w:sz w:val="18"/>
              </w:rPr>
              <w:t>213,364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79,449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(1,130,452)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5" w:right="0" w:hanging="0"/>
              <w:jc w:val="left"/>
              <w:rPr>
                <w:color w:val="000000"/>
              </w:rPr>
            </w:pPr>
            <w:r>
              <w:rPr>
                <w:color w:val="000000"/>
              </w:rPr>
              <w: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8" w:name="ny20042022x3_10ka_106-comp_pg7"/>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666666"/>
          <w:sz w:val="28"/>
        </w:rPr>
      </w:pPr>
      <w:bookmarkStart w:id="109" w:name="tEPI"/>
      <w:bookmarkEnd w:id="109"/>
      <w:r>
        <w:rPr>
          <w:rFonts w:ascii="Arial;Helvetica;sans-serif" w:hAnsi="Arial;Helvetica;sans-serif"/>
          <w:b/>
          <w:color w:val="666666"/>
          <w:sz w:val="28"/>
        </w:rPr>
        <w:t xml:space="preserve">Estimated Payments in Connection with a Termination of Employment or Change in Control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following discussion summarizes the potential payments and benefits that would have been payable to each of the NEOs upon a termination of employment on December 31, 2024 by Viatris without “cause”, by the NEO for “good reason” (each as defined in the applicable agreement), due to the NEO’s death or disability or as a result of a CIC Termination. A “CIC Termination” occurs if an NEO’s employment is terminated other than for cause or if he or she terminates employment for good reason, in each case, within two years following the occurrence of a change in control. The amounts discussed below exclude (i) 401(k) retirement plan contributions and distributions that are generally available to all salaried employees, (ii) payments pursuant to vested Restoration Plan balances, (iii) payments pursuant to awards scheduled to vest on or before December 31, 2024 by their terms, (iv) any amounts that may be due at the time of an event in respect of accrued and unpaid salary, bonuses, or vacation, and (v) the value of each NEO’s annual bonus for the 2024 completed fiscal year as the year was complete as of December 31, 2024. These are estimates only and actual amounts payable upon such terminations may be different and will only be determined upon the actual occurrence of any such event. </w:t>
      </w:r>
    </w:p>
    <w:p>
      <w:pPr>
        <w:pStyle w:val="TextBody"/>
        <w:bidi w:val="0"/>
        <w:spacing w:before="270" w:after="283"/>
        <w:ind w:left="0" w:right="0" w:hanging="0"/>
        <w:jc w:val="left"/>
        <w:rPr>
          <w:rFonts w:ascii="Arial;Helvetica;sans-serif" w:hAnsi="Arial;Helvetica;sans-serif"/>
          <w:color w:val="722981"/>
          <w:sz w:val="20"/>
        </w:rPr>
      </w:pPr>
      <w:r>
        <w:rPr>
          <w:rFonts w:ascii="Arial;Helvetica;sans-serif" w:hAnsi="Arial;Helvetica;sans-serif"/>
          <w:color w:val="722981"/>
          <w:sz w:val="20"/>
        </w:rPr>
        <w:t xml:space="preserve">Scott A. Smith </w:t>
      </w:r>
    </w:p>
    <w:p>
      <w:pPr>
        <w:pStyle w:val="TextBody"/>
        <w:bidi w:val="0"/>
        <w:spacing w:before="60" w:after="283"/>
        <w:ind w:left="0" w:right="0" w:hanging="0"/>
        <w:jc w:val="both"/>
        <w:rPr>
          <w:rFonts w:ascii="Arial;Helvetica;sans-serif" w:hAnsi="Arial;Helvetica;sans-serif"/>
          <w:color w:val="404040"/>
          <w:sz w:val="20"/>
        </w:rPr>
      </w:pPr>
      <w:r>
        <w:rPr>
          <w:rFonts w:ascii="Arial;Helvetica;sans-serif" w:hAnsi="Arial;Helvetica;sans-serif"/>
          <w:color w:val="404040"/>
          <w:sz w:val="20"/>
        </w:rPr>
        <w:t>Mr. Smith is entitled to severance payments and benefits upon certain terminations of employment pursuant to an offer letter with Viatris and his equity award agreements with Viatris.</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Without Cause Absent a Change in Control. </w:t>
      </w:r>
      <w:r>
        <w:rPr>
          <w:rFonts w:ascii="Arial;Helvetica;sans-serif" w:hAnsi="Arial;Helvetica;sans-serif"/>
          <w:b w:val="false"/>
          <w:i w:val="false"/>
          <w:caps w:val="false"/>
          <w:smallCaps w:val="false"/>
          <w:color w:val="404040"/>
          <w:sz w:val="20"/>
        </w:rPr>
        <w:t>If Mr. Smith's employment was terminated on December 31, 2024 by Viatris without cause, he would have been entitled to a payment equal to two times the sum of his base salary and his target annual bonus in effect at the time of such termination, payable in equal installments, and eligibility for continued vesting of a prorated number of his PRSUs granted in 2023 and 2024 based on actual Company performance. The estimated values of such payments and benefits, assuming a December 31, 2024 termination of employment, would have been $7,000,000, in respect of cash severance, and $9,013,427, in respect of the vesting of his PRSUs granted in 2023 and 2024 (assuming target performance).</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due to Death or Disability Absent a Change in Control. </w:t>
      </w:r>
      <w:r>
        <w:rPr>
          <w:rFonts w:ascii="Arial;Helvetica;sans-serif" w:hAnsi="Arial;Helvetica;sans-serif"/>
          <w:b w:val="false"/>
          <w:i w:val="false"/>
          <w:caps w:val="false"/>
          <w:smallCaps w:val="false"/>
          <w:color w:val="404040"/>
          <w:sz w:val="20"/>
        </w:rPr>
        <w:t xml:space="preserve">If Mr. Smith's employment was terminated on December 31, 2024 due to death or disability, he would have been entitled to full vesting of his unvested non-qualified deferred compensation account balance ($49,659) and full vesting of his unvested equity awards, with any PRSUs vesting based on target performance. The estimated value of such equity vesting, assuming a December 31, 2024 termination, would have been $24,119,012. Mr. Smith is not entitled to cash severance payments in connection with a termination of employment due to death or disability. </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Termination in Connection with a Change in Control.</w:t>
      </w:r>
      <w:r>
        <w:rPr>
          <w:rFonts w:ascii="Arial;Helvetica;sans-serif" w:hAnsi="Arial;Helvetica;sans-serif"/>
          <w:b/>
          <w:i/>
          <w:caps w:val="false"/>
          <w:smallCaps w:val="false"/>
          <w:color w:val="404040"/>
          <w:sz w:val="20"/>
        </w:rPr>
        <w:t xml:space="preserve"> </w:t>
      </w:r>
      <w:r>
        <w:rPr>
          <w:rFonts w:ascii="Arial;Helvetica;sans-serif" w:hAnsi="Arial;Helvetica;sans-serif"/>
          <w:b w:val="false"/>
          <w:i w:val="false"/>
          <w:caps w:val="false"/>
          <w:smallCaps w:val="false"/>
          <w:color w:val="404040"/>
          <w:sz w:val="20"/>
        </w:rPr>
        <w:t xml:space="preserve">If Mr. Smith incurred a CIC Termination on December 31, 2024, he would have been entitled to a payment equal to two and a half times the sum of his base salary and his target annual bonus in effect at the time of such termination, payable in equal installments, full vesting of his unvested non-qualified deferred compensation account balance, and full vesting of his equity awards, with any PRSUs vesting based on target performance. The estimated values of such payments and benefits, assuming a December 31, 2024 termination of employment, would have been $8,750,000, in respect of cash severance, $49,659, in respect of the vesting of his non-qualified deferred compensation, and $24,119,012, in respect of the vesting of his equity awards. </w:t>
      </w:r>
    </w:p>
    <w:p>
      <w:pPr>
        <w:pStyle w:val="TextBody"/>
        <w:bidi w:val="0"/>
        <w:spacing w:before="270" w:after="283"/>
        <w:ind w:left="0" w:right="0" w:hanging="0"/>
        <w:jc w:val="left"/>
        <w:rPr>
          <w:rFonts w:ascii="Arial;Helvetica;sans-serif" w:hAnsi="Arial;Helvetica;sans-serif"/>
          <w:color w:val="722981"/>
          <w:sz w:val="20"/>
        </w:rPr>
      </w:pPr>
      <w:r>
        <w:rPr>
          <w:rFonts w:ascii="Arial;Helvetica;sans-serif" w:hAnsi="Arial;Helvetica;sans-serif"/>
          <w:color w:val="722981"/>
          <w:sz w:val="20"/>
        </w:rPr>
        <w:t>Doretta Mistras</w:t>
      </w:r>
    </w:p>
    <w:p>
      <w:pPr>
        <w:pStyle w:val="TextBody"/>
        <w:bidi w:val="0"/>
        <w:spacing w:before="60" w:after="283"/>
        <w:ind w:left="0" w:right="0" w:hanging="0"/>
        <w:jc w:val="both"/>
        <w:rPr>
          <w:rFonts w:ascii="Arial;Helvetica;sans-serif" w:hAnsi="Arial;Helvetica;sans-serif"/>
          <w:color w:val="404040"/>
          <w:sz w:val="20"/>
        </w:rPr>
      </w:pPr>
      <w:r>
        <w:rPr>
          <w:rFonts w:ascii="Arial;Helvetica;sans-serif" w:hAnsi="Arial;Helvetica;sans-serif"/>
          <w:color w:val="404040"/>
          <w:sz w:val="20"/>
        </w:rPr>
        <w:t>Ms. Mistras is entitled to severance payments and benefits upon certain terminations of employment pursuant to an offer letter with Viatris and her equity award agreements with Viatris.</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Without Cause Absent a Change in Control. </w:t>
      </w:r>
      <w:r>
        <w:rPr>
          <w:rFonts w:ascii="Arial;Helvetica;sans-serif" w:hAnsi="Arial;Helvetica;sans-serif"/>
          <w:b w:val="false"/>
          <w:i w:val="false"/>
          <w:caps w:val="false"/>
          <w:smallCaps w:val="false"/>
          <w:color w:val="404040"/>
          <w:sz w:val="20"/>
        </w:rPr>
        <w:t xml:space="preserve">If Ms. Mistras’ employment was terminated on December 31, 2024 by Viatris without cause, she would have been entitled to a payment equal to one-half times the sum of her base salary and her target annual bonus in effect at the time of such termination, payable in equal installments, and eligibility for continued vesting of a prorated number of her PRSUs granted in 2024 based on actual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0" w:name="ny20042022x3_10ka_106-comp_pg8"/>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Company performance. The estimated values of such payments and benefits, assuming a December 31, 2024 termination of employment, would have been $825,000, in respect of cash severance, and $750,785, in respect of the vesting of her PRSUs granted in 2024 (assuming target performance).</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due to Death or Disability Absent a Change in Control. </w:t>
      </w:r>
      <w:r>
        <w:rPr>
          <w:rFonts w:ascii="Arial;Helvetica;sans-serif" w:hAnsi="Arial;Helvetica;sans-serif"/>
          <w:b w:val="false"/>
          <w:i w:val="false"/>
          <w:caps w:val="false"/>
          <w:smallCaps w:val="false"/>
          <w:color w:val="404040"/>
          <w:sz w:val="20"/>
        </w:rPr>
        <w:t xml:space="preserve">If Ms. Mistras’ employment was terminated on December 31, 2024 due to death or disability, she would have been entitled to full vesting of her unvested equity awards, with any PRSUs vesting based on target performance. The estimated value of such equity vesting, assuming a December 31, 2024 termination, would have been $4,064,390. Ms. Mistras is not entitled to cash severance payments in connection with a termination of employment due to death or disability. </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in Connection with a Change in Control. </w:t>
      </w:r>
      <w:r>
        <w:rPr>
          <w:rFonts w:ascii="Arial;Helvetica;sans-serif" w:hAnsi="Arial;Helvetica;sans-serif"/>
          <w:b w:val="false"/>
          <w:i w:val="false"/>
          <w:caps w:val="false"/>
          <w:smallCaps w:val="false"/>
          <w:color w:val="404040"/>
          <w:sz w:val="20"/>
        </w:rPr>
        <w:t xml:space="preserve">Ms. Mistras is not entitled to enhanced severance payments in the event of a CIC Termination. However, for illustrative purposes it has been assumed that, in the event of a CIC Termination, she would be provided with payments and benefits consistent with the retired Mylan N.V. Severance Plan and Global Guidelines (which had been assumed by Viatris) (the “Mylan Severance Plan”). If Ms. Mistras incurred a CIC Termination on December 31, 2024, it is assumed for illustrative purposes that she would have received a payment equal to two times the sum of her base salary and her target annual bonus in effect at the time of such termination, payable in equal installments, twenty-four months of continued health and other benefits, and full vesting of her unvested equity awards, with any PRSUs vesting based on target performance. The estimated values of such payments and benefits, assuming a December 31, 2024 CIC Termination, would have been $3,363,186, in respect of cash severance and other benefits, and $4,064,390, in respect of the vesting of her equity awards. </w:t>
      </w:r>
    </w:p>
    <w:p>
      <w:pPr>
        <w:pStyle w:val="TextBody"/>
        <w:bidi w:val="0"/>
        <w:spacing w:before="280" w:after="283"/>
        <w:ind w:left="0" w:right="0" w:hanging="0"/>
        <w:jc w:val="left"/>
        <w:rPr>
          <w:rFonts w:ascii="Arial;Helvetica;sans-serif" w:hAnsi="Arial;Helvetica;sans-serif"/>
          <w:color w:val="722981"/>
          <w:sz w:val="20"/>
        </w:rPr>
      </w:pPr>
      <w:r>
        <w:rPr>
          <w:rFonts w:ascii="Arial;Helvetica;sans-serif" w:hAnsi="Arial;Helvetica;sans-serif"/>
          <w:color w:val="722981"/>
          <w:sz w:val="20"/>
        </w:rPr>
        <w:t>Corinne Le Goff</w:t>
      </w:r>
    </w:p>
    <w:p>
      <w:pPr>
        <w:pStyle w:val="TextBody"/>
        <w:bidi w:val="0"/>
        <w:spacing w:before="60" w:after="283"/>
        <w:ind w:left="0" w:right="0" w:hanging="0"/>
        <w:jc w:val="both"/>
        <w:rPr>
          <w:rFonts w:ascii="Arial;Helvetica;sans-serif" w:hAnsi="Arial;Helvetica;sans-serif"/>
          <w:color w:val="404040"/>
          <w:sz w:val="20"/>
        </w:rPr>
      </w:pPr>
      <w:r>
        <w:rPr>
          <w:rFonts w:ascii="Arial;Helvetica;sans-serif" w:hAnsi="Arial;Helvetica;sans-serif"/>
          <w:color w:val="404040"/>
          <w:sz w:val="20"/>
        </w:rPr>
        <w:t>Dr. Le Goff is entitled to severance payments and benefits upon certain terminations of employment pursuant to an offer letter with Viatris and her equity award agreements with Viatris.</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Without Cause Absent a Change in Control. </w:t>
      </w:r>
      <w:r>
        <w:rPr>
          <w:rFonts w:ascii="Arial;Helvetica;sans-serif" w:hAnsi="Arial;Helvetica;sans-serif"/>
          <w:b w:val="false"/>
          <w:i w:val="false"/>
          <w:caps w:val="false"/>
          <w:smallCaps w:val="false"/>
          <w:color w:val="404040"/>
          <w:sz w:val="20"/>
        </w:rPr>
        <w:t>If Dr. Le Goff’s employment was terminated on December 31, 2024 by Viatris without cause, she would have been entitled to a payment equal to one-half times the sum of her base salary and her target annual bonus in effect at the time of such termination, payable in equal installments, and eligibility for continued vesting of a prorated number of her PRSUs granted in 2024 based on actual Company performance. The estimated values of such payments and benefits, assuming a December 31, 2024 termination of employment, would have been $875,000, in respect of cash severance, and $876,144, in respect of the vesting of her PRSUs granted in 2024 (assuming target performance).</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due to Death or Disability Absent a Change in Control. </w:t>
      </w:r>
      <w:r>
        <w:rPr>
          <w:rFonts w:ascii="Arial;Helvetica;sans-serif" w:hAnsi="Arial;Helvetica;sans-serif"/>
          <w:b w:val="false"/>
          <w:i w:val="false"/>
          <w:caps w:val="false"/>
          <w:smallCaps w:val="false"/>
          <w:color w:val="404040"/>
          <w:sz w:val="20"/>
        </w:rPr>
        <w:t xml:space="preserve">If Dr. Le Goff’s employment was terminated on December 31, 2024 due to death or disability, she would have been entitled to full vesting of her unvested equity awards, with any PRSUs vesting based on target performance. The estimated value of such equity vesting, assuming a December 31, 2024 termination, would have been $5,054,688. Dr. Le Goff is not entitled to cash severance payments in connection with a termination of employment due to death or disability. </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in Connection with a Change in Control. </w:t>
      </w:r>
      <w:r>
        <w:rPr>
          <w:rFonts w:ascii="Arial;Helvetica;sans-serif" w:hAnsi="Arial;Helvetica;sans-serif"/>
          <w:b w:val="false"/>
          <w:i w:val="false"/>
          <w:caps w:val="false"/>
          <w:smallCaps w:val="false"/>
          <w:color w:val="404040"/>
          <w:sz w:val="20"/>
        </w:rPr>
        <w:t xml:space="preserve">Dr. Le Goff is not entitled to enhanced severance payments in the event of a CIC Termination. However, for illustrative purposes it has been assumed that, in the event of a CIC Termination, she would be provided with payments and benefits consistent with the retired Mylan Severance Plan. If Dr. Le Goff incurred a CIC Termination on December 31, 2024, it is assumed for illustrative purposes that she would have received a payment equal to two times the sum of her base salary and her target annual bonus in effect at the time of such termination, payable in equal installments, twenty-four months of continued health and other benefits, and full vesting of her unvested equity awards, with any PRSUs vesting based on target performance. The estimated values of such payments and benefits, assuming a December 31, 2024 CIC Termination, would have been $3,598,193, in respect of cash severance and other benefits, and $5,054,688, in respect of the vesting of her equity awards.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1" w:name="ny20042022x3_10ka_106-comp_pg9"/>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722981"/>
          <w:sz w:val="20"/>
        </w:rPr>
      </w:pPr>
      <w:r>
        <w:rPr>
          <w:rFonts w:ascii="Arial;Helvetica;sans-serif" w:hAnsi="Arial;Helvetica;sans-serif"/>
          <w:color w:val="722981"/>
          <w:sz w:val="20"/>
        </w:rPr>
        <w:t>Paul Campbell</w:t>
      </w:r>
    </w:p>
    <w:p>
      <w:pPr>
        <w:pStyle w:val="TextBody"/>
        <w:bidi w:val="0"/>
        <w:spacing w:before="60" w:after="283"/>
        <w:ind w:left="0" w:right="0" w:hanging="0"/>
        <w:jc w:val="both"/>
        <w:rPr>
          <w:rFonts w:ascii="Arial;Helvetica;sans-serif" w:hAnsi="Arial;Helvetica;sans-serif"/>
          <w:color w:val="404040"/>
          <w:sz w:val="20"/>
        </w:rPr>
      </w:pPr>
      <w:r>
        <w:rPr>
          <w:rFonts w:ascii="Arial;Helvetica;sans-serif" w:hAnsi="Arial;Helvetica;sans-serif"/>
          <w:color w:val="404040"/>
          <w:sz w:val="20"/>
        </w:rPr>
        <w:t>Mr. Campbell is entitled to the equity award treatment established by his equity award agreements with Viatris upon certain terminations of employment. For illustrative purposes it has been assumed that he would be provided with payments and benefits consistent with the Mylan Severance Plan.</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Without Cause Absent a Change in Control. </w:t>
      </w:r>
      <w:r>
        <w:rPr>
          <w:rFonts w:ascii="Arial;Helvetica;sans-serif" w:hAnsi="Arial;Helvetica;sans-serif"/>
          <w:b w:val="false"/>
          <w:i w:val="false"/>
          <w:caps w:val="false"/>
          <w:smallCaps w:val="false"/>
          <w:color w:val="404040"/>
          <w:sz w:val="20"/>
        </w:rPr>
        <w:t>If Mr. Campbell’s employment was terminated on December 31, 2024 by Viatris without cause, it is assumed for illustrative purposes that he would have received twelve months of base salary continuation, twelve months of continued health and other benefits, and eligibility for continued vesting of a prorated number of his PRSUs granted in 2023 and 2024 based on actual Company performance. The estimated values of such payments, assuming a December 31, 2024 termination of employment, would have been $792,922, in respect of cash severance and other benefits, and $1,307,076, in respect of the vesting of his PRSUs granted in 2023 and 2024 (assuming target performance).</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due to Death or Disability Absent a Change in Control. </w:t>
      </w:r>
      <w:r>
        <w:rPr>
          <w:rFonts w:ascii="Arial;Helvetica;sans-serif" w:hAnsi="Arial;Helvetica;sans-serif"/>
          <w:b w:val="false"/>
          <w:i w:val="false"/>
          <w:caps w:val="false"/>
          <w:smallCaps w:val="false"/>
          <w:color w:val="404040"/>
          <w:sz w:val="20"/>
        </w:rPr>
        <w:t xml:space="preserve">If Mr. Campbell’s employment was terminated on December 31, 2024 due to death or disability, he would have been entitled to full vesting of his unvested equity awards, with any PRSUs vesting based on target performance. The estimated values of such equity vesting, assuming a December 31, 2024 termination, would have been $5,383,841. Mr. Campbell is not entitled to cash severance payments in connection with a termination of employment due to death or disability. </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in Connection with a Change in Control. </w:t>
      </w:r>
      <w:r>
        <w:rPr>
          <w:rFonts w:ascii="Arial;Helvetica;sans-serif" w:hAnsi="Arial;Helvetica;sans-serif"/>
          <w:b w:val="false"/>
          <w:i w:val="false"/>
          <w:caps w:val="false"/>
          <w:smallCaps w:val="false"/>
          <w:color w:val="404040"/>
          <w:sz w:val="20"/>
        </w:rPr>
        <w:t xml:space="preserve">If Mr. Campbell incurred a CIC Termination on December 31, 2024, it is assumed for illustrative purposes that he would have received a payment equal to two times the sum of his base salary and his target annual bonus in effect at the time of such termination, payable in equal installments, twenty-four months of continued health and other benefits, and full vesting of his unvested equity awards, with any PRSUs vesting based on target performance. The estimated values of such payments and benefits, assuming a December 31, 2024 CIC Termination, would have been $2,998,635, in respect of cash severance and other benefits, and $5,383,841, in respect of the vesting of his equity awards. </w:t>
      </w:r>
    </w:p>
    <w:p>
      <w:pPr>
        <w:pStyle w:val="TextBody"/>
        <w:bidi w:val="0"/>
        <w:spacing w:before="280" w:after="283"/>
        <w:ind w:left="0" w:right="0" w:hanging="0"/>
        <w:jc w:val="left"/>
        <w:rPr>
          <w:rFonts w:ascii="Arial;Helvetica;sans-serif" w:hAnsi="Arial;Helvetica;sans-serif"/>
          <w:color w:val="722981"/>
          <w:sz w:val="20"/>
        </w:rPr>
      </w:pPr>
      <w:r>
        <w:rPr>
          <w:rFonts w:ascii="Arial;Helvetica;sans-serif" w:hAnsi="Arial;Helvetica;sans-serif"/>
          <w:color w:val="722981"/>
          <w:sz w:val="20"/>
        </w:rPr>
        <w:t>Brian Roman</w:t>
      </w:r>
    </w:p>
    <w:p>
      <w:pPr>
        <w:pStyle w:val="TextBody"/>
        <w:bidi w:val="0"/>
        <w:spacing w:before="60" w:after="283"/>
        <w:ind w:left="0" w:right="0" w:hanging="0"/>
        <w:jc w:val="both"/>
        <w:rPr>
          <w:rFonts w:ascii="Arial;Helvetica;sans-serif" w:hAnsi="Arial;Helvetica;sans-serif"/>
          <w:color w:val="404040"/>
          <w:sz w:val="20"/>
        </w:rPr>
      </w:pPr>
      <w:r>
        <w:rPr>
          <w:rFonts w:ascii="Arial;Helvetica;sans-serif" w:hAnsi="Arial;Helvetica;sans-serif"/>
          <w:color w:val="404040"/>
          <w:sz w:val="20"/>
        </w:rPr>
        <w:t>Mr. Roman is entitled to the equity award treatment established by his equity award agreements with Viatris upon certain terminations of employment. For illustrative purposes it has been assumed that he would be provided with payments and benefits consistent with the retired Mylan Severance Plan.</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Without Cause Absent a Change in Control. </w:t>
      </w:r>
      <w:r>
        <w:rPr>
          <w:rFonts w:ascii="Arial;Helvetica;sans-serif" w:hAnsi="Arial;Helvetica;sans-serif"/>
          <w:b w:val="false"/>
          <w:i w:val="false"/>
          <w:caps w:val="false"/>
          <w:smallCaps w:val="false"/>
          <w:color w:val="404040"/>
          <w:sz w:val="20"/>
        </w:rPr>
        <w:t>If Mr. Roman's employment was terminated on December 31, 2024 by Viatris without cause, it is assumed for illustrative purposes that he would have twelve months of base salary continuation, twelve months of continued health and other benefits, and eligibility for continued vesting of a prorated number of his PRSUs granted in 2023 and 2024 based on actual Company performance. The estimated values of such payments, assuming a December 31, 2024 termination of employment, would have been $892,922, in respect of cash severance and other benefits, and $1,411,407, in respect of the vesting of his PRSUs granted in 2023 and 2024 (assuming target performance).</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due to Death or Disability Absent a Change in Control. </w:t>
      </w:r>
      <w:r>
        <w:rPr>
          <w:rFonts w:ascii="Arial;Helvetica;sans-serif" w:hAnsi="Arial;Helvetica;sans-serif"/>
          <w:b w:val="false"/>
          <w:i w:val="false"/>
          <w:caps w:val="false"/>
          <w:smallCaps w:val="false"/>
          <w:color w:val="404040"/>
          <w:sz w:val="20"/>
        </w:rPr>
        <w:t xml:space="preserve">If Mr. Roman's employment was terminated on December 31, 2024 due to death or disability, he would have been entitled to full vesting of his unvested equity awards, with any PRSUs vesting based on target performance. The estimated values of such equity vesting, assuming a December 31, 2024 termination, would have been $5,918,655. Mr. Roman is not entitled to cash severance payments in connection with a termination of employment due to death or disability. </w:t>
      </w:r>
    </w:p>
    <w:p>
      <w:pPr>
        <w:pStyle w:val="TextBody"/>
        <w:bidi w:val="0"/>
        <w:spacing w:before="180" w:after="283"/>
        <w:ind w:left="0" w:right="0" w:hanging="0"/>
        <w:jc w:val="both"/>
        <w:rPr>
          <w:rFonts w:ascii="Arial;Helvetica;sans-serif" w:hAnsi="Arial;Helvetica;sans-serif"/>
          <w:b/>
          <w:i/>
          <w:color w:val="4F4878"/>
          <w:sz w:val="20"/>
        </w:rPr>
      </w:pPr>
      <w:r>
        <w:rPr>
          <w:rFonts w:ascii="Arial;Helvetica;sans-serif" w:hAnsi="Arial;Helvetica;sans-serif"/>
          <w:b/>
          <w:i/>
          <w:color w:val="4F4878"/>
          <w:sz w:val="20"/>
        </w:rPr>
        <w:t xml:space="preserve">Termination in Connection with a Change in Control. </w:t>
      </w:r>
      <w:r>
        <w:rPr>
          <w:rFonts w:ascii="Arial;Helvetica;sans-serif" w:hAnsi="Arial;Helvetica;sans-serif"/>
          <w:b w:val="false"/>
          <w:i w:val="false"/>
          <w:caps w:val="false"/>
          <w:smallCaps w:val="false"/>
          <w:color w:val="404040"/>
          <w:sz w:val="20"/>
        </w:rPr>
        <w:t xml:space="preserve">If Mr. Roman incurred a CIC Termination on December 31, 2024, it is assumed for illustrative purposes that he would have received a payment equal to two times the sum of his base salary and his target annual bonus in effect at the time of such termination, payable in equal installments, twenty-four months of continued health and other benefits, and full vesting of his unvested equity awards, with any PRSUs vesting based on target performance. The estimated values of such payments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2" w:name="ny20042022x3_10ka_106-comp_pg10"/>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and benefits, assuming a December 31, 2024 CIC Termination, would have been $3,398,635, in respect of cash severance and other benefits, and $5,918,655, in respect of the vesting of his equity awards. </w:t>
      </w:r>
    </w:p>
    <w:p>
      <w:pPr>
        <w:pStyle w:val="TextBody"/>
        <w:bidi w:val="0"/>
        <w:spacing w:before="270" w:after="283"/>
        <w:ind w:left="0" w:right="0" w:hanging="0"/>
        <w:jc w:val="left"/>
        <w:rPr>
          <w:rFonts w:ascii="Arial;Helvetica;sans-serif" w:hAnsi="Arial;Helvetica;sans-serif"/>
          <w:color w:val="722981"/>
          <w:sz w:val="20"/>
        </w:rPr>
      </w:pPr>
      <w:r>
        <w:rPr>
          <w:rFonts w:ascii="Arial;Helvetica;sans-serif" w:hAnsi="Arial;Helvetica;sans-serif"/>
          <w:color w:val="722981"/>
          <w:sz w:val="20"/>
        </w:rPr>
        <w:t>Sanjeev Narula</w:t>
      </w:r>
    </w:p>
    <w:p>
      <w:pPr>
        <w:pStyle w:val="TextBody"/>
        <w:bidi w:val="0"/>
        <w:spacing w:before="6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On December 15, 2023, Mr. Narula entered into a separation agreement with Viatris pursuant to which he departed from the Company effective as of March 5, 2024. Mr. Narula's separation agreement provided for a cash payment equal to $3,700,000 payable in the form of installments over a period of two (2) years, a prorated annual bonus for 2024 based on actual Company performance (which was paid to him in the amount of $229,986), eligibility for continued vesting of a prorated number of PRSUs granted in each of 2022 and 2023 based on actual Company performance, reimbursement and allowances with respect to reasonable relocation-related expenses, and up to thirty-six months of continued health and other benefits, subject to a release of claims and other customary conditions. Mr. Narula ultimately received five months of continued health and other benefits and tax preparation assistance for 2024, valued in the aggregate at $13,655.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49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3" w:name="ny20042022x3_10ka_107-ceo_pg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b/>
          <w:color w:val="722981"/>
          <w:sz w:val="48"/>
        </w:rPr>
      </w:pPr>
      <w:bookmarkStart w:id="114" w:name="tCPR"/>
      <w:bookmarkEnd w:id="114"/>
      <w:r>
        <w:rPr>
          <w:rFonts w:ascii="Arial;Helvetica;sans-serif" w:hAnsi="Arial;Helvetica;sans-serif"/>
          <w:b/>
          <w:color w:val="722981"/>
          <w:sz w:val="48"/>
        </w:rPr>
        <w:t xml:space="preserve">CEO Pay Ratio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Pursuant to Item 402(u) of Regulation S-K (“Item 402(u)”), we are providing the following information about the relationship of the annual total compensation of our global employee population and the annual total compensation of our CEO, Scott A. Smith, for 2024. The pay ratio included in this information is a reasonable estimate calculated in a manner consistent with Item 402(u). </w:t>
      </w:r>
    </w:p>
    <w:p>
      <w:pPr>
        <w:pStyle w:val="TextBody"/>
        <w:bidi w:val="0"/>
        <w:spacing w:before="180" w:after="283"/>
        <w:ind w:left="0" w:right="0" w:hanging="0"/>
        <w:jc w:val="both"/>
        <w:rPr/>
      </w:pPr>
      <w:r>
        <w:rPr>
          <w:rFonts w:ascii="Arial;Helvetica;sans-serif" w:hAnsi="Arial;Helvetica;sans-serif"/>
          <w:color w:val="404040"/>
          <w:sz w:val="20"/>
        </w:rPr>
        <w:t xml:space="preserve">Further to this requirement, under Instruction 2 to Item 402(u), the median-paid employee may be identified once every three years if there is no impact to the pay ratio disclosure. In light of the changes in our employee population from the addition of 199 employees in connection with the completion of the acquisitions of Oyster Point and Famy Life Sciences in 2023, a new employee representing the median-paid employee has been selected for 2024. We chose base salary as our consistently applied compensation measure. We then calculated an annual base salary for each employee, annualizing pay for those employees who commenced work during 2024 and for any employees who were on leave for a portion of 2024. We collected the 2024 annual total compensation for the median employee using the same methodology we use for our NEOs as disclosed in the Summary Compensation Table on page </w:t>
      </w:r>
      <w:hyperlink w:anchor="tECT">
        <w:r>
          <w:rPr>
            <w:rStyle w:val="InternetLink"/>
            <w:rFonts w:ascii="Arial;Helvetica;sans-serif" w:hAnsi="Arial;Helvetica;sans-serif"/>
            <w:color w:val="000080"/>
            <w:sz w:val="20"/>
          </w:rPr>
          <w:t>40</w:t>
        </w:r>
      </w:hyperlink>
      <w:r>
        <w:rPr>
          <w:rFonts w:ascii="Arial;Helvetica;sans-serif" w:hAnsi="Arial;Helvetica;sans-serif"/>
          <w:color w:val="404040"/>
          <w:sz w:val="20"/>
        </w:rPr>
        <w:t xml:space="preserve">. </w:t>
      </w:r>
    </w:p>
    <w:p>
      <w:pPr>
        <w:pStyle w:val="TextBody"/>
        <w:bidi w:val="0"/>
        <w:spacing w:before="180" w:after="283"/>
        <w:ind w:left="0" w:right="0" w:hanging="0"/>
        <w:jc w:val="both"/>
        <w:rPr/>
      </w:pPr>
      <w:r>
        <w:rPr>
          <w:rFonts w:ascii="Arial;Helvetica;sans-serif" w:hAnsi="Arial;Helvetica;sans-serif"/>
          <w:color w:val="404040"/>
          <w:sz w:val="20"/>
        </w:rPr>
        <w:t xml:space="preserve">Total annual compensation for the median employee was $48,598 and is calculated according to the disclosure requirements of Item 402(u) and includes base salary, annual incentive, equity awards, change in pension values, and other compensation such as perquisites and medical benefits. The ratio of Mr. Smith's annual total compensation for 2024, which was $14,759,379 as reported in the Summary Compensation Table on page </w:t>
      </w:r>
      <w:hyperlink w:anchor="tECT">
        <w:r>
          <w:rPr>
            <w:rStyle w:val="InternetLink"/>
            <w:rFonts w:ascii="Arial;Helvetica;sans-serif" w:hAnsi="Arial;Helvetica;sans-serif"/>
            <w:color w:val="000080"/>
            <w:sz w:val="20"/>
          </w:rPr>
          <w:t>40</w:t>
        </w:r>
      </w:hyperlink>
      <w:r>
        <w:rPr>
          <w:rFonts w:ascii="Arial;Helvetica;sans-serif" w:hAnsi="Arial;Helvetica;sans-serif"/>
          <w:color w:val="404040"/>
          <w:sz w:val="20"/>
        </w:rPr>
        <w:t>, along with the cost of employer provided medical benefits ($22,413) to the median employee annual total compensation determined on the same basis was 304 to 1.</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Our median employee is located in India, which reflects the true global nature of our organization and the fact that we are a diversified company within our peer group whose employees participate in all aspects of bringing our products to market, from R&amp;D to manufacturing. This diversification should be considered by readers who would compare our CEO Pay Ratio to those within our peer or industry group and reflects differences in pay demographics among those groups. Pay ratios may not be comparable because of different employee populations, geographic distribution of employees, and compensation practices and companies may utilize different methodologies, exclusions, estimates, and assumptions in calculating their own pay ratios.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50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5" w:name="ny20042022x3_10ka_107-ceo_pg2"/>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Non-Employee Director Compensation for 2024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following table sets forth information concerning the compensation earned by Viatris’ non-employee directors (each, a “Non-Employee Director” and, together, the “Non-Employee Directors”) for 2024. Directors who are or were concurrently employees of Viatris (Messrs. Smith and Malik) receive no compensation for their concurrent Board service. A discussion of the elements of Non-Employee Director compensation follows the table. </w:t>
      </w:r>
    </w:p>
    <w:tbl>
      <w:tblPr>
        <w:tblW w:w="7680" w:type="dxa"/>
        <w:jc w:val="left"/>
        <w:tblInd w:w="0" w:type="dxa"/>
        <w:tblLayout w:type="fixed"/>
        <w:tblCellMar>
          <w:top w:w="0" w:type="dxa"/>
          <w:left w:w="0" w:type="dxa"/>
          <w:bottom w:w="0" w:type="dxa"/>
          <w:right w:w="0" w:type="dxa"/>
        </w:tblCellMar>
      </w:tblPr>
      <w:tblGrid>
        <w:gridCol w:w="185"/>
        <w:gridCol w:w="1955"/>
        <w:gridCol w:w="170"/>
        <w:gridCol w:w="170"/>
        <w:gridCol w:w="1175"/>
        <w:gridCol w:w="170"/>
        <w:gridCol w:w="170"/>
        <w:gridCol w:w="725"/>
        <w:gridCol w:w="170"/>
        <w:gridCol w:w="170"/>
        <w:gridCol w:w="1295"/>
        <w:gridCol w:w="170"/>
        <w:gridCol w:w="170"/>
        <w:gridCol w:w="770"/>
        <w:gridCol w:w="215"/>
      </w:tblGrid>
      <w:tr>
        <w:trPr/>
        <w:tc>
          <w:tcPr>
            <w:tcW w:w="185" w:type="dxa"/>
            <w:tcBorders/>
            <w:shd w:fill="722981" w:val="clear"/>
            <w:vAlign w:val="center"/>
          </w:tcPr>
          <w:p>
            <w:pPr>
              <w:pStyle w:val="TableContents"/>
              <w:bidi w:val="0"/>
              <w:spacing w:before="0" w:after="0"/>
              <w:jc w:val="left"/>
              <w:rPr/>
            </w:pPr>
            <w:r>
              <w:rPr/>
              <w:t> </w:t>
            </w:r>
          </w:p>
        </w:tc>
        <w:tc>
          <w:tcPr>
            <w:tcW w:w="195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17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2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9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95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17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Fees Earned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or Paid in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Cash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2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RSUs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(2)</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29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All Other</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Compensation</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(3)</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7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Total</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5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W. Don Cornwell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75" w:type="dxa"/>
            <w:tcBorders/>
            <w:shd w:fill="E6E6E6" w:val="clear"/>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150,000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20,000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395,001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JoEllen Lyons Dillon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425,001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5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Elisha Finney</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75" w:type="dxa"/>
            <w:tcBorders/>
            <w:shd w:fill="E6E6E6" w:val="clear"/>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150,000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20,000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395,001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Leo Groothuis</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400,001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5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Melina Higgins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75" w:type="dxa"/>
            <w:tcBorders/>
            <w:shd w:fill="E6E6E6" w:val="clear"/>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425,000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20,000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670,001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James M. Kilts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395,001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5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Harry Korman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75" w:type="dxa"/>
            <w:tcBorders/>
            <w:shd w:fill="E6E6E6" w:val="clear"/>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175,000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ind w:left="35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400,001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Rajiv Malik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128,005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22,773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375,787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5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Richard Mark</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75" w:type="dxa"/>
            <w:tcBorders/>
            <w:shd w:fill="E6E6E6" w:val="clear"/>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200,000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20,000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445,001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Mark Parrish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475,001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5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Rogério Vivaldi Coelho</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75" w:type="dxa"/>
            <w:tcBorders/>
            <w:shd w:fill="E6E6E6" w:val="clear"/>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86,475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283"/>
              <w:ind w:left="35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311,480</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5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17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2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29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0"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48"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Fees earned by Mr. Groothuis were paid in Euros. Such amounts were converted into Euros using the monthly conversion rate in effect when each payment was made.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9985"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Represents the grant date fair value of the specific award granted to the Non-Employee Director. RSU awards granted in 2024 vested on March 4, 2025. For information regarding assumptions used in determining the amounts reflected in the table above, please refer to Note 13 to the Company’s Consolidated Financial Statements contained in the Original Filing. The number of unvested RSUs held by each of the Non-Employee Directors, as of December 31, 2024, were as follows: Mr. Cornwell, 18,977; Ms. Dillon, 18,977; Ms. Finney, 18,977; Mr. Groothuis, 18,977; Ms. Higgins,18,977; Mr. Kilts, 18,977; Mr. Korman, 18,977; Mr. Malik, 1,309,759; Mr. Mark, 18,977; Mr. Parrish, 18,977; and Dr. Vivaldi, 21,690. Amounts include all accrued and unvested whole share DEUs that vest only to the extent and at the same time the underlying award on which they are issued vest. The aggregate number of shares subject to stock options held by the Non-Employee Directors, as of December 31, 2024, were as follows: Ms. Dillon, 21,806; Ms. Higgins, 21,806; Mr. Korman, 13,949; Mr. Malik, 373,903; Mr. Mark, 12,260; and Mr. Parrish, 21,806.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9962"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The amounts represent charitable contributions made in 2024 under our matching gift program. For Mr. Malik, the amount represents the value of residual company car benefit (including insurance and ancillary expenses) relating to prior service. </w:t>
            </w:r>
          </w:p>
        </w:tc>
      </w:tr>
    </w:tbl>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compensation philosophy for Non-Employee Directors is designed to attract and retain Non-Employee Directors with the experience necessary to represent the Company and oversee executive management. On an annual basis, the Compensation Committee considers market data for our peer group and input received from the Compensation Committee’s independent compensation consultant regarding market practices for Director compensation. Any changes to Non-Employee Director compensation are approved by the Compensation Committee and the independent Directors.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51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6" w:name="ny20042022x3_10ka_107-ceo_pg3"/>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Director Compensation Structure for 2025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Compensation Committee and the independent Directors approved the following Non-Employee Director compensation effective for 2025, unchanged from 2024: </w:t>
      </w:r>
    </w:p>
    <w:tbl>
      <w:tblPr>
        <w:tblW w:w="5370" w:type="dxa"/>
        <w:jc w:val="left"/>
        <w:tblInd w:w="0" w:type="dxa"/>
        <w:tblLayout w:type="fixed"/>
        <w:tblCellMar>
          <w:top w:w="0" w:type="dxa"/>
          <w:left w:w="0" w:type="dxa"/>
          <w:bottom w:w="0" w:type="dxa"/>
          <w:right w:w="0" w:type="dxa"/>
        </w:tblCellMar>
      </w:tblPr>
      <w:tblGrid>
        <w:gridCol w:w="185"/>
        <w:gridCol w:w="3755"/>
        <w:gridCol w:w="170"/>
        <w:gridCol w:w="170"/>
        <w:gridCol w:w="875"/>
        <w:gridCol w:w="215"/>
      </w:tblGrid>
      <w:tr>
        <w:trPr/>
        <w:tc>
          <w:tcPr>
            <w:tcW w:w="185" w:type="dxa"/>
            <w:tcBorders/>
            <w:shd w:fill="722981" w:val="clear"/>
            <w:vAlign w:val="center"/>
          </w:tcPr>
          <w:p>
            <w:pPr>
              <w:pStyle w:val="TableContents"/>
              <w:bidi w:val="0"/>
              <w:spacing w:before="0" w:after="0"/>
              <w:jc w:val="left"/>
              <w:rPr/>
            </w:pPr>
            <w:r>
              <w:rPr/>
              <w:t> </w:t>
            </w:r>
          </w:p>
        </w:tc>
        <w:tc>
          <w:tcPr>
            <w:tcW w:w="375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75"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3755"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Element of Compensation</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7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Amount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375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Board Member Retainer</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$150,000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Chair of the Board of Directors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$225,000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375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Vice Chair Compensation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$50,000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Committee Chair Fee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$25,000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375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Executive Committee Member Fee</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7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$25,000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Annual Equity Grant Value (RSUs)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$225,000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Non-Employee Directors are also eligible to receive matching charitable contributions under the Company’s Director Matching Gift Program. Under this program, to the extent Non-Employee Directors choose to make charitable contributions to qualifying charitable organizations, the Company matches those contributions dollar-for-dollar up to an annual limit of $20,000 per person per calendar year. </w:t>
      </w:r>
    </w:p>
    <w:p>
      <w:pPr>
        <w:pStyle w:val="TextBody"/>
        <w:bidi w:val="0"/>
        <w:spacing w:before="310" w:after="283"/>
        <w:ind w:left="0" w:right="0" w:hanging="0"/>
        <w:jc w:val="left"/>
        <w:rPr>
          <w:rFonts w:ascii="Arial;Helvetica;sans-serif" w:hAnsi="Arial;Helvetica;sans-serif"/>
          <w:b/>
          <w:color w:val="26215F"/>
          <w:sz w:val="20"/>
        </w:rPr>
      </w:pPr>
      <w:r>
        <w:rPr>
          <w:rFonts w:ascii="Arial;Helvetica;sans-serif" w:hAnsi="Arial;Helvetica;sans-serif"/>
          <w:b/>
          <w:color w:val="26215F"/>
          <w:sz w:val="20"/>
        </w:rPr>
        <w:t xml:space="preserve">Non-Employee Director Share Ownership Guidelines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Effective January 1, 2021, the Board adopted revised share ownership guidelines for Non-Employee Directors, requiring each to hold common stock valued at five times the amount of their annual cash retainer, excluding any cash retainer paid for committee service. Each Non-Employee Director has five years from his or her start date to attain compliance. These guidelines further demonstrate alignment of Viatris Non-Employee Directors’ interests with shareholders’ interests for the duration of their Board service. Common stock actually owned by the Non-Employee Director as well as restricted shares and unvested RSUs (including corresponding DEUs) count toward compliance with these requirements.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52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7" w:name="ny20042022x3_10ka_108-security_pg1"/>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404040"/>
          <w:sz w:val="20"/>
        </w:rPr>
      </w:pPr>
      <w:bookmarkStart w:id="118" w:name="tITEM12"/>
      <w:bookmarkEnd w:id="118"/>
      <w:r>
        <w:rPr>
          <w:rFonts w:ascii="Arial;Helvetica;sans-serif" w:hAnsi="Arial;Helvetica;sans-serif"/>
          <w:b/>
          <w:color w:val="404040"/>
          <w:sz w:val="20"/>
        </w:rPr>
        <w:t xml:space="preserve">ITEM 12. Security Ownership of Certain Beneficial Owners and Management and Related Stockholder Matters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Certain information concerning securities authorized for issuance under equity compensation plans is contained in the discussion entitled “Equity Compensation Plan Information” in Item 12 of Part III of the Original Filing. </w:t>
      </w:r>
    </w:p>
    <w:p>
      <w:pPr>
        <w:pStyle w:val="TextBody"/>
        <w:bidi w:val="0"/>
        <w:spacing w:before="310" w:after="283"/>
        <w:ind w:left="0" w:right="0" w:hanging="0"/>
        <w:jc w:val="left"/>
        <w:rPr>
          <w:rFonts w:ascii="Arial;Helvetica;sans-serif" w:hAnsi="Arial;Helvetica;sans-serif"/>
          <w:b/>
          <w:color w:val="26215F"/>
          <w:sz w:val="20"/>
        </w:rPr>
      </w:pPr>
      <w:bookmarkStart w:id="119" w:name="tSOO"/>
      <w:bookmarkEnd w:id="119"/>
      <w:r>
        <w:rPr>
          <w:rFonts w:ascii="Arial;Helvetica;sans-serif" w:hAnsi="Arial;Helvetica;sans-serif"/>
          <w:b/>
          <w:color w:val="26215F"/>
          <w:sz w:val="20"/>
        </w:rPr>
        <w:t xml:space="preserve">Security Ownership of Directors, NEOs and Executive Officers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following table sets forth information regarding the beneficial ownership of common stock of Viatris Inc. as of April 23, 2025 by (i) each Viatris Director, (ii) each NEO, and (iii) all Directors and executive officers of Viatris Inc. as a group (based on 1,185,856,452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April 23, 2025.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their start date to attain compliance with our Stock Ownership Guidelines. In addition, each of our covered employees has five years to achieve minimum ownership requirements, as discussed in more detail in the CD&amp;A section of this document. </w:t>
      </w:r>
    </w:p>
    <w:tbl>
      <w:tblPr>
        <w:tblW w:w="9765" w:type="dxa"/>
        <w:jc w:val="left"/>
        <w:tblInd w:w="0" w:type="dxa"/>
        <w:tblLayout w:type="fixed"/>
        <w:tblCellMar>
          <w:top w:w="0" w:type="dxa"/>
          <w:left w:w="0" w:type="dxa"/>
          <w:bottom w:w="0" w:type="dxa"/>
          <w:right w:w="0" w:type="dxa"/>
        </w:tblCellMar>
      </w:tblPr>
      <w:tblGrid>
        <w:gridCol w:w="185"/>
        <w:gridCol w:w="5030"/>
        <w:gridCol w:w="170"/>
        <w:gridCol w:w="170"/>
        <w:gridCol w:w="1085"/>
        <w:gridCol w:w="170"/>
        <w:gridCol w:w="170"/>
        <w:gridCol w:w="1430"/>
        <w:gridCol w:w="170"/>
        <w:gridCol w:w="170"/>
        <w:gridCol w:w="800"/>
        <w:gridCol w:w="215"/>
      </w:tblGrid>
      <w:tr>
        <w:trPr/>
        <w:tc>
          <w:tcPr>
            <w:tcW w:w="185" w:type="dxa"/>
            <w:tcBorders/>
            <w:shd w:fill="722981" w:val="clear"/>
            <w:vAlign w:val="center"/>
          </w:tcPr>
          <w:p>
            <w:pPr>
              <w:pStyle w:val="TableContents"/>
              <w:bidi w:val="0"/>
              <w:spacing w:before="0" w:after="0"/>
              <w:jc w:val="left"/>
              <w:rPr/>
            </w:pPr>
            <w:r>
              <w:rPr/>
              <w:t> </w:t>
            </w:r>
          </w:p>
        </w:tc>
        <w:tc>
          <w:tcPr>
            <w:tcW w:w="503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8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43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00"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5030"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Name of Beneficial Owner</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08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Amount and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Nature of</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Beneficial</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Ownership</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43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Options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Exercisable and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Restricted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Shares Vesting</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within 60 days</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80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Percent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Class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03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Paul Campbell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254,458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30" w:type="dxa"/>
            <w:tcBorders/>
            <w:shd w:fill="E6E6E6" w:val="clear"/>
            <w:vAlign w:val="center"/>
          </w:tcPr>
          <w:p>
            <w:pPr>
              <w:pStyle w:val="TableContents"/>
              <w:bidi w:val="0"/>
              <w:spacing w:before="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36,723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0"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W. Don Cornwell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80,342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6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03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JoEllen Lyons Dillon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77,709</w:t>
            </w:r>
            <w:r>
              <w:rPr>
                <w:rFonts w:ascii="Arial;Helvetica;sans-serif" w:hAnsi="Arial;Helvetica;sans-serif"/>
                <w:color w:val="000000"/>
                <w:position w:val="6"/>
                <w:sz w:val="14"/>
                <w:sz w:val="18"/>
              </w:rPr>
              <w:t>(1)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30" w:type="dxa"/>
            <w:tcBorders/>
            <w:shd w:fill="E6E6E6" w:val="clear"/>
            <w:vAlign w:val="center"/>
          </w:tcPr>
          <w:p>
            <w:pPr>
              <w:pStyle w:val="TableContents"/>
              <w:bidi w:val="0"/>
              <w:spacing w:before="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21,806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0"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Elisha Finney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37,832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6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03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Leo Groothuis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39,907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30" w:type="dxa"/>
            <w:tcBorders/>
            <w:shd w:fill="E6E6E6" w:val="clear"/>
            <w:vAlign w:val="center"/>
          </w:tcPr>
          <w:p>
            <w:pPr>
              <w:pStyle w:val="TableContents"/>
              <w:bidi w:val="0"/>
              <w:spacing w:before="0" w:after="283"/>
              <w:ind w:left="36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0"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Melina Higgins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195,213</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21,806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03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James M. Kilts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136,422</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30" w:type="dxa"/>
            <w:tcBorders/>
            <w:shd w:fill="E6E6E6" w:val="clear"/>
            <w:vAlign w:val="center"/>
          </w:tcPr>
          <w:p>
            <w:pPr>
              <w:pStyle w:val="TableContents"/>
              <w:bidi w:val="0"/>
              <w:spacing w:before="0" w:after="283"/>
              <w:ind w:left="36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0"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Harry Korman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113,937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13,949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03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Corinne Le Goff</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42,331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30" w:type="dxa"/>
            <w:tcBorders/>
            <w:shd w:fill="E6E6E6" w:val="clear"/>
            <w:vAlign w:val="center"/>
          </w:tcPr>
          <w:p>
            <w:pPr>
              <w:pStyle w:val="TableContents"/>
              <w:bidi w:val="0"/>
              <w:spacing w:before="0" w:after="283"/>
              <w:ind w:left="36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0"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Rajiv Malik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1,068,262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373,903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03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Richard Mark</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91,310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30" w:type="dxa"/>
            <w:tcBorders/>
            <w:shd w:fill="E6E6E6" w:val="clear"/>
            <w:vAlign w:val="center"/>
          </w:tcPr>
          <w:p>
            <w:pPr>
              <w:pStyle w:val="TableContents"/>
              <w:bidi w:val="0"/>
              <w:spacing w:before="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12,260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0"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25,180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6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03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Sanjeev Narula</w:t>
            </w:r>
            <w:r>
              <w:rPr>
                <w:rFonts w:ascii="Arial;Helvetica;sans-serif" w:hAnsi="Arial;Helvetica;sans-serif"/>
                <w:color w:val="000000"/>
                <w:position w:val="6"/>
                <w:sz w:val="14"/>
                <w:sz w:val="18"/>
              </w:rPr>
              <w:t>(3)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253,525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30" w:type="dxa"/>
            <w:tcBorders/>
            <w:shd w:fill="E6E6E6" w:val="clear"/>
            <w:vAlign w:val="center"/>
          </w:tcPr>
          <w:p>
            <w:pPr>
              <w:pStyle w:val="TableContents"/>
              <w:bidi w:val="0"/>
              <w:spacing w:before="0" w:after="283"/>
              <w:ind w:left="36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0"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Mark Parrish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140,395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21,806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03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Brian Roman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193,916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30" w:type="dxa"/>
            <w:tcBorders/>
            <w:shd w:fill="E6E6E6" w:val="clear"/>
            <w:vAlign w:val="center"/>
          </w:tcPr>
          <w:p>
            <w:pPr>
              <w:pStyle w:val="TableContents"/>
              <w:bidi w:val="0"/>
              <w:spacing w:before="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32,695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0"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232,807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6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03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Rogério Vivaldi Coelho</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085" w:type="dxa"/>
            <w:tcBorders/>
            <w:shd w:fill="E6E6E6" w:val="cle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21,691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430" w:type="dxa"/>
            <w:tcBorders/>
            <w:shd w:fill="E6E6E6" w:val="clear"/>
            <w:vAlign w:val="center"/>
          </w:tcPr>
          <w:p>
            <w:pPr>
              <w:pStyle w:val="TableContents"/>
              <w:bidi w:val="0"/>
              <w:spacing w:before="0" w:after="283"/>
              <w:ind w:left="36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0" w:type="dxa"/>
            <w:tcBorders/>
            <w:shd w:fill="E6E6E6" w:val="clear"/>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All Directors and executive officers as a group (16 persons)</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2,751,712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534,948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50"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405" w:type="dxa"/>
        <w:jc w:val="left"/>
        <w:tblInd w:w="0" w:type="dxa"/>
        <w:tblLayout w:type="fixed"/>
        <w:tblCellMar>
          <w:top w:w="0" w:type="dxa"/>
          <w:left w:w="0" w:type="dxa"/>
          <w:bottom w:w="0" w:type="dxa"/>
          <w:right w:w="0" w:type="dxa"/>
        </w:tblCellMar>
      </w:tblPr>
      <w:tblGrid>
        <w:gridCol w:w="125"/>
        <w:gridCol w:w="1280"/>
      </w:tblGrid>
      <w:tr>
        <w:trPr/>
        <w:tc>
          <w:tcPr>
            <w:tcW w:w="1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w:t>
            </w:r>
          </w:p>
        </w:tc>
        <w:tc>
          <w:tcPr>
            <w:tcW w:w="128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Less than 1%. </w:t>
            </w:r>
          </w:p>
        </w:tc>
      </w:tr>
    </w:tbl>
    <w:tbl>
      <w:tblPr>
        <w:tblW w:w="4270" w:type="dxa"/>
        <w:jc w:val="left"/>
        <w:tblInd w:w="0" w:type="dxa"/>
        <w:tblLayout w:type="fixed"/>
        <w:tblCellMar>
          <w:top w:w="0" w:type="dxa"/>
          <w:left w:w="0" w:type="dxa"/>
          <w:bottom w:w="0" w:type="dxa"/>
          <w:right w:w="0" w:type="dxa"/>
        </w:tblCellMar>
      </w:tblPr>
      <w:tblGrid>
        <w:gridCol w:w="275"/>
        <w:gridCol w:w="3995"/>
      </w:tblGrid>
      <w:tr>
        <w:trPr/>
        <w:tc>
          <w:tcPr>
            <w:tcW w:w="2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399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Includes 18 shares held by Ms. Dillon’s spouse. </w:t>
            </w:r>
          </w:p>
        </w:tc>
      </w:tr>
    </w:tbl>
    <w:tbl>
      <w:tblPr>
        <w:tblW w:w="4690" w:type="dxa"/>
        <w:jc w:val="left"/>
        <w:tblInd w:w="0" w:type="dxa"/>
        <w:tblLayout w:type="fixed"/>
        <w:tblCellMar>
          <w:top w:w="0" w:type="dxa"/>
          <w:left w:w="0" w:type="dxa"/>
          <w:bottom w:w="0" w:type="dxa"/>
          <w:right w:w="0" w:type="dxa"/>
        </w:tblCellMar>
      </w:tblPr>
      <w:tblGrid>
        <w:gridCol w:w="275"/>
        <w:gridCol w:w="4415"/>
      </w:tblGrid>
      <w:tr>
        <w:trPr/>
        <w:tc>
          <w:tcPr>
            <w:tcW w:w="2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441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Includes 74,000 shares held by Ms. Higgins’ spouse. </w:t>
            </w:r>
          </w:p>
        </w:tc>
      </w:tr>
    </w:tbl>
    <w:tbl>
      <w:tblPr>
        <w:tblW w:w="6925" w:type="dxa"/>
        <w:jc w:val="left"/>
        <w:tblInd w:w="0" w:type="dxa"/>
        <w:tblLayout w:type="fixed"/>
        <w:tblCellMar>
          <w:top w:w="0" w:type="dxa"/>
          <w:left w:w="0" w:type="dxa"/>
          <w:bottom w:w="0" w:type="dxa"/>
          <w:right w:w="0" w:type="dxa"/>
        </w:tblCellMar>
      </w:tblPr>
      <w:tblGrid>
        <w:gridCol w:w="275"/>
        <w:gridCol w:w="6650"/>
      </w:tblGrid>
      <w:tr>
        <w:trPr/>
        <w:tc>
          <w:tcPr>
            <w:tcW w:w="2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665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Mr. Narula ceased to serve as the Company's CFO effective as of March 1, 2024. </w:t>
            </w:r>
          </w:p>
        </w:tc>
      </w:tr>
    </w:tbl>
    <w:tbl>
      <w:tblPr>
        <w:tblW w:w="5380" w:type="dxa"/>
        <w:jc w:val="left"/>
        <w:tblInd w:w="0" w:type="dxa"/>
        <w:tblLayout w:type="fixed"/>
        <w:tblCellMar>
          <w:top w:w="0" w:type="dxa"/>
          <w:left w:w="0" w:type="dxa"/>
          <w:bottom w:w="0" w:type="dxa"/>
          <w:right w:w="0" w:type="dxa"/>
        </w:tblCellMar>
      </w:tblPr>
      <w:tblGrid>
        <w:gridCol w:w="275"/>
        <w:gridCol w:w="5105"/>
      </w:tblGrid>
      <w:tr>
        <w:trPr/>
        <w:tc>
          <w:tcPr>
            <w:tcW w:w="2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(4)</w:t>
            </w:r>
          </w:p>
        </w:tc>
        <w:tc>
          <w:tcPr>
            <w:tcW w:w="510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Includes the individuals set forth above other than Mr. Narula.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53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0" w:name="ny20042022x3_10ka_108-security_pg2"/>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404040"/>
          <w:sz w:val="20"/>
        </w:rPr>
      </w:pPr>
      <w:bookmarkStart w:id="121" w:name="tSOOC"/>
      <w:bookmarkEnd w:id="121"/>
      <w:r>
        <w:rPr>
          <w:rFonts w:ascii="Arial;Helvetica;sans-serif" w:hAnsi="Arial;Helvetica;sans-serif"/>
          <w:b/>
          <w:color w:val="404040"/>
          <w:sz w:val="20"/>
        </w:rPr>
        <w:t xml:space="preserve">Security Ownership of Certain Beneficial Owners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The following table lists the names and addresses of shareholders known to management as of April 23, 2025, to own beneficially more than five percent of the shares of common stock of Viatris as set forth below (based on 1,185,856,452 shares of common stock of Viatris Inc. outstanding as of such date):</w:t>
      </w:r>
    </w:p>
    <w:tbl>
      <w:tblPr>
        <w:tblW w:w="10205" w:type="dxa"/>
        <w:jc w:val="left"/>
        <w:tblInd w:w="0" w:type="dxa"/>
        <w:tblLayout w:type="fixed"/>
        <w:tblCellMar>
          <w:top w:w="0" w:type="dxa"/>
          <w:left w:w="0" w:type="dxa"/>
          <w:bottom w:w="0" w:type="dxa"/>
          <w:right w:w="0" w:type="dxa"/>
        </w:tblCellMar>
      </w:tblPr>
      <w:tblGrid>
        <w:gridCol w:w="185"/>
        <w:gridCol w:w="6577"/>
        <w:gridCol w:w="170"/>
        <w:gridCol w:w="170"/>
        <w:gridCol w:w="1751"/>
        <w:gridCol w:w="170"/>
        <w:gridCol w:w="170"/>
        <w:gridCol w:w="795"/>
        <w:gridCol w:w="217"/>
      </w:tblGrid>
      <w:tr>
        <w:trPr/>
        <w:tc>
          <w:tcPr>
            <w:tcW w:w="185" w:type="dxa"/>
            <w:tcBorders/>
            <w:shd w:fill="722981" w:val="clear"/>
            <w:vAlign w:val="center"/>
          </w:tcPr>
          <w:p>
            <w:pPr>
              <w:pStyle w:val="TableContents"/>
              <w:bidi w:val="0"/>
              <w:spacing w:before="0" w:after="0"/>
              <w:jc w:val="left"/>
              <w:rPr/>
            </w:pPr>
            <w:r>
              <w:rPr/>
              <w:t> </w:t>
            </w:r>
          </w:p>
        </w:tc>
        <w:tc>
          <w:tcPr>
            <w:tcW w:w="6577"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51"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95" w:type="dxa"/>
            <w:tcBorders/>
            <w:shd w:fill="722981" w:val="clear"/>
            <w:vAlign w:val="center"/>
          </w:tcPr>
          <w:p>
            <w:pPr>
              <w:pStyle w:val="TableContents"/>
              <w:bidi w:val="0"/>
              <w:spacing w:before="0" w:after="0"/>
              <w:jc w:val="left"/>
              <w:rPr/>
            </w:pPr>
            <w:r>
              <w:rPr/>
              <w:t> </w:t>
            </w:r>
          </w:p>
        </w:tc>
        <w:tc>
          <w:tcPr>
            <w:tcW w:w="217"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6577" w:type="dxa"/>
            <w:tcBorders/>
            <w:shd w:fill="722981" w:val="clear"/>
            <w:vAlign w:val="center"/>
          </w:tcPr>
          <w:p>
            <w:pPr>
              <w:pStyle w:val="TableContents"/>
              <w:bidi w:val="0"/>
              <w:spacing w:before="0" w:after="283"/>
              <w:ind w:left="30" w:right="0" w:hanging="0"/>
              <w:jc w:val="left"/>
              <w:rPr>
                <w:rFonts w:ascii="Arial;Helvetica;sans-serif" w:hAnsi="Arial;Helvetica;sans-serif"/>
                <w:b/>
                <w:color w:val="FFFFFF"/>
                <w:sz w:val="18"/>
              </w:rPr>
            </w:pPr>
            <w:r>
              <w:rPr>
                <w:rFonts w:ascii="Arial;Helvetica;sans-serif" w:hAnsi="Arial;Helvetica;sans-serif"/>
                <w:b/>
                <w:color w:val="FFFFFF"/>
                <w:sz w:val="18"/>
              </w:rPr>
              <w:t>Name and Address of Beneficial Owner</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51"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Amount and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Nature of Beneficial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Ownership</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795"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Percent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Class </w:t>
            </w:r>
          </w:p>
        </w:tc>
        <w:tc>
          <w:tcPr>
            <w:tcW w:w="217"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77"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The Vanguard Group, </w:t>
            </w:r>
          </w:p>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100 Vanguard Blvd., Malvern, PA 19355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51" w:type="dxa"/>
            <w:tcBorders/>
            <w:shd w:fill="E6E6E6" w:val="clear"/>
            <w:vAlign w:val="center"/>
          </w:tcPr>
          <w:p>
            <w:pPr>
              <w:pStyle w:val="TableContents"/>
              <w:bidi w:val="0"/>
              <w:spacing w:before="0" w:after="283"/>
              <w:ind w:left="282" w:right="0" w:hanging="0"/>
              <w:jc w:val="left"/>
              <w:rPr>
                <w:rFonts w:ascii="Arial;Helvetica;sans-serif" w:hAnsi="Arial;Helvetica;sans-serif"/>
                <w:color w:val="000000"/>
                <w:sz w:val="18"/>
              </w:rPr>
            </w:pPr>
            <w:r>
              <w:rPr>
                <w:rFonts w:ascii="Arial;Helvetica;sans-serif" w:hAnsi="Arial;Helvetica;sans-serif"/>
                <w:color w:val="000000"/>
                <w:sz w:val="18"/>
              </w:rPr>
              <w:t>142,262,690</w:t>
            </w:r>
            <w:r>
              <w:rPr>
                <w:rFonts w:ascii="Arial;Helvetica;sans-serif" w:hAnsi="Arial;Helvetica;sans-serif"/>
                <w:color w:val="000000"/>
                <w:position w:val="6"/>
                <w:sz w:val="14"/>
                <w:sz w:val="18"/>
              </w:rPr>
              <w:t>(1)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95" w:type="dxa"/>
            <w:tcBorders/>
            <w:shd w:fill="E6E6E6" w:val="clear"/>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 xml:space="preserve">12.0 </w:t>
            </w:r>
          </w:p>
        </w:tc>
        <w:tc>
          <w:tcPr>
            <w:tcW w:w="217"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77"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BlackRock, Inc., </w:t>
            </w:r>
          </w:p>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50 Hudson Yards, New York, NY 10001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51" w:type="dxa"/>
            <w:tcBorders/>
            <w:vAlign w:val="center"/>
          </w:tcPr>
          <w:p>
            <w:pPr>
              <w:pStyle w:val="TableContents"/>
              <w:bidi w:val="0"/>
              <w:spacing w:before="0" w:after="283"/>
              <w:ind w:left="282" w:right="0" w:hanging="0"/>
              <w:jc w:val="left"/>
              <w:rPr>
                <w:rFonts w:ascii="Arial;Helvetica;sans-serif" w:hAnsi="Arial;Helvetica;sans-serif"/>
                <w:color w:val="000000"/>
                <w:sz w:val="18"/>
              </w:rPr>
            </w:pPr>
            <w:r>
              <w:rPr>
                <w:rFonts w:ascii="Arial;Helvetica;sans-serif" w:hAnsi="Arial;Helvetica;sans-serif"/>
                <w:color w:val="000000"/>
                <w:sz w:val="18"/>
              </w:rPr>
              <w:t>92,337,568</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7.8</w:t>
            </w:r>
            <w:r>
              <w:rPr>
                <w:rFonts w:ascii="Arial;Helvetica;sans-serif" w:hAnsi="Arial;Helvetica;sans-serif"/>
                <w:color w:val="000000"/>
                <w:sz w:val="18"/>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77"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Davis Selected Advisers, L.P. </w:t>
            </w:r>
          </w:p>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2949 East Elvira Road, Suite 101, Tucson, AZ 85756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51" w:type="dxa"/>
            <w:tcBorders/>
            <w:shd w:fill="E6E6E6" w:val="clear"/>
            <w:vAlign w:val="center"/>
          </w:tcPr>
          <w:p>
            <w:pPr>
              <w:pStyle w:val="TableContents"/>
              <w:bidi w:val="0"/>
              <w:spacing w:before="0" w:after="283"/>
              <w:ind w:left="282" w:right="0" w:hanging="0"/>
              <w:jc w:val="left"/>
              <w:rPr>
                <w:rFonts w:ascii="Arial;Helvetica;sans-serif" w:hAnsi="Arial;Helvetica;sans-serif"/>
                <w:color w:val="000000"/>
                <w:sz w:val="18"/>
              </w:rPr>
            </w:pPr>
            <w:r>
              <w:rPr>
                <w:rFonts w:ascii="Arial;Helvetica;sans-serif" w:hAnsi="Arial;Helvetica;sans-serif"/>
                <w:color w:val="000000"/>
                <w:sz w:val="18"/>
              </w:rPr>
              <w:t>62,573,562</w:t>
            </w:r>
            <w:r>
              <w:rPr>
                <w:rFonts w:ascii="Arial;Helvetica;sans-serif" w:hAnsi="Arial;Helvetica;sans-serif"/>
                <w:color w:val="000000"/>
                <w:position w:val="6"/>
                <w:sz w:val="14"/>
                <w:sz w:val="18"/>
              </w:rPr>
              <w:t>(3)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95" w:type="dxa"/>
            <w:tcBorders/>
            <w:shd w:fill="E6E6E6" w:val="clear"/>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5.3</w:t>
            </w:r>
            <w:r>
              <w:rPr>
                <w:rFonts w:ascii="Arial;Helvetica;sans-serif" w:hAnsi="Arial;Helvetica;sans-serif"/>
                <w:color w:val="000000"/>
                <w:sz w:val="18"/>
              </w:rPr>
              <w:t xml:space="preserve"> </w:t>
            </w:r>
          </w:p>
        </w:tc>
        <w:tc>
          <w:tcPr>
            <w:tcW w:w="217"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77"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State Street Corporation </w:t>
            </w:r>
          </w:p>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State Street Financial Center, One Congress Street, Suite 1, Boston, MA 02114-2016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51" w:type="dxa"/>
            <w:tcBorders/>
            <w:vAlign w:val="center"/>
          </w:tcPr>
          <w:p>
            <w:pPr>
              <w:pStyle w:val="TableContents"/>
              <w:bidi w:val="0"/>
              <w:spacing w:before="0" w:after="283"/>
              <w:ind w:left="282" w:right="0" w:hanging="0"/>
              <w:jc w:val="left"/>
              <w:rPr>
                <w:rFonts w:ascii="Arial;Helvetica;sans-serif" w:hAnsi="Arial;Helvetica;sans-serif"/>
                <w:color w:val="000000"/>
                <w:sz w:val="18"/>
              </w:rPr>
            </w:pPr>
            <w:r>
              <w:rPr>
                <w:rFonts w:ascii="Arial;Helvetica;sans-serif" w:hAnsi="Arial;Helvetica;sans-serif"/>
                <w:color w:val="000000"/>
                <w:sz w:val="18"/>
              </w:rPr>
              <w:t>61,969,119</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5.2</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74"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Based on the Schedule 13G/A filed by The Vanguard Group with the SEC on February 13, 2024, as of December 29, 2023, The Vanguard Group has sole voting power over 0 shares of common stock, shared voting power over 1,620,666 shares of common stock, sole dispositive power over 136,880,832 shares of common stock and shared dispositive power over 5,381,858 shares of common stock.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997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Based on the Schedule 13G/A filed by BlackRock, Inc. with the SEC on January 26, 2024, as of December 31, 2023, BlackRock, Inc. has sole voting power over 82,732,122 shares of common stock, shared voting power over 0 shares of common stock, sole dispositive power over 92,337,568 shares of common stock and shared dispositive power over 0 shares of common stock.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9974"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Based on the Schedule 13G filed by Davis Selected Advisers, L.P. with the SEC on January 24, 2025, as of December 31, 2024, Davis Selected Advisors, L.P. has sole voting power over 60,473,941 shares of common stock, shared voting power over 2,099,621 shares of common stock, sole dispositive power over 62,573,562 shares of common stock and shared dispositive power over 0 shares of common stock.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(4)</w:t>
            </w:r>
          </w:p>
        </w:tc>
        <w:tc>
          <w:tcPr>
            <w:tcW w:w="9974"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Based on the Schedule 13G/A filed by State Street Corporation with the SEC on January 30, 2024, as of December 31, 2023, State Street Corporation has sole voting power over 0 shares of common stock, shared voting power over 40,564,300 shares of common stock, sole dispositive power over 0 shares of common stock and shared dispositive power over 61,923,920 shares of common stock. </w:t>
            </w:r>
          </w:p>
        </w:tc>
      </w:tr>
    </w:tbl>
    <w:p>
      <w:pPr>
        <w:pStyle w:val="TextBody"/>
        <w:bidi w:val="0"/>
        <w:spacing w:before="290" w:after="283"/>
        <w:ind w:left="0" w:right="0" w:hanging="0"/>
        <w:jc w:val="left"/>
        <w:rPr>
          <w:rFonts w:ascii="Arial;Helvetica;sans-serif" w:hAnsi="Arial;Helvetica;sans-serif"/>
          <w:b/>
          <w:color w:val="404040"/>
          <w:sz w:val="20"/>
        </w:rPr>
      </w:pPr>
      <w:bookmarkStart w:id="122" w:name="tITEM13"/>
      <w:bookmarkEnd w:id="122"/>
      <w:r>
        <w:rPr>
          <w:rFonts w:ascii="Arial;Helvetica;sans-serif" w:hAnsi="Arial;Helvetica;sans-serif"/>
          <w:b/>
          <w:color w:val="404040"/>
          <w:sz w:val="20"/>
        </w:rPr>
        <w:t xml:space="preserve">ITEM 13. Certain Relationships and Related Transactions, and Director Independence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Based on a review of any transactions between Viatris and its Directors and executive officers, their immediate family members, and their affiliated entities, Viatris has determined that since the beginning of 2024,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Mr. Malik, a Director and former executive officer of the Company, was party to an employment agreement with Mylan Inc., which contained standard indemnification provisions, and is currently party to a standard indemnification agreement with the Company. The Company has made payments to counsel to Mr. Malik of approximately $215,000 from January 1, 2024 through April 11, 2025 for services provided to Mr. Malik in connection with certain previously disclosed drug pricing matters. The Company anticipates making additional payments of approximately $370,000 in 2025 for ongoing services to be provided to Mr. Malik in connection with such matters. Viatris anticipates additional payment, repayment or advancement of these and other expenses during the pendency of these matters and anticipates that it will make payments for any such claims. In addition, in 2025, the Company made a payment to Mr. Malik equal to approximately $622,000, representing amounts relating to Company profit sharing contributions and his prior participation in the Company’s 401(k) Restoration Plan.</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54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3" w:name="ny20042022x3_10ka_108-security_pg3"/>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has a written related party transactions policy that establishes guidelines for the Audit Committee to review and approve or ratify, as appropriate, transactions involving any Director, nominee for Director, “officer” (as defined in Rule 16a-1(f) of the Exchange Act),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 </w:t>
      </w:r>
    </w:p>
    <w:p>
      <w:pPr>
        <w:pStyle w:val="TextBody"/>
        <w:bidi w:val="0"/>
        <w:spacing w:before="31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Director Independence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Board has determined that Mr. Cornwell, Ms. Dillon, Ms. Finney, Mr. Groothuis, Ms. Higgins, Mr. Kilts, Mr. Korman, Mr. Mark, Mr. Parrish, and Dr. Vivaldi are independent Directors under the applicable NASDAQ listing rules. </w:t>
      </w:r>
    </w:p>
    <w:p>
      <w:pPr>
        <w:pStyle w:val="TextBody"/>
        <w:bidi w:val="0"/>
        <w:spacing w:before="25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Messrs. Malik and Smith are not independent Directors under applicable NASDAQ listing rules. </w:t>
      </w:r>
    </w:p>
    <w:p>
      <w:pPr>
        <w:pStyle w:val="TextBody"/>
        <w:bidi w:val="0"/>
        <w:spacing w:before="310" w:after="283"/>
        <w:ind w:left="0" w:right="0" w:hanging="0"/>
        <w:jc w:val="left"/>
        <w:rPr>
          <w:rFonts w:ascii="Arial;Helvetica;sans-serif" w:hAnsi="Arial;Helvetica;sans-serif"/>
          <w:b/>
          <w:color w:val="404040"/>
          <w:sz w:val="20"/>
        </w:rPr>
      </w:pPr>
      <w:bookmarkStart w:id="124" w:name="tITEM14"/>
      <w:bookmarkEnd w:id="124"/>
      <w:r>
        <w:rPr>
          <w:rFonts w:ascii="Arial;Helvetica;sans-serif" w:hAnsi="Arial;Helvetica;sans-serif"/>
          <w:b/>
          <w:color w:val="404040"/>
          <w:sz w:val="20"/>
        </w:rPr>
        <w:t xml:space="preserve">ITEM 14. Principal Accounting Fees and Services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Deloitte served as Viatris’ independent registered public accounting firm during 2024 and 2023 and audited Viatris’ financial statements for the fiscal years ended December 31, 2024 and 2023. No relationships exist with Deloitte other than the usual relationship between such a firm and its client. Details about the nature of the services provided by, and fees Viatris paid to, Deloitte and affiliated firms for such services during 2024 and 2023 are set forth below. </w:t>
      </w:r>
    </w:p>
    <w:tbl>
      <w:tblPr>
        <w:tblW w:w="4335" w:type="dxa"/>
        <w:jc w:val="left"/>
        <w:tblInd w:w="0" w:type="dxa"/>
        <w:tblLayout w:type="fixed"/>
        <w:tblCellMar>
          <w:top w:w="0" w:type="dxa"/>
          <w:left w:w="0" w:type="dxa"/>
          <w:bottom w:w="0" w:type="dxa"/>
          <w:right w:w="0" w:type="dxa"/>
        </w:tblCellMar>
      </w:tblPr>
      <w:tblGrid>
        <w:gridCol w:w="185"/>
        <w:gridCol w:w="1925"/>
        <w:gridCol w:w="170"/>
        <w:gridCol w:w="170"/>
        <w:gridCol w:w="635"/>
        <w:gridCol w:w="170"/>
        <w:gridCol w:w="170"/>
        <w:gridCol w:w="695"/>
        <w:gridCol w:w="215"/>
      </w:tblGrid>
      <w:tr>
        <w:trPr/>
        <w:tc>
          <w:tcPr>
            <w:tcW w:w="185" w:type="dxa"/>
            <w:tcBorders/>
            <w:shd w:fill="722981" w:val="clear"/>
            <w:vAlign w:val="center"/>
          </w:tcPr>
          <w:p>
            <w:pPr>
              <w:pStyle w:val="TableContents"/>
              <w:bidi w:val="0"/>
              <w:spacing w:before="0" w:after="0"/>
              <w:jc w:val="left"/>
              <w:rPr/>
            </w:pPr>
            <w:r>
              <w:rPr/>
              <w:t> </w:t>
            </w:r>
          </w:p>
        </w:tc>
        <w:tc>
          <w:tcPr>
            <w:tcW w:w="192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670" w:type="dxa"/>
            <w:gridSpan w:val="4"/>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925" w:type="dxa"/>
            <w:tcBorders/>
            <w:shd w:fill="722981"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670" w:type="dxa"/>
            <w:gridSpan w:val="4"/>
            <w:tcBorders/>
            <w:shd w:fill="722981"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In Millions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1925" w:type="dxa"/>
            <w:tcBorders/>
            <w:shd w:fill="722981"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35" w:type="dxa"/>
            <w:tcBorders/>
            <w:shd w:fill="722981"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2024</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95" w:type="dxa"/>
            <w:tcBorders/>
            <w:shd w:fill="722981"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2023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2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Audit Fees</w:t>
            </w:r>
            <w:r>
              <w:rPr>
                <w:rFonts w:ascii="Arial;Helvetica;sans-serif" w:hAnsi="Arial;Helvetica;sans-serif"/>
                <w:color w:val="000000"/>
                <w:position w:val="7"/>
                <w:sz w:val="16"/>
                <w:sz w:val="20"/>
              </w:rPr>
              <w:t>(1)</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$18.13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9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$18.03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Audit-Related Fees</w:t>
            </w:r>
            <w:r>
              <w:rPr>
                <w:rFonts w:ascii="Arial;Helvetica;sans-serif" w:hAnsi="Arial;Helvetica;san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0.28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2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Tax Fees</w:t>
            </w:r>
            <w:r>
              <w:rPr>
                <w:rFonts w:ascii="Arial;Helvetica;sans-serif" w:hAnsi="Arial;Helvetica;sans-serif"/>
                <w:color w:val="000000"/>
                <w:position w:val="7"/>
                <w:sz w:val="16"/>
                <w:sz w:val="20"/>
              </w:rPr>
              <w:t>(3)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1.74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9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1.82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25" w:type="dxa"/>
            <w:tcBorders/>
            <w:shd w:fill="E6E6E6" w:val="cle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Total Fees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$20.02</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95" w:type="dxa"/>
            <w:tcBorders/>
            <w:shd w:fill="E6E6E6"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$20.13</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92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3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9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9976"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9963"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Represents fees for assurance services related to the audit of the Company’s annual consolidated financial statements, including audits of certain of the Company’s subsidiaries, comfort letters, certain SEC filings, and other agreed-upon procedures.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9954"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color w:val="404040"/>
                <w:sz w:val="18"/>
              </w:rPr>
              <w:t xml:space="preserve">Represents fees primarily related to tax return preparation, tax planning, and tax compliance support services, as well as fees related to tax advice provided in connection with the Combination. </w:t>
            </w:r>
          </w:p>
        </w:tc>
      </w:tr>
    </w:tbl>
    <w:p>
      <w:pPr>
        <w:pStyle w:val="TextBody"/>
        <w:bidi w:val="0"/>
        <w:spacing w:before="28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 xml:space="preserve">Audit Committee Pre-Approval Policy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2024 and 2023 were pre-approved by the Audit Committee in accordance with its pre-approval policy.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55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ny20042022x3_10ka_109-part4_pg1"/>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404040"/>
          <w:sz w:val="20"/>
        </w:rPr>
      </w:pPr>
      <w:bookmarkStart w:id="126" w:name="tITEM15"/>
      <w:bookmarkEnd w:id="126"/>
      <w:r>
        <w:rPr>
          <w:rFonts w:ascii="Arial;Helvetica;sans-serif" w:hAnsi="Arial;Helvetica;sans-serif"/>
          <w:b/>
          <w:color w:val="404040"/>
          <w:sz w:val="20"/>
        </w:rPr>
        <w:t xml:space="preserve">PART IV </w:t>
      </w:r>
    </w:p>
    <w:p>
      <w:pPr>
        <w:pStyle w:val="TextBody"/>
        <w:bidi w:val="0"/>
        <w:spacing w:before="26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ITEM 15. Exhibits</w:t>
      </w:r>
    </w:p>
    <w:p>
      <w:pPr>
        <w:pStyle w:val="TextBody"/>
        <w:bidi w:val="0"/>
        <w:spacing w:before="260" w:after="283"/>
        <w:ind w:left="0" w:right="0" w:hanging="0"/>
        <w:jc w:val="left"/>
        <w:rPr>
          <w:rFonts w:ascii="Arial;Helvetica;sans-serif" w:hAnsi="Arial;Helvetica;sans-serif"/>
          <w:b/>
          <w:color w:val="404040"/>
          <w:sz w:val="20"/>
        </w:rPr>
      </w:pPr>
      <w:r>
        <w:rPr>
          <w:rFonts w:ascii="Arial;Helvetica;sans-serif" w:hAnsi="Arial;Helvetica;sans-serif"/>
          <w:b/>
          <w:color w:val="404040"/>
          <w:sz w:val="20"/>
        </w:rPr>
        <w:t>Exhibit Index</w:t>
      </w:r>
    </w:p>
    <w:tbl>
      <w:tblPr>
        <w:tblW w:w="10205" w:type="dxa"/>
        <w:jc w:val="left"/>
        <w:tblInd w:w="0" w:type="dxa"/>
        <w:tblLayout w:type="fixed"/>
        <w:tblCellMar>
          <w:top w:w="0" w:type="dxa"/>
          <w:left w:w="0" w:type="dxa"/>
          <w:bottom w:w="0" w:type="dxa"/>
          <w:right w:w="0" w:type="dxa"/>
        </w:tblCellMar>
      </w:tblPr>
      <w:tblGrid>
        <w:gridCol w:w="440"/>
        <w:gridCol w:w="170"/>
        <w:gridCol w:w="170"/>
        <w:gridCol w:w="9425"/>
      </w:tblGrid>
      <w:tr>
        <w:trPr/>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5" w:type="dxa"/>
            <w:tcBorders/>
            <w:vAlign w:val="center"/>
          </w:tcPr>
          <w:p>
            <w:pPr>
              <w:pStyle w:val="TableContents"/>
              <w:bidi w:val="0"/>
              <w:spacing w:before="0" w:after="0"/>
              <w:jc w:val="left"/>
              <w:rPr/>
            </w:pPr>
            <w:r>
              <w:rPr/>
              <w:t> </w:t>
            </w:r>
          </w:p>
        </w:tc>
      </w:tr>
      <w:tr>
        <w:trPr/>
        <w:tc>
          <w:tcPr>
            <w:tcW w:w="440" w:type="dxa"/>
            <w:tcBorders/>
            <w:vAlign w:val="center"/>
          </w:tcPr>
          <w:p>
            <w:pPr>
              <w:pStyle w:val="TableContents"/>
              <w:bidi w:val="0"/>
              <w:spacing w:before="0" w:after="283"/>
              <w:ind w:left="0" w:right="0" w:hanging="0"/>
              <w:jc w:val="left"/>
              <w:rPr/>
            </w:pPr>
            <w:hyperlink w:anchor="ny20042022x3_ex31-1.htm">
              <w:r>
                <w:rPr>
                  <w:rStyle w:val="InternetLink"/>
                  <w:rFonts w:ascii="Arial;Helvetica;sans-serif" w:hAnsi="Arial;Helvetica;sans-serif"/>
                  <w:color w:val="404040"/>
                  <w:sz w:val="20"/>
                </w:rPr>
                <w:t>31.1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5" w:type="dxa"/>
            <w:tcBorders/>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Certification of Principal Executive Officer pursuant to Section 302 of the Sarbanes-Oxley Act of 2002. </w:t>
            </w:r>
          </w:p>
        </w:tc>
      </w:tr>
      <w:tr>
        <w:trPr/>
        <w:tc>
          <w:tcPr>
            <w:tcW w:w="440" w:type="dxa"/>
            <w:tcBorders/>
            <w:vAlign w:val="center"/>
          </w:tcPr>
          <w:p>
            <w:pPr>
              <w:pStyle w:val="TableContents"/>
              <w:bidi w:val="0"/>
              <w:spacing w:before="0" w:after="283"/>
              <w:ind w:left="0" w:right="0" w:hanging="0"/>
              <w:jc w:val="left"/>
              <w:rPr/>
            </w:pPr>
            <w:hyperlink w:anchor="ny20042022x3_ex31-2.htm">
              <w:r>
                <w:rPr>
                  <w:rStyle w:val="InternetLink"/>
                  <w:rFonts w:ascii="Arial;Helvetica;sans-serif" w:hAnsi="Arial;Helvetica;sans-serif"/>
                  <w:color w:val="404040"/>
                  <w:sz w:val="20"/>
                </w:rPr>
                <w:t>31.2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5" w:type="dxa"/>
            <w:tcBorders/>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Certification of Principal Financial Officer pursuant to Section 302 of the Sarbanes-Oxley Act of 2002. </w:t>
            </w:r>
          </w:p>
        </w:tc>
      </w:tr>
      <w:tr>
        <w:trPr/>
        <w:tc>
          <w:tcPr>
            <w:tcW w:w="440" w:type="dxa"/>
            <w:tcBorders/>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5" w:type="dxa"/>
            <w:tcBorders/>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Cover Page Interactive Data File—the cover page interactive data file does not appear in the Interactive Data File because its XBRL tags are embedded within the Inline XBRL document (included in Exhibit 101).</w:t>
            </w:r>
          </w:p>
        </w:tc>
      </w:tr>
      <w:tr>
        <w:trPr/>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56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7" w:name="ny20042022x3_10ka_200-sig_pg1"/>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404040"/>
          <w:sz w:val="20"/>
        </w:rPr>
      </w:pPr>
      <w:bookmarkStart w:id="128" w:name="tSIG"/>
      <w:bookmarkEnd w:id="128"/>
      <w:r>
        <w:rPr>
          <w:rFonts w:ascii="Arial;Helvetica;sans-serif" w:hAnsi="Arial;Helvetica;sans-serif"/>
          <w:b/>
          <w:color w:val="404040"/>
          <w:sz w:val="20"/>
        </w:rPr>
        <w:t xml:space="preserve">SIGNATURE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Pursuant to the requirements of Section 13 or 15(d) of the Securities Exchange Act of 1934, the Registrant has duly caused this report to be signed on its behalf by the undersigned, thereunto duly authorized. </w:t>
      </w:r>
    </w:p>
    <w:tbl>
      <w:tblPr>
        <w:tblW w:w="5270" w:type="dxa"/>
        <w:jc w:val="left"/>
        <w:tblInd w:w="0" w:type="dxa"/>
        <w:tblLayout w:type="fixed"/>
        <w:tblCellMar>
          <w:top w:w="0" w:type="dxa"/>
          <w:left w:w="0" w:type="dxa"/>
          <w:bottom w:w="0" w:type="dxa"/>
          <w:right w:w="0" w:type="dxa"/>
        </w:tblCellMar>
      </w:tblPr>
      <w:tblGrid>
        <w:gridCol w:w="1790"/>
        <w:gridCol w:w="170"/>
        <w:gridCol w:w="170"/>
        <w:gridCol w:w="350"/>
        <w:gridCol w:w="170"/>
        <w:gridCol w:w="170"/>
        <w:gridCol w:w="2450"/>
      </w:tblGrid>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gridSpan w:val="4"/>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Date: April 30,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gridSpan w:val="4"/>
            <w:tcBorders/>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VIATRIS INC.</w:t>
            </w:r>
          </w:p>
        </w:tc>
      </w:tr>
      <w:tr>
        <w:trPr/>
        <w:tc>
          <w:tcPr>
            <w:tcW w:w="1790" w:type="dxa"/>
            <w:tcBorders/>
            <w:vAlign w:val="center"/>
          </w:tcPr>
          <w:p>
            <w:pPr>
              <w:pStyle w:val="TableContents"/>
              <w:bidi w:val="0"/>
              <w:spacing w:before="0" w:after="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404040"/>
              </w:rPr>
            </w:pPr>
            <w:r>
              <w:rPr>
                <w:color w:val="404040"/>
              </w:rPr>
              <w:t> </w:t>
            </w:r>
          </w:p>
        </w:tc>
      </w:tr>
      <w:tr>
        <w:trPr/>
        <w:tc>
          <w:tcPr>
            <w:tcW w:w="1790" w:type="dxa"/>
            <w:tcBorders/>
            <w:vAlign w:val="center"/>
          </w:tcPr>
          <w:p>
            <w:pPr>
              <w:pStyle w:val="TableContents"/>
              <w:bidi w:val="0"/>
              <w:spacing w:before="0" w:after="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/s/ Theodora Mistras </w:t>
            </w:r>
          </w:p>
        </w:tc>
      </w:tr>
      <w:tr>
        <w:trPr/>
        <w:tc>
          <w:tcPr>
            <w:tcW w:w="1790" w:type="dxa"/>
            <w:tcBorders/>
            <w:vAlign w:val="center"/>
          </w:tcPr>
          <w:p>
            <w:pPr>
              <w:pStyle w:val="TableContents"/>
              <w:bidi w:val="0"/>
              <w:spacing w:before="0" w:after="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Theodora Mistras </w:t>
            </w:r>
          </w:p>
          <w:p>
            <w:pPr>
              <w:pStyle w:val="TableContents"/>
              <w:bidi w:val="0"/>
              <w:spacing w:before="0" w:after="283"/>
              <w:ind w:left="0" w:right="0" w:hanging="0"/>
              <w:jc w:val="left"/>
              <w:rPr>
                <w:rFonts w:ascii="Arial;Helvetica;sans-serif" w:hAnsi="Arial;Helvetica;sans-serif"/>
                <w:color w:val="404040"/>
                <w:sz w:val="20"/>
              </w:rPr>
            </w:pPr>
            <w:r>
              <w:rPr>
                <w:rFonts w:ascii="Arial;Helvetica;sans-serif" w:hAnsi="Arial;Helvetica;sans-serif"/>
                <w:color w:val="404040"/>
                <w:sz w:val="20"/>
              </w:rPr>
              <w:t>Chief Financial Officer</w:t>
            </w:r>
          </w:p>
          <w:p>
            <w:pPr>
              <w:pStyle w:val="TableContents"/>
              <w:bidi w:val="0"/>
              <w:spacing w:before="0" w:after="283"/>
              <w:ind w:left="0" w:right="0" w:hanging="0"/>
              <w:jc w:val="left"/>
              <w:rPr>
                <w:rFonts w:ascii="Arial;Helvetica;sans-serif" w:hAnsi="Arial;Helvetica;sans-serif"/>
                <w:i/>
                <w:color w:val="404040"/>
                <w:sz w:val="20"/>
              </w:rPr>
            </w:pPr>
            <w:r>
              <w:rPr>
                <w:rFonts w:ascii="Arial;Helvetica;sans-serif" w:hAnsi="Arial;Helvetica;sans-serif"/>
                <w:i/>
                <w:color w:val="404040"/>
                <w:sz w:val="20"/>
              </w:rPr>
              <w:t>(Principal Financial Officer)</w:t>
            </w:r>
          </w:p>
        </w:tc>
      </w:tr>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57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9" w:name="ny20042022x3_10ka_300-appa_pg1"/>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404040"/>
          <w:sz w:val="20"/>
        </w:rPr>
      </w:pPr>
      <w:bookmarkStart w:id="130" w:name="tAPPA"/>
      <w:bookmarkEnd w:id="130"/>
      <w:r>
        <w:rPr>
          <w:rFonts w:ascii="Arial;Helvetica;sans-serif" w:hAnsi="Arial;Helvetica;sans-serif"/>
          <w:b/>
          <w:color w:val="404040"/>
          <w:sz w:val="20"/>
        </w:rPr>
        <w:t xml:space="preserve">Appendix A </w:t>
      </w:r>
    </w:p>
    <w:p>
      <w:pPr>
        <w:pStyle w:val="TextBody"/>
        <w:bidi w:val="0"/>
        <w:spacing w:before="0" w:after="283"/>
        <w:jc w:val="center"/>
        <w:rPr>
          <w:rFonts w:ascii="Arial;Helvetica;sans-serif" w:hAnsi="Arial;Helvetica;sans-serif"/>
          <w:b/>
          <w:color w:val="404040"/>
          <w:sz w:val="20"/>
        </w:rPr>
      </w:pPr>
      <w:r>
        <w:rPr>
          <w:rFonts w:ascii="Arial;Helvetica;sans-serif" w:hAnsi="Arial;Helvetica;sans-serif"/>
          <w:b/>
          <w:color w:val="404040"/>
          <w:sz w:val="20"/>
        </w:rPr>
        <w:t xml:space="preserve">Reconciliations of Non-GAAP Financial Measures (Unaudited) </w:t>
      </w:r>
    </w:p>
    <w:p>
      <w:pPr>
        <w:pStyle w:val="TextBody"/>
        <w:bidi w:val="0"/>
        <w:spacing w:before="270" w:after="283"/>
        <w:ind w:left="0" w:right="0" w:hanging="0"/>
        <w:jc w:val="left"/>
        <w:rPr>
          <w:rFonts w:ascii="Arial;Helvetica;sans-serif" w:hAnsi="Arial;Helvetica;sans-serif"/>
          <w:b/>
          <w:i/>
          <w:color w:val="404040"/>
          <w:sz w:val="22"/>
        </w:rPr>
      </w:pPr>
      <w:r>
        <w:rPr>
          <w:rFonts w:ascii="Arial;Helvetica;sans-serif" w:hAnsi="Arial;Helvetica;sans-serif"/>
          <w:b/>
          <w:i/>
          <w:color w:val="404040"/>
          <w:sz w:val="22"/>
        </w:rPr>
        <w:t xml:space="preserve">Adjusted Net Earnings and Adjusted EPS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Below is a reconciliation of U.S. GAAP net loss and diluted loss per share to adjusted net earnings and adjusted EPS for the year ended December 31, 2024: </w:t>
      </w:r>
    </w:p>
    <w:tbl>
      <w:tblPr>
        <w:tblW w:w="10063" w:type="dxa"/>
        <w:jc w:val="left"/>
        <w:tblInd w:w="0" w:type="dxa"/>
        <w:tblLayout w:type="fixed"/>
        <w:tblCellMar>
          <w:top w:w="0" w:type="dxa"/>
          <w:left w:w="0" w:type="dxa"/>
          <w:bottom w:w="0" w:type="dxa"/>
          <w:right w:w="0" w:type="dxa"/>
        </w:tblCellMar>
      </w:tblPr>
      <w:tblGrid>
        <w:gridCol w:w="185"/>
        <w:gridCol w:w="7475"/>
        <w:gridCol w:w="170"/>
        <w:gridCol w:w="170"/>
        <w:gridCol w:w="736"/>
        <w:gridCol w:w="180"/>
        <w:gridCol w:w="180"/>
        <w:gridCol w:w="752"/>
        <w:gridCol w:w="215"/>
      </w:tblGrid>
      <w:tr>
        <w:trPr/>
        <w:tc>
          <w:tcPr>
            <w:tcW w:w="185" w:type="dxa"/>
            <w:tcBorders/>
            <w:shd w:fill="722981" w:val="clear"/>
            <w:vAlign w:val="center"/>
          </w:tcPr>
          <w:p>
            <w:pPr>
              <w:pStyle w:val="TableContents"/>
              <w:bidi w:val="0"/>
              <w:spacing w:before="0" w:after="0"/>
              <w:jc w:val="left"/>
              <w:rPr/>
            </w:pPr>
            <w:r>
              <w:rPr/>
              <w:t> </w:t>
            </w:r>
          </w:p>
        </w:tc>
        <w:tc>
          <w:tcPr>
            <w:tcW w:w="747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848" w:type="dxa"/>
            <w:gridSpan w:val="4"/>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7475" w:type="dxa"/>
            <w:tcBorders/>
            <w:shd w:fill="722981" w:val="clear"/>
            <w:vAlign w:val="center"/>
          </w:tcPr>
          <w:p>
            <w:pPr>
              <w:pStyle w:val="TableContents"/>
              <w:bidi w:val="0"/>
              <w:spacing w:before="0" w:after="283"/>
              <w:ind w:left="30" w:right="0" w:hanging="0"/>
              <w:jc w:val="left"/>
              <w:rPr>
                <w:rFonts w:ascii="Arial;Helvetica;sans-serif" w:hAnsi="Arial;Helvetica;sans-serif"/>
                <w:i/>
                <w:color w:val="FFFFFF"/>
                <w:sz w:val="20"/>
              </w:rPr>
            </w:pPr>
            <w:r>
              <w:rPr>
                <w:rFonts w:ascii="Arial;Helvetica;sans-serif" w:hAnsi="Arial;Helvetica;sans-serif"/>
                <w:i/>
                <w:color w:val="FFFFFF"/>
                <w:sz w:val="20"/>
              </w:rPr>
              <w:t>(in millions, except per share amounts)</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848" w:type="dxa"/>
            <w:gridSpan w:val="4"/>
            <w:tcBorders/>
            <w:shd w:fill="722981"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Year Ended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December 31, 2024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U.S. GAAP net loss and U.S. GAAP diluted loss per share</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$(634)</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 xml:space="preserve">$(0.53)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Purchase accounting amortization (primarily included in cost of sales)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6"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2,581</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12"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Impairment of goodwill (included in SG&amp;A)</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321</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283"/>
              <w:ind w:left="112"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Litigation settlements and other contingencies,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6"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351</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12"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Interest expense (primarily amortization of premiums and discounts on long term debt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(23)</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283"/>
              <w:ind w:left="112"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Acquisition and divestiture-related costs (primarily included in SG&amp;A)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6"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361</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12"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Loss (gain) on divestitures of businesses (included in other expense (income), net)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399</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283"/>
              <w:ind w:left="112"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Restructuring-related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6"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211</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12"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Share-based compensation expense</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146</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283"/>
              <w:ind w:left="112"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Other special items included 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6" w:type="dxa"/>
            <w:tcBorders/>
            <w:vAlign w:val="center"/>
          </w:tcPr>
          <w:p>
            <w:pPr>
              <w:pStyle w:val="TableContents"/>
              <w:bidi w:val="0"/>
              <w:spacing w:before="0" w:after="283"/>
              <w:ind w:left="112" w:right="0" w:hanging="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12"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Cost of sales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143</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283"/>
              <w:ind w:left="112"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Research and development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6"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3</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12"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Selling, general and administrative expense</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90</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283"/>
              <w:ind w:left="112"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Other expense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6"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(160)</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12"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Tax effect of the above items and other income tax related items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bdr w:val="single" w:sz="8" w:space="4" w:color="000000"/>
              </w:rPr>
              <w:t>(597</w:t>
            </w:r>
            <w:r>
              <w:rPr>
                <w:rFonts w:ascii="Arial;Helvetica;sans-serif" w:hAnsi="Arial;Helvetica;sans-serif"/>
                <w:color w:val="000000"/>
                <w:sz w:val="20"/>
              </w:rPr>
              <w:t>)</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283"/>
              <w:ind w:left="112"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Adjusted net earnings and adjusted EPS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6" w:type="dxa"/>
            <w:tcBorders/>
            <w:vAlign w:val="center"/>
          </w:tcPr>
          <w:p>
            <w:pPr>
              <w:pStyle w:val="TableContents"/>
              <w:bidi w:val="0"/>
              <w:spacing w:before="0" w:after="283"/>
              <w:ind w:left="112" w:right="0" w:hanging="0"/>
              <w:jc w:val="left"/>
              <w:rPr>
                <w:rFonts w:ascii="Arial;Helvetica;sans-serif" w:hAnsi="Arial;Helvetica;sans-serif"/>
                <w:color w:val="000000"/>
                <w:sz w:val="20"/>
                <w:bdr w:val="double" w:sz="8" w:space="3" w:color="000000"/>
              </w:rPr>
            </w:pPr>
            <w:r>
              <w:rPr>
                <w:rFonts w:ascii="Arial;Helvetica;sans-serif" w:hAnsi="Arial;Helvetica;sans-serif"/>
                <w:color w:val="000000"/>
                <w:sz w:val="20"/>
                <w:bdr w:val="double" w:sz="8" w:space="3" w:color="000000"/>
              </w:rPr>
              <w:t>$3,192</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 xml:space="preserve">$2.65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Weighted average diluted shares outstanding</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1,202.7</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283"/>
              <w:ind w:left="112"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747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36"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180" w:type="dxa"/>
            <w:tcBorders/>
            <w:shd w:fill="E6E6E6" w:val="clear"/>
            <w:vAlign w:val="center"/>
          </w:tcPr>
          <w:p>
            <w:pPr>
              <w:pStyle w:val="TableContents"/>
              <w:bidi w:val="0"/>
              <w:spacing w:before="0" w:after="0"/>
              <w:jc w:val="left"/>
              <w:rPr/>
            </w:pPr>
            <w:r>
              <w:rPr/>
              <w:t> </w:t>
            </w:r>
          </w:p>
        </w:tc>
        <w:tc>
          <w:tcPr>
            <w:tcW w:w="752"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A-1</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1" w:name="ny20042022x3_10ka_300-appa_pg2"/>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b/>
          <w:i/>
          <w:color w:val="404040"/>
          <w:sz w:val="22"/>
        </w:rPr>
      </w:pPr>
      <w:r>
        <w:rPr>
          <w:rFonts w:ascii="Arial;Helvetica;sans-serif" w:hAnsi="Arial;Helvetica;sans-serif"/>
          <w:b/>
          <w:i/>
          <w:color w:val="404040"/>
          <w:sz w:val="22"/>
        </w:rPr>
        <w:t xml:space="preserve">Adjusted EBITDA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Adjusted EBITDA for purposes of the 2024 annual compensation awards is derived from Viatris’ financial statements in the same manner as Viatris’ publicly reported adjusted EBITDA for 2024 (“as reported”), except that the calculation for the 2024 annual incentive program (“for 2024 annual incentive compensation”) utilized 2024 budgeted foreign exchange rates (“currency impact”) and further adjusts for all impacts of the Company’s divestitures following their consummation (“impact of divestitures”), acquired IPR&amp;D costs, and the impact of divestitures. </w:t>
      </w:r>
    </w:p>
    <w:tbl>
      <w:tblPr>
        <w:tblW w:w="9180" w:type="dxa"/>
        <w:jc w:val="left"/>
        <w:tblInd w:w="0" w:type="dxa"/>
        <w:tblLayout w:type="fixed"/>
        <w:tblCellMar>
          <w:top w:w="0" w:type="dxa"/>
          <w:left w:w="0" w:type="dxa"/>
          <w:bottom w:w="0" w:type="dxa"/>
          <w:right w:w="0" w:type="dxa"/>
        </w:tblCellMar>
      </w:tblPr>
      <w:tblGrid>
        <w:gridCol w:w="185"/>
        <w:gridCol w:w="6590"/>
        <w:gridCol w:w="170"/>
        <w:gridCol w:w="170"/>
        <w:gridCol w:w="1850"/>
        <w:gridCol w:w="215"/>
      </w:tblGrid>
      <w:tr>
        <w:trPr/>
        <w:tc>
          <w:tcPr>
            <w:tcW w:w="185" w:type="dxa"/>
            <w:tcBorders/>
            <w:shd w:fill="722981" w:val="clear"/>
            <w:vAlign w:val="center"/>
          </w:tcPr>
          <w:p>
            <w:pPr>
              <w:pStyle w:val="TableContents"/>
              <w:bidi w:val="0"/>
              <w:spacing w:before="0" w:after="0"/>
              <w:jc w:val="left"/>
              <w:rPr/>
            </w:pPr>
            <w:r>
              <w:rPr/>
              <w:t> </w:t>
            </w:r>
          </w:p>
        </w:tc>
        <w:tc>
          <w:tcPr>
            <w:tcW w:w="659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850"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6590" w:type="dxa"/>
            <w:tcBorders/>
            <w:shd w:fill="722981" w:val="clear"/>
            <w:vAlign w:val="center"/>
          </w:tcPr>
          <w:p>
            <w:pPr>
              <w:pStyle w:val="TableContents"/>
              <w:bidi w:val="0"/>
              <w:spacing w:before="0" w:after="283"/>
              <w:ind w:left="30" w:right="0" w:hanging="0"/>
              <w:jc w:val="left"/>
              <w:rPr>
                <w:rFonts w:ascii="Arial;Helvetica;sans-serif" w:hAnsi="Arial;Helvetica;sans-serif"/>
                <w:i/>
                <w:color w:val="FFFFFF"/>
                <w:sz w:val="20"/>
              </w:rPr>
            </w:pPr>
            <w:r>
              <w:rPr>
                <w:rFonts w:ascii="Arial;Helvetica;sans-serif" w:hAnsi="Arial;Helvetica;sans-serif"/>
                <w:i/>
                <w:color w:val="FFFFFF"/>
                <w:sz w:val="20"/>
              </w:rPr>
              <w:t>(in millions)</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850" w:type="dxa"/>
            <w:tcBorders/>
            <w:shd w:fill="722981"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Year ended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December 31, 2024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9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U.S. GAAP net loss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$(634)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Add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9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Income tax provision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11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Interest expense</w:t>
            </w:r>
            <w:r>
              <w:rPr>
                <w:rFonts w:ascii="Arial;Helvetica;sans-serif" w:hAnsi="Arial;Helvetica;sans-serif"/>
                <w:color w:val="000000"/>
                <w:position w:val="7"/>
                <w:sz w:val="16"/>
                <w:sz w:val="20"/>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550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9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Depreciation and amortization</w:t>
            </w:r>
            <w:r>
              <w:rPr>
                <w:rFonts w:ascii="Arial;Helvetica;sans-serif" w:hAnsi="Arial;Helvetica;sans-serif"/>
                <w:color w:val="000000"/>
                <w:position w:val="7"/>
                <w:sz w:val="16"/>
                <w:sz w:val="20"/>
              </w:rPr>
              <w:t>(b)</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bdr w:val="single" w:sz="8" w:space="4" w:color="000000"/>
              </w:rPr>
            </w:pPr>
            <w:r>
              <w:rPr>
                <w:rFonts w:ascii="Arial;Helvetica;sans-serif" w:hAnsi="Arial;Helvetica;sans-serif"/>
                <w:color w:val="000000"/>
                <w:sz w:val="20"/>
                <w:bdr w:val="single" w:sz="8" w:space="4" w:color="000000"/>
              </w:rPr>
              <w:t xml:space="preserve">2,893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EBITDA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color w:val="000000"/>
              </w:rPr>
            </w:pPr>
            <w:r>
              <w:rPr>
                <w:color w:val="000000"/>
              </w:rPr>
              <w:t>​</w:t>
            </w:r>
            <w:r>
              <w:rPr>
                <w:rFonts w:ascii="Arial;Helvetica;sans-serif" w:hAnsi="Arial;Helvetica;sans-serif"/>
                <w:color w:val="000000"/>
                <w:sz w:val="20"/>
              </w:rPr>
              <w:t xml:space="preserve">$2,820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9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Add adjustments: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Share-based compensation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146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9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Litigation settlements and other contingencies, net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351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Loss on divestitures of businesses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399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9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Impairment of goodwill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321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 xml:space="preserve">Restructuring, acquisition and divestiture-related and other special items </w:t>
            </w:r>
            <w:r>
              <w:rPr>
                <w:rFonts w:ascii="Arial;Helvetica;sans-serif" w:hAnsi="Arial;Helvetica;sans-serif"/>
                <w:color w:val="000000"/>
                <w:position w:val="7"/>
                <w:sz w:val="16"/>
                <w:sz w:val="20"/>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bdr w:val="single" w:sz="8" w:space="4" w:color="000000"/>
              </w:rPr>
            </w:pPr>
            <w:r>
              <w:rPr>
                <w:rFonts w:ascii="Arial;Helvetica;sans-serif" w:hAnsi="Arial;Helvetica;sans-serif"/>
                <w:color w:val="000000"/>
                <w:sz w:val="20"/>
                <w:bdr w:val="single" w:sz="8" w:space="4" w:color="000000"/>
              </w:rPr>
              <w:t xml:space="preserve">632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9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Adjusted EBITDA (as reported)</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bdr w:val="double" w:sz="8" w:space="3" w:color="000000"/>
              </w:rPr>
            </w:pPr>
            <w:r>
              <w:rPr>
                <w:rFonts w:ascii="Arial;Helvetica;sans-serif" w:hAnsi="Arial;Helvetica;sans-serif"/>
                <w:color w:val="000000"/>
                <w:sz w:val="20"/>
                <w:bdr w:val="double" w:sz="8" w:space="3" w:color="000000"/>
              </w:rPr>
              <w:t xml:space="preserve">$4,669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Currency impact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61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9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Impact of divestitures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205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Acquired IPR&amp;D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28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659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Other</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bdr w:val="single" w:sz="8" w:space="4" w:color="000000"/>
              </w:rPr>
            </w:pPr>
            <w:r>
              <w:rPr>
                <w:rFonts w:ascii="Arial;Helvetica;sans-serif" w:hAnsi="Arial;Helvetica;sans-serif"/>
                <w:color w:val="000000"/>
                <w:sz w:val="20"/>
                <w:bdr w:val="single" w:sz="8" w:space="4" w:color="000000"/>
              </w:rPr>
              <w:t xml:space="preserve">12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Adjusted EBITDA (for 2024 annual incentive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$4,975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5260" w:type="dxa"/>
        <w:jc w:val="left"/>
        <w:tblInd w:w="0" w:type="dxa"/>
        <w:tblLayout w:type="fixed"/>
        <w:tblCellMar>
          <w:top w:w="0" w:type="dxa"/>
          <w:left w:w="0" w:type="dxa"/>
          <w:bottom w:w="0" w:type="dxa"/>
          <w:right w:w="0" w:type="dxa"/>
        </w:tblCellMar>
      </w:tblPr>
      <w:tblGrid>
        <w:gridCol w:w="260"/>
        <w:gridCol w:w="5000"/>
      </w:tblGrid>
      <w:tr>
        <w:trPr/>
        <w:tc>
          <w:tcPr>
            <w:tcW w:w="260" w:type="dxa"/>
            <w:tcBorders/>
            <w:vAlign w:val="center"/>
          </w:tcPr>
          <w:p>
            <w:pPr>
              <w:pStyle w:val="TableContents"/>
              <w:bidi w:val="0"/>
              <w:spacing w:before="0" w:after="0"/>
              <w:jc w:val="left"/>
              <w:rPr>
                <w:rFonts w:ascii="Arial;Helvetica;sans-serif" w:hAnsi="Arial;Helvetica;sans-serif"/>
                <w:color w:val="404040"/>
                <w:sz w:val="16"/>
              </w:rPr>
            </w:pPr>
            <w:r>
              <w:rPr>
                <w:rFonts w:ascii="Arial;Helvetica;sans-serif" w:hAnsi="Arial;Helvetica;sans-serif"/>
                <w:color w:val="404040"/>
                <w:sz w:val="16"/>
              </w:rPr>
              <w:t>(a)</w:t>
            </w:r>
          </w:p>
        </w:tc>
        <w:tc>
          <w:tcPr>
            <w:tcW w:w="5000" w:type="dxa"/>
            <w:tcBorders/>
            <w:vAlign w:val="center"/>
          </w:tcPr>
          <w:p>
            <w:pPr>
              <w:pStyle w:val="TableContents"/>
              <w:bidi w:val="0"/>
              <w:spacing w:before="0" w:after="0"/>
              <w:jc w:val="left"/>
              <w:rPr>
                <w:rFonts w:ascii="Arial;Helvetica;sans-serif" w:hAnsi="Arial;Helvetica;sans-serif"/>
                <w:color w:val="404040"/>
                <w:sz w:val="16"/>
              </w:rPr>
            </w:pPr>
            <w:r>
              <w:rPr>
                <w:rFonts w:ascii="Arial;Helvetica;sans-serif" w:hAnsi="Arial;Helvetica;sans-serif"/>
                <w:color w:val="404040"/>
                <w:sz w:val="16"/>
              </w:rPr>
              <w:t>Includes amortization of premiums and discounts on long-term debt.</w:t>
            </w:r>
          </w:p>
        </w:tc>
      </w:tr>
    </w:tbl>
    <w:tbl>
      <w:tblPr>
        <w:tblW w:w="4045" w:type="dxa"/>
        <w:jc w:val="left"/>
        <w:tblInd w:w="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0"/>
              <w:jc w:val="left"/>
              <w:rPr>
                <w:rFonts w:ascii="Arial;Helvetica;sans-serif" w:hAnsi="Arial;Helvetica;sans-serif"/>
                <w:color w:val="404040"/>
                <w:sz w:val="16"/>
              </w:rPr>
            </w:pPr>
            <w:r>
              <w:rPr>
                <w:rFonts w:ascii="Arial;Helvetica;sans-serif" w:hAnsi="Arial;Helvetica;sans-serif"/>
                <w:color w:val="404040"/>
                <w:sz w:val="16"/>
              </w:rPr>
              <w:t>(b)</w:t>
            </w:r>
          </w:p>
        </w:tc>
        <w:tc>
          <w:tcPr>
            <w:tcW w:w="3785" w:type="dxa"/>
            <w:tcBorders/>
            <w:vAlign w:val="center"/>
          </w:tcPr>
          <w:p>
            <w:pPr>
              <w:pStyle w:val="TableContents"/>
              <w:bidi w:val="0"/>
              <w:spacing w:before="0" w:after="0"/>
              <w:jc w:val="left"/>
              <w:rPr>
                <w:rFonts w:ascii="Arial;Helvetica;sans-serif" w:hAnsi="Arial;Helvetica;sans-serif"/>
                <w:color w:val="404040"/>
                <w:sz w:val="16"/>
              </w:rPr>
            </w:pPr>
            <w:r>
              <w:rPr>
                <w:rFonts w:ascii="Arial;Helvetica;sans-serif" w:hAnsi="Arial;Helvetica;sans-serif"/>
                <w:color w:val="404040"/>
                <w:sz w:val="16"/>
              </w:rPr>
              <w:t>Includes purchase accounting related amortization.</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404040"/>
                <w:sz w:val="16"/>
              </w:rPr>
            </w:pPr>
            <w:r>
              <w:rPr>
                <w:rFonts w:ascii="Arial;Helvetica;sans-serif" w:hAnsi="Arial;Helvetica;sans-serif"/>
                <w:color w:val="404040"/>
                <w:sz w:val="16"/>
              </w:rPr>
              <w:t>(c)</w:t>
            </w:r>
          </w:p>
        </w:tc>
        <w:tc>
          <w:tcPr>
            <w:tcW w:w="9976" w:type="dxa"/>
            <w:tcBorders/>
            <w:vAlign w:val="center"/>
          </w:tcPr>
          <w:p>
            <w:pPr>
              <w:pStyle w:val="TableContents"/>
              <w:bidi w:val="0"/>
              <w:spacing w:before="0" w:after="0"/>
              <w:jc w:val="both"/>
              <w:rPr>
                <w:rFonts w:ascii="Arial;Helvetica;sans-serif" w:hAnsi="Arial;Helvetica;sans-serif"/>
                <w:color w:val="404040"/>
                <w:sz w:val="16"/>
              </w:rPr>
            </w:pPr>
            <w:r>
              <w:rPr>
                <w:rFonts w:ascii="Arial;Helvetica;sans-serif" w:hAnsi="Arial;Helvetica;sans-serif"/>
                <w:color w:val="404040"/>
                <w:sz w:val="16"/>
              </w:rPr>
              <w:t xml:space="preserve">Includes restructuring-related costs, acquisition and divestiture-related costs (primarily included in selling, general and administrative expense (“SG&amp;A”)), and other special items included in cost of sales, R&amp;D expense, SG&amp;A, and other expense (income), net.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A-2</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2" w:name="ny20042022x3_10ka_300-appa_pg3"/>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b/>
          <w:i/>
          <w:color w:val="404040"/>
          <w:sz w:val="22"/>
        </w:rPr>
      </w:pPr>
      <w:r>
        <w:rPr>
          <w:rFonts w:ascii="Arial;Helvetica;sans-serif" w:hAnsi="Arial;Helvetica;sans-serif"/>
          <w:b/>
          <w:i/>
          <w:color w:val="404040"/>
          <w:sz w:val="22"/>
        </w:rPr>
        <w:t xml:space="preserve">Free Cash Flow </w:t>
      </w:r>
    </w:p>
    <w:p>
      <w:pPr>
        <w:pStyle w:val="TextBody"/>
        <w:bidi w:val="0"/>
        <w:spacing w:before="250" w:after="283"/>
        <w:ind w:left="0" w:right="0" w:hanging="0"/>
        <w:jc w:val="left"/>
        <w:rPr>
          <w:rFonts w:ascii="Arial;Helvetica;sans-serif" w:hAnsi="Arial;Helvetica;sans-serif"/>
          <w:i/>
          <w:color w:val="404040"/>
          <w:sz w:val="22"/>
        </w:rPr>
      </w:pPr>
      <w:r>
        <w:rPr>
          <w:rFonts w:ascii="Arial;Helvetica;sans-serif" w:hAnsi="Arial;Helvetica;sans-serif"/>
          <w:i/>
          <w:color w:val="404040"/>
          <w:sz w:val="22"/>
          <w:u w:val="single"/>
        </w:rPr>
        <w:t>2024 Annual Incentive Program</w:t>
      </w:r>
      <w:r>
        <w:rPr>
          <w:rFonts w:ascii="Arial;Helvetica;sans-serif" w:hAnsi="Arial;Helvetica;sans-serif"/>
          <w:i/>
          <w:color w:val="404040"/>
          <w:sz w:val="22"/>
        </w:rPr>
        <w:t xml:space="preserve">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Free cash flow is derived from Viatris’ audited financial statements in the same manner as Viatris’ publicly reported free cash flow for 2024 (U.S. GAAP net cash provided by operating activities less capital expenditures) (“as reported”), except that the calculation for the 2024 annual incentive program (“for 2024 annual incentive compensation”) utilized 2024 budgeted foreign exchange rates (“currency impact”) and further adjusts for transaction costs and taxes primarily related to the Company’s divestitures (“transaction costs”), all impacts of the Company’s divestitures following their consummation (“impact of divestitures”), proceeds from the sale of property, plant and equipment, and material unplanned litigation gains and losses equal or greater than $25 million in the aggregate (“unplanned litigation”). </w:t>
      </w:r>
    </w:p>
    <w:tbl>
      <w:tblPr>
        <w:tblW w:w="8175" w:type="dxa"/>
        <w:jc w:val="left"/>
        <w:tblInd w:w="0" w:type="dxa"/>
        <w:tblLayout w:type="fixed"/>
        <w:tblCellMar>
          <w:top w:w="0" w:type="dxa"/>
          <w:left w:w="0" w:type="dxa"/>
          <w:bottom w:w="0" w:type="dxa"/>
          <w:right w:w="0" w:type="dxa"/>
        </w:tblCellMar>
      </w:tblPr>
      <w:tblGrid>
        <w:gridCol w:w="185"/>
        <w:gridCol w:w="5585"/>
        <w:gridCol w:w="170"/>
        <w:gridCol w:w="170"/>
        <w:gridCol w:w="1850"/>
        <w:gridCol w:w="215"/>
      </w:tblGrid>
      <w:tr>
        <w:trPr/>
        <w:tc>
          <w:tcPr>
            <w:tcW w:w="185" w:type="dxa"/>
            <w:tcBorders/>
            <w:shd w:fill="722981" w:val="clear"/>
            <w:vAlign w:val="center"/>
          </w:tcPr>
          <w:p>
            <w:pPr>
              <w:pStyle w:val="TableContents"/>
              <w:bidi w:val="0"/>
              <w:spacing w:before="0" w:after="0"/>
              <w:jc w:val="left"/>
              <w:rPr/>
            </w:pPr>
            <w:r>
              <w:rPr/>
              <w:t> </w:t>
            </w:r>
          </w:p>
        </w:tc>
        <w:tc>
          <w:tcPr>
            <w:tcW w:w="558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850"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5585" w:type="dxa"/>
            <w:tcBorders/>
            <w:shd w:fill="722981" w:val="clear"/>
            <w:vAlign w:val="center"/>
          </w:tcPr>
          <w:p>
            <w:pPr>
              <w:pStyle w:val="TableContents"/>
              <w:bidi w:val="0"/>
              <w:spacing w:before="0" w:after="283"/>
              <w:ind w:left="30" w:right="0" w:hanging="0"/>
              <w:jc w:val="left"/>
              <w:rPr>
                <w:rFonts w:ascii="Arial;Helvetica;sans-serif" w:hAnsi="Arial;Helvetica;sans-serif"/>
                <w:i/>
                <w:color w:val="FFFFFF"/>
                <w:sz w:val="20"/>
              </w:rPr>
            </w:pPr>
            <w:r>
              <w:rPr>
                <w:rFonts w:ascii="Arial;Helvetica;sans-serif" w:hAnsi="Arial;Helvetica;sans-serif"/>
                <w:i/>
                <w:color w:val="FFFFFF"/>
                <w:sz w:val="20"/>
              </w:rPr>
              <w:t>(in millions)</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850" w:type="dxa"/>
            <w:tcBorders/>
            <w:shd w:fill="722981"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Year Ended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December 31, 2024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58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U.S. GAAP net cash provided by operating activities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$2,303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Add / (deduct):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585"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Capital expenditures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bdr w:val="single" w:sz="8" w:space="4" w:color="000000"/>
              </w:rPr>
              <w:t>(326</w:t>
            </w:r>
            <w:r>
              <w:rPr>
                <w:rFonts w:ascii="Arial;Helvetica;sans-serif" w:hAnsi="Arial;Helvetica;sans-serif"/>
                <w:color w:val="000000"/>
                <w:sz w:val="20"/>
              </w:rPr>
              <w:t xml:space="preserve">)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Free cash flow (as reported)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bdr w:val="double" w:sz="8" w:space="3" w:color="000000"/>
              </w:rPr>
            </w:pPr>
            <w:r>
              <w:rPr>
                <w:rFonts w:ascii="Arial;Helvetica;sans-serif" w:hAnsi="Arial;Helvetica;sans-serif"/>
                <w:color w:val="000000"/>
                <w:sz w:val="20"/>
                <w:bdr w:val="double" w:sz="8" w:space="3" w:color="000000"/>
              </w:rPr>
              <w:t xml:space="preserve">$1,977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585"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Currency impact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91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Transaction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649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585"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Impact of divestitures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130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Proceeds from the sale of certain property, plant and equipment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 xml:space="preserve">3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585"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Unplanned litigation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850" w:type="dxa"/>
            <w:tcBorders/>
            <w:shd w:fill="E6E6E6" w:val="clear"/>
            <w:vAlign w:val="center"/>
          </w:tcPr>
          <w:p>
            <w:pPr>
              <w:pStyle w:val="TableContents"/>
              <w:bidi w:val="0"/>
              <w:spacing w:before="0" w:after="283"/>
              <w:ind w:left="595" w:right="0" w:hanging="0"/>
              <w:jc w:val="left"/>
              <w:rPr>
                <w:rFonts w:ascii="Arial;Helvetica;sans-serif" w:hAnsi="Arial;Helvetica;sans-serif"/>
                <w:color w:val="000000"/>
                <w:sz w:val="20"/>
                <w:bdr w:val="single" w:sz="8" w:space="4" w:color="000000"/>
              </w:rPr>
            </w:pPr>
            <w:r>
              <w:rPr>
                <w:rFonts w:ascii="Arial;Helvetica;sans-serif" w:hAnsi="Arial;Helvetica;sans-serif"/>
                <w:color w:val="000000"/>
                <w:sz w:val="20"/>
                <w:bdr w:val="single" w:sz="8" w:space="4" w:color="000000"/>
              </w:rPr>
              <w:t xml:space="preserve">74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Free cash flow (for 2024 annual incentive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95" w:right="0" w:hanging="0"/>
              <w:jc w:val="left"/>
              <w:rPr>
                <w:rFonts w:ascii="Arial;Helvetica;sans-serif" w:hAnsi="Arial;Helvetica;sans-serif"/>
                <w:color w:val="000000"/>
                <w:sz w:val="20"/>
              </w:rPr>
            </w:pPr>
            <w:r>
              <w:rPr>
                <w:rFonts w:ascii="Arial;Helvetica;sans-serif" w:hAnsi="Arial;Helvetica;sans-serif"/>
                <w:color w:val="000000"/>
                <w:sz w:val="20"/>
              </w:rPr>
              <w:t>$2,924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10" w:after="283"/>
        <w:ind w:left="0" w:right="0" w:hanging="0"/>
        <w:jc w:val="left"/>
        <w:rPr>
          <w:rFonts w:ascii="Arial;Helvetica;sans-serif" w:hAnsi="Arial;Helvetica;sans-serif"/>
          <w:i/>
          <w:color w:val="404040"/>
          <w:sz w:val="22"/>
        </w:rPr>
      </w:pPr>
      <w:r>
        <w:rPr>
          <w:rFonts w:ascii="Arial;Helvetica;sans-serif" w:hAnsi="Arial;Helvetica;sans-serif"/>
          <w:i/>
          <w:color w:val="404040"/>
          <w:sz w:val="22"/>
        </w:rPr>
        <w:t xml:space="preserve">2024 PRSUs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Free cash flow is derived from Viatris’ audited financial statements in the same manner as the calculation for Viatris’ 2024 annual incentive program, except that the calculation for the 2024 PRSUs further adjusts for any of the following, as applicable: material changes in tax laws, unbudgeted restructuring costs and unbudgeted R&amp;D expense. Free cash flow for the 2024 PRSUs will be the sum of such free cash flow measure for each of the years ended December 31, 2024, 2025 and 2026 and will utilize budgeted foreign exchange rates for the relevant year. </w:t>
      </w:r>
    </w:p>
    <w:p>
      <w:pPr>
        <w:pStyle w:val="TextBody"/>
        <w:bidi w:val="0"/>
        <w:spacing w:before="320" w:after="283"/>
        <w:ind w:left="0" w:right="0" w:hanging="0"/>
        <w:jc w:val="left"/>
        <w:rPr>
          <w:rFonts w:ascii="Arial;Helvetica;sans-serif" w:hAnsi="Arial;Helvetica;sans-serif"/>
          <w:i/>
          <w:color w:val="404040"/>
          <w:sz w:val="22"/>
        </w:rPr>
      </w:pPr>
      <w:r>
        <w:rPr>
          <w:rFonts w:ascii="Arial;Helvetica;sans-serif" w:hAnsi="Arial;Helvetica;sans-serif"/>
          <w:i/>
          <w:color w:val="404040"/>
          <w:sz w:val="22"/>
        </w:rPr>
        <w:t xml:space="preserve">2022-2024 Three-Year PRSUs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Free cash flow is derived from Viatris’ audited financial statements in the same manner as Viatris’ publicly reported free cash flow (“as reported”), except that the calculation for the 2022-2024 three-year PRSUs (“for 2022-2024 three-year PRSUs”) utilized budgeted foreign exchange rates for the relevant year (“currency impact”) and further adjusts for the following, as applicable: transaction costs and taxes related to the acquisitions of Oyster Point and Famy Life Sciences as well as any incremental transaction costs and taxes related to other select assets sales or reshaping initiatives and other impacts of divestitures (“transaction costs”), Biocon Biologics Transaction-related taxes and transaction costs and results of the divested biosimilars business from the closing of the transaction on November 29, 2022 through December 31, 2022 (“Biocon Biologics Transaction-related taxes, costs and results”), material unplanned litigation gains or losses equal to or greater than $25 million in the aggregate (“unplanned litigation”), proceeds from the sale of property, plant and equipment, unbudgeted R&amp;D costs, unbudgeted restructuring costs, and the impact of free cash flow from divestitures that closed in 2022 to 2024 (“free cash flow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A-3</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3" w:name="ny20042022x3_10ka_300-appa_pg4"/>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impact of divestitures”). Free cash flow for the 2022-2024 three-year PRSUs is the sum of such free cash flow measure for each of the years ended December 31, 2022, 2023, and 2024. </w:t>
      </w:r>
    </w:p>
    <w:tbl>
      <w:tblPr>
        <w:tblW w:w="9450" w:type="dxa"/>
        <w:jc w:val="left"/>
        <w:tblInd w:w="0" w:type="dxa"/>
        <w:tblLayout w:type="fixed"/>
        <w:tblCellMar>
          <w:top w:w="0" w:type="dxa"/>
          <w:left w:w="0" w:type="dxa"/>
          <w:bottom w:w="0" w:type="dxa"/>
          <w:right w:w="0" w:type="dxa"/>
        </w:tblCellMar>
      </w:tblPr>
      <w:tblGrid>
        <w:gridCol w:w="185"/>
        <w:gridCol w:w="5210"/>
        <w:gridCol w:w="170"/>
        <w:gridCol w:w="170"/>
        <w:gridCol w:w="620"/>
        <w:gridCol w:w="170"/>
        <w:gridCol w:w="170"/>
        <w:gridCol w:w="620"/>
        <w:gridCol w:w="170"/>
        <w:gridCol w:w="170"/>
        <w:gridCol w:w="620"/>
        <w:gridCol w:w="170"/>
        <w:gridCol w:w="170"/>
        <w:gridCol w:w="620"/>
        <w:gridCol w:w="215"/>
      </w:tblGrid>
      <w:tr>
        <w:trPr/>
        <w:tc>
          <w:tcPr>
            <w:tcW w:w="185" w:type="dxa"/>
            <w:tcBorders/>
            <w:shd w:fill="722981" w:val="clear"/>
            <w:vAlign w:val="center"/>
          </w:tcPr>
          <w:p>
            <w:pPr>
              <w:pStyle w:val="TableContents"/>
              <w:bidi w:val="0"/>
              <w:spacing w:before="0" w:after="0"/>
              <w:jc w:val="left"/>
              <w:rPr/>
            </w:pPr>
            <w:r>
              <w:rPr/>
              <w:t> </w:t>
            </w:r>
          </w:p>
        </w:tc>
        <w:tc>
          <w:tcPr>
            <w:tcW w:w="521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3500" w:type="dxa"/>
            <w:gridSpan w:val="10"/>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5210" w:type="dxa"/>
            <w:tcBorders/>
            <w:shd w:fill="722981"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3500" w:type="dxa"/>
            <w:gridSpan w:val="10"/>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Year Ended December 31</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5210" w:type="dxa"/>
            <w:tcBorders/>
            <w:shd w:fill="722981" w:val="clear"/>
            <w:vAlign w:val="center"/>
          </w:tcPr>
          <w:p>
            <w:pPr>
              <w:pStyle w:val="TableContents"/>
              <w:bidi w:val="0"/>
              <w:spacing w:before="0" w:after="283"/>
              <w:ind w:left="30" w:right="0" w:hanging="0"/>
              <w:jc w:val="left"/>
              <w:rPr>
                <w:rFonts w:ascii="Arial;Helvetica;sans-serif" w:hAnsi="Arial;Helvetica;sans-serif"/>
                <w:i/>
                <w:color w:val="FFFFFF"/>
                <w:sz w:val="18"/>
              </w:rPr>
            </w:pPr>
            <w:r>
              <w:rPr>
                <w:rFonts w:ascii="Arial;Helvetica;sans-serif" w:hAnsi="Arial;Helvetica;sans-serif"/>
                <w:i/>
                <w:color w:val="FFFFFF"/>
                <w:sz w:val="18"/>
              </w:rPr>
              <w:t>(in millions)</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2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2022</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2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2023</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2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2024</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62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Total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21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U.S. GAAP net cash provided by operating activities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$2,999</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$2,900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$2,303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Add / (deduct):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21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Capital expenditures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bdr w:val="single" w:sz="8" w:space="4" w:color="000000"/>
              </w:rPr>
              <w:t>(406</w:t>
            </w:r>
            <w:r>
              <w:rPr>
                <w:rFonts w:ascii="Arial;Helvetica;sans-serif" w:hAnsi="Arial;Helvetica;sans-serif"/>
                <w:color w:val="000000"/>
                <w:sz w:val="18"/>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bdr w:val="single" w:sz="8" w:space="4" w:color="000000"/>
              </w:rPr>
              <w:t>(377</w:t>
            </w:r>
            <w:r>
              <w:rPr>
                <w:rFonts w:ascii="Arial;Helvetica;sans-serif" w:hAnsi="Arial;Helvetica;sans-serif"/>
                <w:color w:val="000000"/>
                <w:sz w:val="18"/>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bdr w:val="single" w:sz="8" w:space="4" w:color="000000"/>
              </w:rPr>
              <w:t>(326</w:t>
            </w:r>
            <w:r>
              <w:rPr>
                <w:rFonts w:ascii="Arial;Helvetica;sans-serif" w:hAnsi="Arial;Helvetica;sans-serif"/>
                <w:color w:val="000000"/>
                <w:sz w:val="18"/>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Free cash flow (as reported)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bdr w:val="double" w:sz="8" w:space="3" w:color="000000"/>
              </w:rPr>
            </w:pPr>
            <w:r>
              <w:rPr>
                <w:rFonts w:ascii="Arial;Helvetica;sans-serif" w:hAnsi="Arial;Helvetica;sans-serif"/>
                <w:color w:val="000000"/>
                <w:sz w:val="18"/>
                <w:bdr w:val="double" w:sz="8" w:space="3" w:color="000000"/>
              </w:rPr>
              <w:t>$2,593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bdr w:val="double" w:sz="8" w:space="3" w:color="000000"/>
              </w:rPr>
            </w:pPr>
            <w:r>
              <w:rPr>
                <w:rFonts w:ascii="Arial;Helvetica;sans-serif" w:hAnsi="Arial;Helvetica;sans-serif"/>
                <w:color w:val="000000"/>
                <w:sz w:val="18"/>
                <w:bdr w:val="double" w:sz="8" w:space="3" w:color="000000"/>
              </w:rPr>
              <w:t>$2,523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bdr w:val="double" w:sz="8" w:space="3" w:color="000000"/>
              </w:rPr>
            </w:pPr>
            <w:r>
              <w:rPr>
                <w:rFonts w:ascii="Arial;Helvetica;sans-serif" w:hAnsi="Arial;Helvetica;sans-serif"/>
                <w:color w:val="000000"/>
                <w:sz w:val="18"/>
                <w:bdr w:val="double" w:sz="8" w:space="3" w:color="000000"/>
              </w:rPr>
              <w:t>$1,977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21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Currency impact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145</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Transaction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21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Biocon Biologics Transaction-related taxes, costs and results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272</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Unplanned litigation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21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Proceeds from the sale of certain property, plant and equipment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Unbudgeted R&amp;D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210"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Unbudgeted restructuring costs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26</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Free cash flow impact of divestitures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141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404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210"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Free cash flow for 2022-2024 three-year PRSUs</w:t>
            </w:r>
            <w:r>
              <w:rPr>
                <w:rFonts w:ascii="Arial;Helvetica;sans-serif" w:hAnsi="Arial;Helvetica;sans-serif"/>
                <w:color w:val="000000"/>
                <w:position w:val="6"/>
                <w:sz w:val="14"/>
                <w:sz w:val="18"/>
              </w:rPr>
              <w:t>(a)</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$3,168</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$3,057</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$3,270</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$9,495</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521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620"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404040"/>
                <w:sz w:val="16"/>
              </w:rPr>
            </w:pPr>
            <w:r>
              <w:rPr>
                <w:rFonts w:ascii="Arial;Helvetica;sans-serif" w:hAnsi="Arial;Helvetica;sans-serif"/>
                <w:color w:val="404040"/>
                <w:sz w:val="16"/>
              </w:rPr>
              <w:t>(a)</w:t>
            </w:r>
          </w:p>
        </w:tc>
        <w:tc>
          <w:tcPr>
            <w:tcW w:w="9998" w:type="dxa"/>
            <w:tcBorders/>
            <w:vAlign w:val="center"/>
          </w:tcPr>
          <w:p>
            <w:pPr>
              <w:pStyle w:val="TableContents"/>
              <w:bidi w:val="0"/>
              <w:spacing w:before="0" w:after="0"/>
              <w:jc w:val="both"/>
              <w:rPr>
                <w:rFonts w:ascii="Arial;Helvetica;sans-serif" w:hAnsi="Arial;Helvetica;sans-serif"/>
                <w:color w:val="404040"/>
                <w:sz w:val="16"/>
              </w:rPr>
            </w:pPr>
            <w:r>
              <w:rPr>
                <w:rFonts w:ascii="Arial;Helvetica;sans-serif" w:hAnsi="Arial;Helvetica;sans-serif"/>
                <w:color w:val="404040"/>
                <w:sz w:val="16"/>
              </w:rPr>
              <w:t xml:space="preserve">Beginning in 2024, upfront and milestone payments related to externally developed IPR&amp;D projects acquired directly in a transaction other than a business combination, which were previously included in cash flows from operating activities in the consolidated statements of cash flows, are now classified as cash flows from investing activities. Certain reclassifications were made to conform the prior period consolidated financial statements to the current period presentation. The adjustments resulted in an increase to net cash provided by operating activities of $100 million for the year ended December 31, 2023, and in an increase to net cash provided by operating activities of $46 million for the year ended December 31, 2022. This reclassification has no impact on the three-year free cash flow calculation for incentive compensation purposes as these amounts were previously excluded from the calculation of free cash flow. </w:t>
            </w:r>
          </w:p>
        </w:tc>
      </w:tr>
    </w:tbl>
    <w:p>
      <w:pPr>
        <w:pStyle w:val="TextBody"/>
        <w:bidi w:val="0"/>
        <w:spacing w:before="280" w:after="283"/>
        <w:ind w:left="0" w:right="0" w:hanging="0"/>
        <w:jc w:val="left"/>
        <w:rPr>
          <w:rFonts w:ascii="Arial;Helvetica;sans-serif" w:hAnsi="Arial;Helvetica;sans-serif"/>
          <w:i/>
          <w:color w:val="404040"/>
          <w:sz w:val="22"/>
        </w:rPr>
      </w:pPr>
      <w:r>
        <w:rPr>
          <w:rFonts w:ascii="Arial;Helvetica;sans-serif" w:hAnsi="Arial;Helvetica;sans-serif"/>
          <w:i/>
          <w:color w:val="404040"/>
          <w:sz w:val="22"/>
        </w:rPr>
        <w:t xml:space="preserve">Long-term Gross Leverage Target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The stated forward-looking non-GAAP financial measure of long-term gross leverage target of ~3.0x, with a range of 2.8x – 3.2x, is based on the ratio of (i) targeted notional gross debt and (ii) targeted adjusted EBITDA. However, the Company has not quantified future amounts to develop this target but has stated its goal to manage notional gross debt and adjusted EBITDA over time in order to generally maintain or reach the target. This target does not reflect Company guidance. </w:t>
      </w:r>
    </w:p>
    <w:p>
      <w:pPr>
        <w:pStyle w:val="TextBody"/>
        <w:bidi w:val="0"/>
        <w:spacing w:before="310" w:after="283"/>
        <w:ind w:left="0" w:right="0" w:hanging="0"/>
        <w:jc w:val="left"/>
        <w:rPr>
          <w:rFonts w:ascii="Arial;Helvetica;sans-serif" w:hAnsi="Arial;Helvetica;sans-serif"/>
          <w:i/>
          <w:color w:val="404040"/>
          <w:sz w:val="22"/>
        </w:rPr>
      </w:pPr>
      <w:r>
        <w:rPr>
          <w:rFonts w:ascii="Arial;Helvetica;sans-serif" w:hAnsi="Arial;Helvetica;sans-serif"/>
          <w:i/>
          <w:color w:val="404040"/>
          <w:sz w:val="22"/>
        </w:rPr>
        <w:t xml:space="preserve">Gross Leverage Ratio </w:t>
      </w:r>
    </w:p>
    <w:p>
      <w:pPr>
        <w:pStyle w:val="TextBody"/>
        <w:bidi w:val="0"/>
        <w:spacing w:before="180" w:after="283"/>
        <w:ind w:left="0" w:right="0" w:hanging="0"/>
        <w:jc w:val="both"/>
        <w:rPr>
          <w:rFonts w:ascii="Arial;Helvetica;sans-serif" w:hAnsi="Arial;Helvetica;sans-serif"/>
          <w:color w:val="404040"/>
          <w:sz w:val="20"/>
        </w:rPr>
      </w:pPr>
      <w:r>
        <w:rPr>
          <w:rFonts w:ascii="Arial;Helvetica;sans-serif" w:hAnsi="Arial;Helvetica;sans-serif"/>
          <w:color w:val="404040"/>
          <w:sz w:val="20"/>
        </w:rPr>
        <w:t xml:space="preserve">Viatris’ publicly reported gross leverage ratio (“as reported”) compares adjusted EBITDA (as reported), a reconciliation of which is set forth above, to total debt at notional amounts (as reported), a reconciliation of which is set forth below: </w:t>
      </w:r>
    </w:p>
    <w:tbl>
      <w:tblPr>
        <w:tblW w:w="7815" w:type="dxa"/>
        <w:jc w:val="left"/>
        <w:tblInd w:w="0" w:type="dxa"/>
        <w:tblLayout w:type="fixed"/>
        <w:tblCellMar>
          <w:top w:w="0" w:type="dxa"/>
          <w:left w:w="0" w:type="dxa"/>
          <w:bottom w:w="0" w:type="dxa"/>
          <w:right w:w="0" w:type="dxa"/>
        </w:tblCellMar>
      </w:tblPr>
      <w:tblGrid>
        <w:gridCol w:w="185"/>
        <w:gridCol w:w="4775"/>
        <w:gridCol w:w="170"/>
        <w:gridCol w:w="170"/>
        <w:gridCol w:w="2300"/>
        <w:gridCol w:w="215"/>
      </w:tblGrid>
      <w:tr>
        <w:trPr/>
        <w:tc>
          <w:tcPr>
            <w:tcW w:w="185" w:type="dxa"/>
            <w:tcBorders/>
            <w:shd w:fill="722981" w:val="clear"/>
            <w:vAlign w:val="center"/>
          </w:tcPr>
          <w:p>
            <w:pPr>
              <w:pStyle w:val="TableContents"/>
              <w:bidi w:val="0"/>
              <w:spacing w:before="0" w:after="0"/>
              <w:jc w:val="left"/>
              <w:rPr/>
            </w:pPr>
            <w:r>
              <w:rPr/>
              <w:t> </w:t>
            </w:r>
          </w:p>
        </w:tc>
        <w:tc>
          <w:tcPr>
            <w:tcW w:w="4775"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2300" w:type="dxa"/>
            <w:tcBorders/>
            <w:shd w:fill="722981" w:val="clear"/>
            <w:vAlign w:val="center"/>
          </w:tcPr>
          <w:p>
            <w:pPr>
              <w:pStyle w:val="TableContents"/>
              <w:bidi w:val="0"/>
              <w:spacing w:before="0" w:after="0"/>
              <w:jc w:val="left"/>
              <w:rPr/>
            </w:pPr>
            <w:r>
              <w:rPr/>
              <w:t> </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722981" w:val="clear"/>
            <w:vAlign w:val="center"/>
          </w:tcPr>
          <w:p>
            <w:pPr>
              <w:pStyle w:val="TableContents"/>
              <w:bidi w:val="0"/>
              <w:spacing w:before="0" w:after="0"/>
              <w:jc w:val="left"/>
              <w:rPr/>
            </w:pPr>
            <w:r>
              <w:rPr/>
              <w:t> </w:t>
            </w:r>
          </w:p>
        </w:tc>
        <w:tc>
          <w:tcPr>
            <w:tcW w:w="4775" w:type="dxa"/>
            <w:tcBorders/>
            <w:shd w:fill="722981" w:val="clear"/>
            <w:vAlign w:val="center"/>
          </w:tcPr>
          <w:p>
            <w:pPr>
              <w:pStyle w:val="TableContents"/>
              <w:bidi w:val="0"/>
              <w:spacing w:before="0" w:after="283"/>
              <w:ind w:left="30" w:right="0" w:hanging="0"/>
              <w:jc w:val="left"/>
              <w:rPr>
                <w:rFonts w:ascii="Arial;Helvetica;sans-serif" w:hAnsi="Arial;Helvetica;sans-serif"/>
                <w:i/>
                <w:color w:val="FFFFFF"/>
                <w:sz w:val="18"/>
              </w:rPr>
            </w:pPr>
            <w:r>
              <w:rPr>
                <w:rFonts w:ascii="Arial;Helvetica;sans-serif" w:hAnsi="Arial;Helvetica;sans-serif"/>
                <w:i/>
                <w:color w:val="FFFFFF"/>
                <w:sz w:val="18"/>
              </w:rPr>
              <w:t>(in millions except for gross debt to adjusted EBITDA ratio)</w:t>
            </w:r>
          </w:p>
        </w:tc>
        <w:tc>
          <w:tcPr>
            <w:tcW w:w="170" w:type="dxa"/>
            <w:tcBorders/>
            <w:shd w:fill="722981" w:val="clear"/>
            <w:vAlign w:val="center"/>
          </w:tcPr>
          <w:p>
            <w:pPr>
              <w:pStyle w:val="TableContents"/>
              <w:bidi w:val="0"/>
              <w:spacing w:before="0" w:after="0"/>
              <w:jc w:val="left"/>
              <w:rPr/>
            </w:pPr>
            <w:r>
              <w:rPr/>
              <w:t> </w:t>
            </w:r>
          </w:p>
        </w:tc>
        <w:tc>
          <w:tcPr>
            <w:tcW w:w="170" w:type="dxa"/>
            <w:tcBorders/>
            <w:shd w:fill="722981" w:val="clear"/>
            <w:vAlign w:val="center"/>
          </w:tcPr>
          <w:p>
            <w:pPr>
              <w:pStyle w:val="TableContents"/>
              <w:bidi w:val="0"/>
              <w:spacing w:before="0" w:after="0"/>
              <w:jc w:val="left"/>
              <w:rPr/>
            </w:pPr>
            <w:r>
              <w:rPr/>
              <w:t> </w:t>
            </w:r>
          </w:p>
        </w:tc>
        <w:tc>
          <w:tcPr>
            <w:tcW w:w="2300" w:type="dxa"/>
            <w:tcBorders/>
            <w:shd w:fill="72298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Twelve Months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Ended December 31, 2024</w:t>
            </w:r>
          </w:p>
        </w:tc>
        <w:tc>
          <w:tcPr>
            <w:tcW w:w="215" w:type="dxa"/>
            <w:tcBorders/>
            <w:shd w:fill="722981"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47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Viatris adjusted EBITDA</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300" w:type="dxa"/>
            <w:tcBorders/>
            <w:shd w:fill="E6E6E6" w:val="clear"/>
            <w:vAlign w:val="center"/>
          </w:tcPr>
          <w:p>
            <w:pPr>
              <w:pStyle w:val="TableContents"/>
              <w:bidi w:val="0"/>
              <w:spacing w:before="0" w:after="283"/>
              <w:ind w:left="710" w:right="0" w:hanging="0"/>
              <w:jc w:val="left"/>
              <w:rPr>
                <w:rFonts w:ascii="Arial;Helvetica;sans-serif" w:hAnsi="Arial;Helvetica;sans-serif"/>
                <w:color w:val="000000"/>
                <w:sz w:val="18"/>
              </w:rPr>
            </w:pPr>
            <w:r>
              <w:rPr>
                <w:rFonts w:ascii="Arial;Helvetica;sans-serif" w:hAnsi="Arial;Helvetica;sans-serif"/>
                <w:color w:val="000000"/>
                <w:sz w:val="18"/>
              </w:rPr>
              <w:t xml:space="preserve">$4,669.4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Reported debt balances: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71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4775"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Long-term debt, including current portion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300" w:type="dxa"/>
            <w:tcBorders/>
            <w:shd w:fill="E6E6E6" w:val="clear"/>
            <w:vAlign w:val="center"/>
          </w:tcPr>
          <w:p>
            <w:pPr>
              <w:pStyle w:val="TableContents"/>
              <w:bidi w:val="0"/>
              <w:spacing w:before="0" w:after="283"/>
              <w:ind w:left="710" w:right="0" w:hanging="0"/>
              <w:jc w:val="left"/>
              <w:rPr>
                <w:rFonts w:ascii="Arial;Helvetica;sans-serif" w:hAnsi="Arial;Helvetica;sans-serif"/>
                <w:color w:val="000000"/>
                <w:sz w:val="18"/>
              </w:rPr>
            </w:pPr>
            <w:r>
              <w:rPr>
                <w:rFonts w:ascii="Arial;Helvetica;sans-serif" w:hAnsi="Arial;Helvetica;sans-serif"/>
                <w:color w:val="000000"/>
                <w:sz w:val="18"/>
              </w:rPr>
              <w:t xml:space="preserve">14,039.5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Short-term borrowings and other current obligations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710" w:right="0" w:hanging="0"/>
              <w:jc w:val="left"/>
              <w:rPr>
                <w:color w:val="000000"/>
                <w:bdr w:val="single" w:sz="8" w:space="4" w:color="000000"/>
              </w:rPr>
            </w:pPr>
            <w:r>
              <w:rPr>
                <w:color w:val="000000"/>
                <w:bdr w:val="single" w:sz="8" w:space="4" w:color="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47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Total</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300" w:type="dxa"/>
            <w:tcBorders/>
            <w:shd w:fill="E6E6E6" w:val="clear"/>
            <w:vAlign w:val="center"/>
          </w:tcPr>
          <w:p>
            <w:pPr>
              <w:pStyle w:val="TableContents"/>
              <w:bidi w:val="0"/>
              <w:spacing w:before="0" w:after="283"/>
              <w:ind w:left="710" w:right="0" w:hanging="0"/>
              <w:jc w:val="left"/>
              <w:rPr>
                <w:color w:val="000000"/>
              </w:rPr>
            </w:pPr>
            <w:r>
              <w:rPr>
                <w:color w:val="000000"/>
              </w:rPr>
              <w:t>​</w:t>
            </w:r>
            <w:r>
              <w:rPr>
                <w:rFonts w:ascii="Arial;Helvetica;sans-serif" w:hAnsi="Arial;Helvetica;sans-serif"/>
                <w:color w:val="000000"/>
                <w:sz w:val="18"/>
              </w:rPr>
              <w:t xml:space="preserve">14,039.5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Add / (deduct):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71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4775" w:type="dxa"/>
            <w:tcBorders/>
            <w:shd w:fill="E6E6E6" w:val="clear"/>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Net premiums on various debt issuances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300" w:type="dxa"/>
            <w:tcBorders/>
            <w:shd w:fill="E6E6E6" w:val="clear"/>
            <w:vAlign w:val="center"/>
          </w:tcPr>
          <w:p>
            <w:pPr>
              <w:pStyle w:val="TableContents"/>
              <w:bidi w:val="0"/>
              <w:spacing w:before="0" w:after="283"/>
              <w:ind w:left="710" w:right="0" w:hanging="0"/>
              <w:jc w:val="left"/>
              <w:rPr>
                <w:rFonts w:ascii="Arial;Helvetica;sans-serif" w:hAnsi="Arial;Helvetica;sans-serif"/>
                <w:color w:val="000000"/>
                <w:sz w:val="18"/>
              </w:rPr>
            </w:pPr>
            <w:r>
              <w:rPr>
                <w:rFonts w:ascii="Arial;Helvetica;sans-serif" w:hAnsi="Arial;Helvetica;sans-serif"/>
                <w:color w:val="000000"/>
                <w:sz w:val="18"/>
              </w:rPr>
              <w:t xml:space="preserve">(480.9)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283"/>
              <w:ind w:left="230" w:right="0" w:hanging="0"/>
              <w:jc w:val="left"/>
              <w:rPr>
                <w:rFonts w:ascii="Arial;Helvetica;sans-serif" w:hAnsi="Arial;Helvetica;sans-serif"/>
                <w:color w:val="000000"/>
                <w:sz w:val="18"/>
              </w:rPr>
            </w:pPr>
            <w:r>
              <w:rPr>
                <w:rFonts w:ascii="Arial;Helvetica;sans-serif" w:hAnsi="Arial;Helvetica;sans-serif"/>
                <w:color w:val="000000"/>
                <w:sz w:val="18"/>
              </w:rPr>
              <w:t>Deferred financing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71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 xml:space="preserve">24.3 </w:t>
            </w:r>
          </w:p>
        </w:tc>
        <w:tc>
          <w:tcPr>
            <w:tcW w:w="215" w:type="dxa"/>
            <w:tcBorders/>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4775" w:type="dxa"/>
            <w:tcBorders/>
            <w:shd w:fill="E6E6E6"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Total debt at notional amounts</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300" w:type="dxa"/>
            <w:tcBorders/>
            <w:shd w:fill="E6E6E6" w:val="clear"/>
            <w:vAlign w:val="center"/>
          </w:tcPr>
          <w:p>
            <w:pPr>
              <w:pStyle w:val="TableContents"/>
              <w:bidi w:val="0"/>
              <w:spacing w:before="0" w:after="283"/>
              <w:ind w:left="710" w:right="0" w:hanging="0"/>
              <w:jc w:val="left"/>
              <w:rPr>
                <w:rFonts w:ascii="Arial;Helvetica;sans-serif" w:hAnsi="Arial;Helvetica;sans-serif"/>
                <w:color w:val="000000"/>
                <w:sz w:val="18"/>
                <w:bdr w:val="double" w:sz="8" w:space="3" w:color="000000"/>
              </w:rPr>
            </w:pPr>
            <w:r>
              <w:rPr>
                <w:rFonts w:ascii="Arial;Helvetica;sans-serif" w:hAnsi="Arial;Helvetica;sans-serif"/>
                <w:color w:val="000000"/>
                <w:sz w:val="18"/>
                <w:bdr w:val="double" w:sz="8" w:space="3" w:color="000000"/>
              </w:rPr>
              <w:t xml:space="preserve">$13,582.9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Gross debt to adjusted EBITDA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710" w:right="0" w:hanging="0"/>
              <w:jc w:val="left"/>
              <w:rPr>
                <w:rFonts w:ascii="Arial;Helvetica;sans-serif" w:hAnsi="Arial;Helvetica;sans-serif"/>
                <w:color w:val="000000"/>
                <w:sz w:val="18"/>
              </w:rPr>
            </w:pPr>
            <w:r>
              <w:rPr>
                <w:rFonts w:ascii="Arial;Helvetica;sans-serif" w:hAnsi="Arial;Helvetica;sans-serif"/>
                <w:color w:val="000000"/>
                <w:sz w:val="18"/>
              </w:rPr>
              <w:t>2.9x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404040"/>
                <w:sz w:val="20"/>
              </w:rPr>
            </w:pPr>
            <w:r>
              <w:rPr>
                <w:rFonts w:ascii="Arial;Helvetica;sans-serif" w:hAnsi="Arial;Helvetica;sans-serif"/>
                <w:color w:val="404040"/>
                <w:sz w:val="20"/>
              </w:rPr>
              <w:t>A-4</w:t>
            </w:r>
          </w:p>
        </w:tc>
      </w:tr>
      <w:tr>
        <w:trPr/>
        <w:tc>
          <w:tcPr>
            <w:tcW w:w="410"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right"/>
        <w:rPr>
          <w:rFonts w:ascii="Arial;Helvetica;sans-serif" w:hAnsi="Arial;Helvetica;sans-serif"/>
          <w:b/>
          <w:color w:val="404040"/>
          <w:sz w:val="20"/>
        </w:rPr>
      </w:pPr>
      <w:bookmarkStart w:id="134" w:name="ny20042022x3_10ka_400-ex31-1_pg1"/>
      <w:bookmarkStart w:id="135" w:name="ny20042022x3_ex31-1.htm"/>
      <w:bookmarkStart w:id="136" w:name="ksny20042022x3_ex311"/>
      <w:bookmarkEnd w:id="134"/>
      <w:bookmarkEnd w:id="135"/>
      <w:bookmarkEnd w:id="136"/>
      <w:r>
        <w:rPr>
          <w:rFonts w:ascii="Arial;Helvetica;sans-serif" w:hAnsi="Arial;Helvetica;sans-serif"/>
          <w:b/>
          <w:color w:val="404040"/>
          <w:sz w:val="20"/>
        </w:rPr>
        <w:t xml:space="preserve">Exhibit 31.1 </w:t>
      </w:r>
      <w:r>
        <w:br w:type="page"/>
      </w:r>
    </w:p>
    <w:p>
      <w:pPr>
        <w:pStyle w:val="TextBody"/>
        <w:bidi w:val="0"/>
        <w:spacing w:before="250" w:after="283"/>
        <w:jc w:val="center"/>
        <w:rPr>
          <w:rFonts w:ascii="Arial;Helvetica;sans-serif" w:hAnsi="Arial;Helvetica;sans-serif"/>
          <w:b/>
          <w:color w:val="404040"/>
          <w:sz w:val="20"/>
        </w:rPr>
      </w:pPr>
      <w:r>
        <w:rPr>
          <w:rFonts w:ascii="Arial;Helvetica;sans-serif" w:hAnsi="Arial;Helvetica;sans-serif"/>
          <w:b/>
          <w:color w:val="404040"/>
          <w:sz w:val="20"/>
        </w:rPr>
        <w:t xml:space="preserve">Certification of Principal Executive Officer Pursuant to </w:t>
      </w:r>
    </w:p>
    <w:p>
      <w:pPr>
        <w:pStyle w:val="TextBody"/>
        <w:bidi w:val="0"/>
        <w:spacing w:before="0" w:after="283"/>
        <w:jc w:val="center"/>
        <w:rPr>
          <w:rFonts w:ascii="Arial;Helvetica;sans-serif" w:hAnsi="Arial;Helvetica;sans-serif"/>
          <w:b/>
          <w:color w:val="404040"/>
          <w:sz w:val="20"/>
        </w:rPr>
      </w:pPr>
      <w:r>
        <w:rPr>
          <w:rFonts w:ascii="Arial;Helvetica;sans-serif" w:hAnsi="Arial;Helvetica;sans-serif"/>
          <w:b/>
          <w:color w:val="404040"/>
          <w:sz w:val="20"/>
        </w:rPr>
        <w:t xml:space="preserve">Section 302 of the Sarbanes-Oxley Act of 2002 </w:t>
      </w:r>
    </w:p>
    <w:p>
      <w:pPr>
        <w:pStyle w:val="TextBody"/>
        <w:bidi w:val="0"/>
        <w:spacing w:before="25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I, Scott A. Smith, certify that: </w:t>
      </w:r>
    </w:p>
    <w:p>
      <w:pPr>
        <w:pStyle w:val="TextBody"/>
        <w:bidi w:val="0"/>
        <w:spacing w:before="250" w:after="283"/>
        <w:ind w:left="0" w:right="0" w:firstLine="400"/>
        <w:jc w:val="left"/>
        <w:rPr>
          <w:rFonts w:ascii="Arial;Helvetica;sans-serif" w:hAnsi="Arial;Helvetica;sans-serif"/>
          <w:color w:val="404040"/>
          <w:sz w:val="20"/>
        </w:rPr>
      </w:pPr>
      <w:r>
        <w:rPr>
          <w:rFonts w:ascii="Arial;Helvetica;sans-serif" w:hAnsi="Arial;Helvetica;sans-serif"/>
          <w:color w:val="404040"/>
          <w:sz w:val="20"/>
        </w:rPr>
        <w:t xml:space="preserve">1. I have reviewed this Form 10-K/A of Viatris Inc.; and </w:t>
      </w:r>
    </w:p>
    <w:p>
      <w:pPr>
        <w:pStyle w:val="TextBody"/>
        <w:bidi w:val="0"/>
        <w:spacing w:before="180" w:after="283"/>
        <w:ind w:left="0" w:right="0" w:firstLine="400"/>
        <w:jc w:val="both"/>
        <w:rPr>
          <w:rFonts w:ascii="Arial;Helvetica;sans-serif" w:hAnsi="Arial;Helvetica;sans-serif"/>
          <w:color w:val="404040"/>
          <w:sz w:val="20"/>
        </w:rPr>
      </w:pPr>
      <w:r>
        <w:rPr>
          <w:rFonts w:ascii="Arial;Helvetica;sans-serif" w:hAnsi="Arial;Helvetica;sans-serif"/>
          <w:color w:val="40404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50" w:after="283"/>
        <w:ind w:left="0" w:right="5760" w:hanging="0"/>
        <w:jc w:val="left"/>
        <w:rPr>
          <w:rFonts w:ascii="Arial;Helvetica;sans-serif" w:hAnsi="Arial;Helvetica;sans-serif"/>
          <w:color w:val="404040"/>
          <w:sz w:val="20"/>
        </w:rPr>
      </w:pPr>
      <w:r>
        <w:rPr>
          <w:rFonts w:ascii="Arial;Helvetica;sans-serif" w:hAnsi="Arial;Helvetica;sans-serif"/>
          <w:color w:val="404040"/>
          <w:sz w:val="20"/>
        </w:rPr>
        <w:t>/s/ Scott A. Smith</w:t>
      </w:r>
    </w:p>
    <w:p>
      <w:pPr>
        <w:pStyle w:val="TextBody"/>
        <w:bidi w:val="0"/>
        <w:spacing w:before="0" w:after="283"/>
        <w:ind w:left="0" w:right="5760" w:hanging="0"/>
        <w:jc w:val="left"/>
        <w:rPr>
          <w:rFonts w:ascii="Arial;Helvetica;sans-serif" w:hAnsi="Arial;Helvetica;sans-serif"/>
          <w:color w:val="404040"/>
          <w:sz w:val="20"/>
        </w:rPr>
      </w:pPr>
      <w:r>
        <w:rPr>
          <w:rFonts w:ascii="Arial;Helvetica;sans-serif" w:hAnsi="Arial;Helvetica;sans-serif"/>
          <w:color w:val="404040"/>
          <w:sz w:val="20"/>
        </w:rPr>
        <w:t>Scott A. Smith</w:t>
      </w:r>
    </w:p>
    <w:p>
      <w:pPr>
        <w:pStyle w:val="TextBody"/>
        <w:bidi w:val="0"/>
        <w:spacing w:before="0" w:after="283"/>
        <w:ind w:left="0" w:right="5760" w:hanging="0"/>
        <w:jc w:val="left"/>
        <w:rPr>
          <w:rFonts w:ascii="Arial;Helvetica;sans-serif" w:hAnsi="Arial;Helvetica;sans-serif"/>
          <w:color w:val="404040"/>
          <w:sz w:val="20"/>
        </w:rPr>
      </w:pPr>
      <w:r>
        <w:rPr>
          <w:rFonts w:ascii="Arial;Helvetica;sans-serif" w:hAnsi="Arial;Helvetica;sans-serif"/>
          <w:color w:val="404040"/>
          <w:sz w:val="20"/>
        </w:rPr>
        <w:t>Chief Executive Officer</w:t>
      </w:r>
    </w:p>
    <w:p>
      <w:pPr>
        <w:pStyle w:val="TextBody"/>
        <w:bidi w:val="0"/>
        <w:spacing w:before="0" w:after="283"/>
        <w:ind w:left="0" w:right="5760" w:hanging="0"/>
        <w:jc w:val="left"/>
        <w:rPr>
          <w:rFonts w:ascii="Arial;Helvetica;sans-serif" w:hAnsi="Arial;Helvetica;sans-serif"/>
          <w:i/>
          <w:color w:val="404040"/>
          <w:sz w:val="20"/>
        </w:rPr>
      </w:pPr>
      <w:r>
        <w:rPr>
          <w:rFonts w:ascii="Arial;Helvetica;sans-serif" w:hAnsi="Arial;Helvetica;sans-serif"/>
          <w:i/>
          <w:color w:val="404040"/>
          <w:sz w:val="20"/>
        </w:rPr>
        <w:t>(Principal Executive Officer)</w:t>
      </w:r>
    </w:p>
    <w:p>
      <w:pPr>
        <w:pStyle w:val="TextBody"/>
        <w:bidi w:val="0"/>
        <w:spacing w:before="0" w:after="283"/>
        <w:ind w:left="0" w:right="5760" w:hanging="0"/>
        <w:jc w:val="left"/>
        <w:rPr>
          <w:rFonts w:ascii="Arial;Helvetica;sans-serif" w:hAnsi="Arial;Helvetica;sans-serif"/>
          <w:color w:val="404040"/>
          <w:sz w:val="20"/>
        </w:rPr>
      </w:pPr>
      <w:r>
        <w:rPr>
          <w:rFonts w:ascii="Arial;Helvetica;sans-serif" w:hAnsi="Arial;Helvetica;sans-serif"/>
          <w:color w:val="404040"/>
          <w:sz w:val="20"/>
        </w:rPr>
        <w:t>Date: April 30, 2025</w:t>
      </w:r>
    </w:p>
    <w:p>
      <w:pPr>
        <w:pStyle w:val="TextBody"/>
        <w:bidi w:val="0"/>
        <w:spacing w:before="135" w:after="283"/>
        <w:ind w:left="0" w:right="0" w:hanging="0"/>
        <w:jc w:val="right"/>
        <w:rPr>
          <w:rFonts w:ascii="Arial;Helvetica;sans-serif" w:hAnsi="Arial;Helvetica;sans-serif"/>
          <w:b/>
          <w:color w:val="404040"/>
          <w:sz w:val="20"/>
        </w:rPr>
      </w:pPr>
      <w:bookmarkStart w:id="137" w:name="ny20042022x3_10ka_401-ex31-2_pg1"/>
      <w:bookmarkStart w:id="138" w:name="ny20042022x3_ex31-2.htm"/>
      <w:bookmarkStart w:id="139" w:name="ksny20042022x3_ex312"/>
      <w:bookmarkEnd w:id="137"/>
      <w:bookmarkEnd w:id="138"/>
      <w:bookmarkEnd w:id="139"/>
      <w:r>
        <w:rPr>
          <w:rFonts w:ascii="Arial;Helvetica;sans-serif" w:hAnsi="Arial;Helvetica;sans-serif"/>
          <w:b/>
          <w:color w:val="404040"/>
          <w:sz w:val="20"/>
        </w:rPr>
        <w:t xml:space="preserve">Exhibit 31.2 </w:t>
      </w:r>
      <w:r>
        <w:br w:type="page"/>
      </w:r>
    </w:p>
    <w:p>
      <w:pPr>
        <w:pStyle w:val="TextBody"/>
        <w:bidi w:val="0"/>
        <w:spacing w:before="250" w:after="283"/>
        <w:jc w:val="center"/>
        <w:rPr>
          <w:rFonts w:ascii="Arial;Helvetica;sans-serif" w:hAnsi="Arial;Helvetica;sans-serif"/>
          <w:b/>
          <w:color w:val="404040"/>
          <w:sz w:val="20"/>
        </w:rPr>
      </w:pPr>
      <w:r>
        <w:rPr>
          <w:rFonts w:ascii="Arial;Helvetica;sans-serif" w:hAnsi="Arial;Helvetica;sans-serif"/>
          <w:b/>
          <w:color w:val="404040"/>
          <w:sz w:val="20"/>
        </w:rPr>
        <w:t xml:space="preserve">Certification of Principal Financial Officer Pursuant to </w:t>
      </w:r>
    </w:p>
    <w:p>
      <w:pPr>
        <w:pStyle w:val="TextBody"/>
        <w:bidi w:val="0"/>
        <w:spacing w:before="0" w:after="283"/>
        <w:jc w:val="center"/>
        <w:rPr>
          <w:rFonts w:ascii="Arial;Helvetica;sans-serif" w:hAnsi="Arial;Helvetica;sans-serif"/>
          <w:b/>
          <w:color w:val="404040"/>
          <w:sz w:val="20"/>
        </w:rPr>
      </w:pPr>
      <w:r>
        <w:rPr>
          <w:rFonts w:ascii="Arial;Helvetica;sans-serif" w:hAnsi="Arial;Helvetica;sans-serif"/>
          <w:b/>
          <w:color w:val="404040"/>
          <w:sz w:val="20"/>
        </w:rPr>
        <w:t xml:space="preserve">Section 302 of the Sarbanes-Oxley Act of 2002 </w:t>
      </w:r>
    </w:p>
    <w:p>
      <w:pPr>
        <w:pStyle w:val="TextBody"/>
        <w:bidi w:val="0"/>
        <w:spacing w:before="250" w:after="283"/>
        <w:ind w:left="0" w:right="0" w:hanging="0"/>
        <w:jc w:val="left"/>
        <w:rPr>
          <w:rFonts w:ascii="Arial;Helvetica;sans-serif" w:hAnsi="Arial;Helvetica;sans-serif"/>
          <w:color w:val="404040"/>
          <w:sz w:val="20"/>
        </w:rPr>
      </w:pPr>
      <w:r>
        <w:rPr>
          <w:rFonts w:ascii="Arial;Helvetica;sans-serif" w:hAnsi="Arial;Helvetica;sans-serif"/>
          <w:color w:val="404040"/>
          <w:sz w:val="20"/>
        </w:rPr>
        <w:t xml:space="preserve">I, Theodora Mistras, certify that: </w:t>
      </w:r>
    </w:p>
    <w:p>
      <w:pPr>
        <w:pStyle w:val="TextBody"/>
        <w:bidi w:val="0"/>
        <w:spacing w:before="250" w:after="283"/>
        <w:ind w:left="0" w:right="0" w:firstLine="400"/>
        <w:jc w:val="left"/>
        <w:rPr>
          <w:rFonts w:ascii="Arial;Helvetica;sans-serif" w:hAnsi="Arial;Helvetica;sans-serif"/>
          <w:color w:val="404040"/>
          <w:sz w:val="20"/>
        </w:rPr>
      </w:pPr>
      <w:r>
        <w:rPr>
          <w:rFonts w:ascii="Arial;Helvetica;sans-serif" w:hAnsi="Arial;Helvetica;sans-serif"/>
          <w:color w:val="404040"/>
          <w:sz w:val="20"/>
        </w:rPr>
        <w:t xml:space="preserve">1. I have reviewed this Form 10-K/A of Viatris Inc.; and </w:t>
      </w:r>
    </w:p>
    <w:p>
      <w:pPr>
        <w:pStyle w:val="TextBody"/>
        <w:bidi w:val="0"/>
        <w:spacing w:before="180" w:after="283"/>
        <w:ind w:left="0" w:right="0" w:firstLine="400"/>
        <w:jc w:val="both"/>
        <w:rPr>
          <w:rFonts w:ascii="Arial;Helvetica;sans-serif" w:hAnsi="Arial;Helvetica;sans-serif"/>
          <w:color w:val="404040"/>
          <w:sz w:val="20"/>
        </w:rPr>
      </w:pPr>
      <w:r>
        <w:rPr>
          <w:rFonts w:ascii="Arial;Helvetica;sans-serif" w:hAnsi="Arial;Helvetica;sans-serif"/>
          <w:color w:val="40404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50" w:after="283"/>
        <w:ind w:left="0" w:right="5760" w:hanging="0"/>
        <w:jc w:val="left"/>
        <w:rPr>
          <w:rFonts w:ascii="Arial;Helvetica;sans-serif" w:hAnsi="Arial;Helvetica;sans-serif"/>
          <w:color w:val="404040"/>
          <w:sz w:val="20"/>
        </w:rPr>
      </w:pPr>
      <w:r>
        <w:rPr>
          <w:rFonts w:ascii="Arial;Helvetica;sans-serif" w:hAnsi="Arial;Helvetica;sans-serif"/>
          <w:color w:val="404040"/>
          <w:sz w:val="20"/>
        </w:rPr>
        <w:t>/s/ Theodora Mistras</w:t>
      </w:r>
    </w:p>
    <w:p>
      <w:pPr>
        <w:pStyle w:val="TextBody"/>
        <w:bidi w:val="0"/>
        <w:spacing w:before="0" w:after="283"/>
        <w:ind w:left="0" w:right="5760" w:hanging="0"/>
        <w:jc w:val="left"/>
        <w:rPr>
          <w:color w:val="404040"/>
        </w:rPr>
      </w:pPr>
      <w:r>
        <w:rPr>
          <w:color w:val="404040"/>
        </w:rPr>
        <w:t> </w:t>
      </w:r>
    </w:p>
    <w:p>
      <w:pPr>
        <w:pStyle w:val="TextBody"/>
        <w:bidi w:val="0"/>
        <w:spacing w:before="0" w:after="283"/>
        <w:ind w:left="0" w:right="5760" w:hanging="0"/>
        <w:jc w:val="left"/>
        <w:rPr>
          <w:rFonts w:ascii="Arial;Helvetica;sans-serif" w:hAnsi="Arial;Helvetica;sans-serif"/>
          <w:color w:val="404040"/>
          <w:sz w:val="20"/>
        </w:rPr>
      </w:pPr>
      <w:r>
        <w:rPr>
          <w:rFonts w:ascii="Arial;Helvetica;sans-serif" w:hAnsi="Arial;Helvetica;sans-serif"/>
          <w:color w:val="404040"/>
          <w:sz w:val="20"/>
        </w:rPr>
        <w:t>Theodora Mistras</w:t>
      </w:r>
    </w:p>
    <w:p>
      <w:pPr>
        <w:pStyle w:val="TextBody"/>
        <w:bidi w:val="0"/>
        <w:spacing w:before="0" w:after="283"/>
        <w:ind w:left="0" w:right="5760" w:hanging="0"/>
        <w:jc w:val="left"/>
        <w:rPr>
          <w:rFonts w:ascii="Arial;Helvetica;sans-serif" w:hAnsi="Arial;Helvetica;sans-serif"/>
          <w:color w:val="404040"/>
          <w:sz w:val="20"/>
        </w:rPr>
      </w:pPr>
      <w:r>
        <w:rPr>
          <w:rFonts w:ascii="Arial;Helvetica;sans-serif" w:hAnsi="Arial;Helvetica;sans-serif"/>
          <w:color w:val="404040"/>
          <w:sz w:val="20"/>
        </w:rPr>
        <w:t>Chief Financial Officer</w:t>
      </w:r>
    </w:p>
    <w:p>
      <w:pPr>
        <w:pStyle w:val="TextBody"/>
        <w:bidi w:val="0"/>
        <w:spacing w:before="0" w:after="283"/>
        <w:ind w:left="0" w:right="5760" w:hanging="0"/>
        <w:jc w:val="left"/>
        <w:rPr>
          <w:rFonts w:ascii="Arial;Helvetica;sans-serif" w:hAnsi="Arial;Helvetica;sans-serif"/>
          <w:i/>
          <w:color w:val="404040"/>
          <w:sz w:val="20"/>
        </w:rPr>
      </w:pPr>
      <w:r>
        <w:rPr>
          <w:rFonts w:ascii="Arial;Helvetica;sans-serif" w:hAnsi="Arial;Helvetica;sans-serif"/>
          <w:i/>
          <w:color w:val="404040"/>
          <w:sz w:val="20"/>
        </w:rPr>
        <w:t>(Principal Financial Officer)</w:t>
      </w:r>
    </w:p>
    <w:p>
      <w:pPr>
        <w:pStyle w:val="TextBody"/>
        <w:bidi w:val="0"/>
        <w:spacing w:before="0" w:after="283"/>
        <w:ind w:left="0" w:right="5760" w:hanging="0"/>
        <w:jc w:val="left"/>
        <w:rPr>
          <w:rFonts w:ascii="Arial;Helvetica;sans-serif" w:hAnsi="Arial;Helvetica;sans-serif"/>
          <w:color w:val="404040"/>
          <w:sz w:val="20"/>
        </w:rPr>
      </w:pPr>
      <w:r>
        <w:rPr>
          <w:rFonts w:ascii="Arial;Helvetica;sans-serif" w:hAnsi="Arial;Helvetica;sans-serif"/>
          <w:color w:val="404040"/>
          <w:sz w:val="20"/>
        </w:rPr>
        <w:t>Date: April 30, 2025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30718</Words>
  <Characters>176705</Characters>
  <CharactersWithSpaces>210428</CharactersWithSpaces>
  <Paragraphs>7710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