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Date of Report (Date of earliest event reported): November 7, 2024</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20"/>
          </w:cols>
          <w:pgMar w:left="320" w:top="983" w:right="359" w:bottom="1440" w:gutter="0" w:footer="0" w:header="0"/>
        </w:sectPr>
      </w:pPr>
    </w:p>
    <w:p>
      <w:pPr>
        <w:spacing w:after="0" w:line="228"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6"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21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6" w:lineRule="exact"/>
        <w:rPr>
          <w:sz w:val="24"/>
          <w:szCs w:val="24"/>
          <w:color w:val="auto"/>
        </w:rPr>
      </w:pPr>
    </w:p>
    <w:p>
      <w:pPr>
        <w:sectPr>
          <w:pgSz w:w="11900" w:h="16838" w:orient="portrait"/>
          <w:cols w:equalWidth="0" w:num="3">
            <w:col w:w="4380" w:space="720"/>
            <w:col w:w="1800" w:space="720"/>
            <w:col w:w="3600"/>
          </w:cols>
          <w:pgMar w:left="320" w:top="983" w:right="359" w:bottom="1440" w:gutter="0" w:footer="0" w:header="0"/>
          <w:type w:val="continuous"/>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27" w:lineRule="exact"/>
        <w:rPr>
          <w:sz w:val="24"/>
          <w:szCs w:val="24"/>
          <w:color w:val="auto"/>
        </w:rPr>
      </w:pPr>
    </w:p>
    <w:p>
      <w:pPr>
        <w:ind w:right="340" w:firstLine="324"/>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6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6"/>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91" w:lineRule="exact"/>
        <w:rPr>
          <w:sz w:val="24"/>
          <w:szCs w:val="24"/>
          <w:color w:val="auto"/>
        </w:rPr>
      </w:pPr>
    </w:p>
    <w:p>
      <w:pPr>
        <w:ind w:right="160" w:firstLine="324"/>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ind w:left="340"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November 7, 2024, Viatris Inc. (“Viatris” or the “Company”) issued a press release reporting the Company's financial results for the period ended September 30, 2024. A copy of the press release is attached hereto as Exhibit 99.1 and is incorporated herein by reference.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period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500" w:hanging="1474"/>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 w:type="dxa"/>
            <w:vAlign w:val="bottom"/>
          </w:tcPr>
          <w:p>
            <w:pPr>
              <w:spacing w:after="0"/>
              <w:rPr>
                <w:sz w:val="16"/>
                <w:szCs w:val="16"/>
                <w:color w:val="auto"/>
              </w:rPr>
            </w:pPr>
          </w:p>
        </w:tc>
        <w:tc>
          <w:tcPr>
            <w:tcW w:w="1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Press release announcing the Company's financial results for the third quarter of 2024, dated November 7, 2024.</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1"/>
                <w:szCs w:val="21"/>
                <w:color w:val="auto"/>
              </w:rPr>
            </w:pP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Times New Roman" w:cs="Times New Roman" w:eastAsia="Times New Roman" w:hAnsi="Times New Roman"/>
          <w:sz w:val="18"/>
          <w:szCs w:val="18"/>
          <w:color w:val="auto"/>
        </w:rPr>
        <w:t>Date:</w:t>
        <w:tab/>
        <w:t>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Theodora Mistras</w:t>
      </w: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3703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Viatris Reports Third Quarter Financial Results for 2024</w:t>
      </w:r>
    </w:p>
    <w:p>
      <w:pPr>
        <w:spacing w:after="0" w:line="272" w:lineRule="exact"/>
        <w:rPr>
          <w:sz w:val="20"/>
          <w:szCs w:val="20"/>
          <w:color w:val="auto"/>
        </w:rPr>
      </w:pPr>
    </w:p>
    <w:p>
      <w:pPr>
        <w:ind w:left="340" w:right="600" w:hanging="332"/>
        <w:spacing w:after="0" w:line="262" w:lineRule="auto"/>
        <w:tabs>
          <w:tab w:leader="none" w:pos="335" w:val="left"/>
        </w:tabs>
        <w:numPr>
          <w:ilvl w:val="0"/>
          <w:numId w:val="3"/>
        </w:numPr>
        <w:rPr>
          <w:rFonts w:ascii="Arial" w:cs="Arial" w:eastAsia="Arial" w:hAnsi="Arial"/>
          <w:sz w:val="22"/>
          <w:szCs w:val="22"/>
          <w:i w:val="1"/>
          <w:iCs w:val="1"/>
          <w:color w:val="auto"/>
        </w:rPr>
      </w:pPr>
      <w:r>
        <w:rPr>
          <w:rFonts w:ascii="Arial" w:cs="Arial" w:eastAsia="Arial" w:hAnsi="Arial"/>
          <w:sz w:val="20"/>
          <w:szCs w:val="20"/>
          <w:i w:val="1"/>
          <w:iCs w:val="1"/>
          <w:color w:val="auto"/>
        </w:rPr>
        <w:t>Total Revenues of $3.8 Billion and Operational Revenue Growth of ~3% on a Divestiture-Adjusted Basis Demonstrate Strength of Company’s Base Business[1]</w:t>
      </w:r>
    </w:p>
    <w:p>
      <w:pPr>
        <w:spacing w:after="0" w:line="215" w:lineRule="exact"/>
        <w:rPr>
          <w:rFonts w:ascii="Arial" w:cs="Arial" w:eastAsia="Arial" w:hAnsi="Arial"/>
          <w:sz w:val="22"/>
          <w:szCs w:val="22"/>
          <w:i w:val="1"/>
          <w:iCs w:val="1"/>
          <w:color w:val="auto"/>
        </w:rPr>
      </w:pPr>
    </w:p>
    <w:p>
      <w:pPr>
        <w:ind w:left="320" w:hanging="312"/>
        <w:spacing w:after="0"/>
        <w:tabs>
          <w:tab w:leader="none" w:pos="320" w:val="left"/>
        </w:tabs>
        <w:numPr>
          <w:ilvl w:val="0"/>
          <w:numId w:val="3"/>
        </w:numPr>
        <w:rPr>
          <w:rFonts w:ascii="Arial" w:cs="Arial" w:eastAsia="Arial" w:hAnsi="Arial"/>
          <w:sz w:val="22"/>
          <w:szCs w:val="22"/>
          <w:i w:val="1"/>
          <w:iCs w:val="1"/>
          <w:color w:val="auto"/>
        </w:rPr>
      </w:pPr>
      <w:r>
        <w:rPr>
          <w:rFonts w:ascii="Arial" w:cs="Arial" w:eastAsia="Arial" w:hAnsi="Arial"/>
          <w:sz w:val="20"/>
          <w:szCs w:val="20"/>
          <w:i w:val="1"/>
          <w:iCs w:val="1"/>
          <w:color w:val="auto"/>
        </w:rPr>
        <w:t>Strong New Product Revenues of $133 Million Drove Growth Across Segments</w:t>
      </w:r>
    </w:p>
    <w:p>
      <w:pPr>
        <w:spacing w:after="0" w:line="260" w:lineRule="exact"/>
        <w:rPr>
          <w:rFonts w:ascii="Arial" w:cs="Arial" w:eastAsia="Arial" w:hAnsi="Arial"/>
          <w:sz w:val="22"/>
          <w:szCs w:val="22"/>
          <w:i w:val="1"/>
          <w:iCs w:val="1"/>
          <w:color w:val="auto"/>
        </w:rPr>
      </w:pPr>
    </w:p>
    <w:p>
      <w:pPr>
        <w:ind w:left="340" w:right="20" w:hanging="332"/>
        <w:spacing w:after="0" w:line="288" w:lineRule="auto"/>
        <w:tabs>
          <w:tab w:leader="none" w:pos="335" w:val="left"/>
        </w:tabs>
        <w:numPr>
          <w:ilvl w:val="0"/>
          <w:numId w:val="3"/>
        </w:numPr>
        <w:rPr>
          <w:rFonts w:ascii="Arial" w:cs="Arial" w:eastAsia="Arial" w:hAnsi="Arial"/>
          <w:sz w:val="21"/>
          <w:szCs w:val="21"/>
          <w:i w:val="1"/>
          <w:iCs w:val="1"/>
          <w:color w:val="auto"/>
        </w:rPr>
      </w:pPr>
      <w:r>
        <w:rPr>
          <w:rFonts w:ascii="Arial" w:cs="Arial" w:eastAsia="Arial" w:hAnsi="Arial"/>
          <w:sz w:val="19"/>
          <w:szCs w:val="19"/>
          <w:i w:val="1"/>
          <w:iCs w:val="1"/>
          <w:color w:val="auto"/>
        </w:rPr>
        <w:t>U.S. GAAP Net Earnings were $95 Million; Adjusted EBITDA Grew ~4% to $1.3 Billion on a Divestiture-Adjusted Basis; U.S. GAAP Diluted EPS was $0.08 per Share; Adjusted EPS Grew ~6% to $0.75 per Share on a Divestiture-Adjusted Basis[2]</w:t>
      </w:r>
    </w:p>
    <w:p>
      <w:pPr>
        <w:spacing w:after="0" w:line="177" w:lineRule="exact"/>
        <w:rPr>
          <w:rFonts w:ascii="Arial" w:cs="Arial" w:eastAsia="Arial" w:hAnsi="Arial"/>
          <w:sz w:val="21"/>
          <w:szCs w:val="21"/>
          <w:i w:val="1"/>
          <w:iCs w:val="1"/>
          <w:color w:val="auto"/>
        </w:rPr>
      </w:pPr>
    </w:p>
    <w:p>
      <w:pPr>
        <w:ind w:left="320" w:hanging="312"/>
        <w:spacing w:after="0"/>
        <w:tabs>
          <w:tab w:leader="none" w:pos="320" w:val="left"/>
        </w:tabs>
        <w:numPr>
          <w:ilvl w:val="0"/>
          <w:numId w:val="3"/>
        </w:numPr>
        <w:rPr>
          <w:rFonts w:ascii="Arial" w:cs="Arial" w:eastAsia="Arial" w:hAnsi="Arial"/>
          <w:sz w:val="22"/>
          <w:szCs w:val="22"/>
          <w:i w:val="1"/>
          <w:iCs w:val="1"/>
          <w:color w:val="auto"/>
        </w:rPr>
      </w:pPr>
      <w:r>
        <w:rPr>
          <w:rFonts w:ascii="Arial" w:cs="Arial" w:eastAsia="Arial" w:hAnsi="Arial"/>
          <w:sz w:val="20"/>
          <w:szCs w:val="20"/>
          <w:i w:val="1"/>
          <w:iCs w:val="1"/>
          <w:color w:val="auto"/>
        </w:rPr>
        <w:t>Repaid ~$1.9 Billion of Debt, Expects to Achieve its Long-Term Gross Leverage Target of ~3.0x by end of the Year[3]</w:t>
      </w:r>
    </w:p>
    <w:p>
      <w:pPr>
        <w:spacing w:after="0" w:line="260" w:lineRule="exact"/>
        <w:rPr>
          <w:rFonts w:ascii="Arial" w:cs="Arial" w:eastAsia="Arial" w:hAnsi="Arial"/>
          <w:sz w:val="22"/>
          <w:szCs w:val="22"/>
          <w:i w:val="1"/>
          <w:iCs w:val="1"/>
          <w:color w:val="auto"/>
        </w:rPr>
      </w:pPr>
    </w:p>
    <w:p>
      <w:pPr>
        <w:ind w:left="320" w:hanging="312"/>
        <w:spacing w:after="0"/>
        <w:tabs>
          <w:tab w:leader="none" w:pos="320" w:val="left"/>
        </w:tabs>
        <w:numPr>
          <w:ilvl w:val="0"/>
          <w:numId w:val="3"/>
        </w:numPr>
        <w:rPr>
          <w:rFonts w:ascii="Arial" w:cs="Arial" w:eastAsia="Arial" w:hAnsi="Arial"/>
          <w:sz w:val="21"/>
          <w:szCs w:val="21"/>
          <w:color w:val="auto"/>
        </w:rPr>
      </w:pPr>
      <w:r>
        <w:rPr>
          <w:rFonts w:ascii="Arial" w:cs="Arial" w:eastAsia="Arial" w:hAnsi="Arial"/>
          <w:sz w:val="19"/>
          <w:szCs w:val="19"/>
          <w:i w:val="1"/>
          <w:iCs w:val="1"/>
          <w:color w:val="auto"/>
        </w:rPr>
        <w:t>Entered into Exclusive Licensing Agreement for Sotagliflozin, Expanding its Innovative Portfolio in Cardiovascular Diseases</w:t>
      </w:r>
    </w:p>
    <w:p>
      <w:pPr>
        <w:spacing w:after="0" w:line="258" w:lineRule="exact"/>
        <w:rPr>
          <w:rFonts w:ascii="Arial" w:cs="Arial" w:eastAsia="Arial" w:hAnsi="Arial"/>
          <w:sz w:val="21"/>
          <w:szCs w:val="21"/>
          <w:color w:val="auto"/>
        </w:rPr>
      </w:pPr>
    </w:p>
    <w:p>
      <w:pPr>
        <w:ind w:left="340" w:right="680" w:hanging="332"/>
        <w:spacing w:after="0" w:line="262" w:lineRule="auto"/>
        <w:tabs>
          <w:tab w:leader="none" w:pos="335" w:val="left"/>
        </w:tabs>
        <w:numPr>
          <w:ilvl w:val="0"/>
          <w:numId w:val="3"/>
        </w:numPr>
        <w:rPr>
          <w:rFonts w:ascii="Arial" w:cs="Arial" w:eastAsia="Arial" w:hAnsi="Arial"/>
          <w:sz w:val="22"/>
          <w:szCs w:val="22"/>
          <w:i w:val="1"/>
          <w:iCs w:val="1"/>
          <w:color w:val="auto"/>
        </w:rPr>
      </w:pPr>
      <w:r>
        <w:rPr>
          <w:rFonts w:ascii="Arial" w:cs="Arial" w:eastAsia="Arial" w:hAnsi="Arial"/>
          <w:sz w:val="20"/>
          <w:szCs w:val="20"/>
          <w:i w:val="1"/>
          <w:iCs w:val="1"/>
          <w:color w:val="auto"/>
        </w:rPr>
        <w:t>Reaffirms 2024 Full-Year Outlook and Continues to Expect 2024 Full-Year Revenue Growth of ~2% on a Divestiture-Adjusted Operational Basis[4]</w:t>
      </w:r>
    </w:p>
    <w:p>
      <w:pPr>
        <w:spacing w:after="0" w:line="186"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b w:val="1"/>
          <w:bCs w:val="1"/>
          <w:color w:val="auto"/>
        </w:rPr>
        <w:t xml:space="preserve">PITTSBURGH – November 7, 2024 </w:t>
      </w:r>
      <w:r>
        <w:rPr>
          <w:rFonts w:ascii="Arial" w:cs="Arial" w:eastAsia="Arial" w:hAnsi="Arial"/>
          <w:sz w:val="19"/>
          <w:szCs w:val="19"/>
          <w:color w:val="auto"/>
        </w:rPr>
        <w:t>– Viatris Inc. (Nasdaq: VTRS) today announced robust financial results for the third quarter</w:t>
      </w:r>
      <w:r>
        <w:rPr>
          <w:rFonts w:ascii="Arial" w:cs="Arial" w:eastAsia="Arial" w:hAnsi="Arial"/>
          <w:sz w:val="19"/>
          <w:szCs w:val="19"/>
          <w:b w:val="1"/>
          <w:bCs w:val="1"/>
          <w:color w:val="auto"/>
        </w:rPr>
        <w:t xml:space="preserve"> </w:t>
      </w:r>
      <w:r>
        <w:rPr>
          <w:rFonts w:ascii="Arial" w:cs="Arial" w:eastAsia="Arial" w:hAnsi="Arial"/>
          <w:sz w:val="19"/>
          <w:szCs w:val="19"/>
          <w:color w:val="auto"/>
        </w:rPr>
        <w:t>of 2024, driven by positive momentum against all three pillars of its strategy. The Company continued to demonstrate its ability to grow its base business, delivering total revenues of $3.8 billion including new product revenues of $133 million; it added to its financial strength with the repayment of approximately $1.9 billion of debt; and it expanded its innovative portfolio by entering into an exclusive licensing agreement with Lexicon Pharmaceuticals for sotagliflozin outside of the U.S. and Europe.</w:t>
      </w:r>
    </w:p>
    <w:p>
      <w:pPr>
        <w:spacing w:after="0" w:line="181"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“I am very pleased to report strong third quarter results that continue the momentum we’ve seen all year,” said Scott A. Smith, chief executive officer, Viatris. “We are in a period of strong global execution which has led to consistent base business growth and we expect this momentum to continue into next year. Our company is operating from a position of financial strength with a clear and focused outlook that centers on capital allocation. Returning value to shareholders through dividends and share repurchases will remain a central element of optimizing and maximizing shareholder value. We will balance this with making disciplined investments in commercialized or late-stage assets through regional and global business development to drive our future growth.”</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“We continue to make excellent progress executing on our debt paydown commitment and are on pace to achieve our long-term gross leverage target of ~3.0x by year end,” said Doretta Mistras, chief financial officer, Viatris. “With sector-leading cash flow and a strong balance sheet as our foundation, I believe we are well-positioned to deliver consistent base business growth, while simultaneously investing in our business and returning significant capital to our shareholders.”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[1] For the quarter ended September 30, 2024, total revenues declined ~(5)% on a U.S. GAAP basis.</w:t>
      </w:r>
    </w:p>
    <w:p>
      <w:pPr>
        <w:sectPr>
          <w:pgSz w:w="11900" w:h="16838" w:orient="portrait"/>
          <w:cols w:equalWidth="0" w:num="1">
            <w:col w:w="11200"/>
          </w:cols>
          <w:pgMar w:left="320" w:top="1440" w:right="379" w:bottom="1440" w:gutter="0" w:footer="0" w:header="0"/>
        </w:sectPr>
      </w:pPr>
    </w:p>
    <w:bookmarkStart w:id="5" w:name="page6"/>
    <w:bookmarkEnd w:id="5"/>
    <w:p>
      <w:pPr>
        <w:ind w:left="-8" w:right="120" w:firstLine="8"/>
        <w:spacing w:after="0" w:line="257" w:lineRule="auto"/>
        <w:tabs>
          <w:tab w:leader="none" w:pos="267" w:val="left"/>
        </w:tabs>
        <w:numPr>
          <w:ilvl w:val="0"/>
          <w:numId w:val="4"/>
        </w:numPr>
        <w:rPr>
          <w:rFonts w:ascii="Arial" w:cs="Arial" w:eastAsia="Arial" w:hAnsi="Arial"/>
          <w:sz w:val="20"/>
          <w:szCs w:val="20"/>
          <w:color w:val="auto"/>
        </w:rPr>
      </w:pPr>
      <w:r>
        <w:rPr>
          <w:rFonts w:ascii="Arial" w:cs="Arial" w:eastAsia="Arial" w:hAnsi="Arial"/>
          <w:sz w:val="20"/>
          <w:szCs w:val="20"/>
          <w:color w:val="auto"/>
        </w:rPr>
        <w:t>For the quarter ended September 30, 2024, U.S. GAAP net earnings declined from $332 million to $95 million, or ~(71)%, and U.S. GAAP diluted EPS declined from $0.27 per share to $0.08 per share, or ~(70)%.</w:t>
      </w:r>
    </w:p>
    <w:p>
      <w:pPr>
        <w:spacing w:after="0" w:line="195" w:lineRule="exact"/>
        <w:rPr>
          <w:rFonts w:ascii="Arial" w:cs="Arial" w:eastAsia="Arial" w:hAnsi="Arial"/>
          <w:sz w:val="20"/>
          <w:szCs w:val="20"/>
          <w:color w:val="auto"/>
        </w:rPr>
      </w:pPr>
    </w:p>
    <w:p>
      <w:pPr>
        <w:ind w:left="-8" w:right="60" w:firstLine="8"/>
        <w:spacing w:after="0" w:line="254" w:lineRule="auto"/>
        <w:tabs>
          <w:tab w:leader="none" w:pos="267" w:val="left"/>
        </w:tabs>
        <w:numPr>
          <w:ilvl w:val="0"/>
          <w:numId w:val="4"/>
        </w:numPr>
        <w:rPr>
          <w:rFonts w:ascii="Arial" w:cs="Arial" w:eastAsia="Arial" w:hAnsi="Arial"/>
          <w:sz w:val="20"/>
          <w:szCs w:val="20"/>
          <w:color w:val="auto"/>
        </w:rPr>
      </w:pPr>
      <w:r>
        <w:rPr>
          <w:rFonts w:ascii="Arial" w:cs="Arial" w:eastAsia="Arial" w:hAnsi="Arial"/>
          <w:sz w:val="20"/>
          <w:szCs w:val="20"/>
          <w:color w:val="auto"/>
        </w:rPr>
        <w:t>Debt repayment of ~$1.9 billion includes the impact of the make-whole call of €292M (~$325M) of remaining 2025 Euro Senior Notes on October 16, 2024. The Company has not quantified future amounts to develop its long-term gross leverage target, which does not reflect company guidance, but has stated its goal to manage notional gross debt and adjusted EBITDA over time in order to generally maintain or reach the target. See “Non-GAAP Financial Measures” and “Long-Term Gross Leverage Target” for additional information.</w:t>
      </w:r>
    </w:p>
    <w:p>
      <w:pPr>
        <w:spacing w:after="0" w:line="214" w:lineRule="exact"/>
        <w:rPr>
          <w:rFonts w:ascii="Arial" w:cs="Arial" w:eastAsia="Arial" w:hAnsi="Arial"/>
          <w:sz w:val="20"/>
          <w:szCs w:val="20"/>
          <w:color w:val="auto"/>
        </w:rPr>
      </w:pPr>
    </w:p>
    <w:p>
      <w:pPr>
        <w:jc w:val="both"/>
        <w:ind w:left="-8" w:firstLine="8"/>
        <w:spacing w:after="0" w:line="262" w:lineRule="auto"/>
        <w:tabs>
          <w:tab w:leader="none" w:pos="267" w:val="left"/>
        </w:tabs>
        <w:numPr>
          <w:ilvl w:val="0"/>
          <w:numId w:val="4"/>
        </w:numPr>
        <w:rPr>
          <w:rFonts w:ascii="Arial" w:cs="Arial" w:eastAsia="Arial" w:hAnsi="Arial"/>
          <w:sz w:val="20"/>
          <w:szCs w:val="20"/>
          <w:color w:val="auto"/>
        </w:rPr>
      </w:pPr>
      <w:r>
        <w:rPr>
          <w:rFonts w:ascii="Arial" w:cs="Arial" w:eastAsia="Arial" w:hAnsi="Arial"/>
          <w:sz w:val="20"/>
          <w:szCs w:val="20"/>
          <w:color w:val="auto"/>
        </w:rPr>
        <w:t>U.S. GAAP total revenues for 2024 as of November 7, 2024, are estimated to be between $14.60 and $15.10 billion, with a midpoint of $14.85 billion or a full-year decrease of ~(4)%. See “Financial Guidance” and “Non-GAAP Financial Measures” for additional information.</w:t>
      </w:r>
    </w:p>
    <w:p>
      <w:pPr>
        <w:spacing w:after="0" w:line="200" w:lineRule="exact"/>
        <w:rPr>
          <w:sz w:val="20"/>
          <w:szCs w:val="20"/>
          <w:color w:val="auto"/>
        </w:rPr>
      </w:pPr>
    </w:p>
    <w:p>
      <w:pPr>
        <w:spacing w:after="0" w:line="319"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2"/>
          </w:cols>
          <w:pgMar w:left="328" w:top="887" w:right="5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4C16AE"/>
        </w:rPr>
        <w:t>Third Quarter Results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0" w:type="dxa"/>
            <w:vAlign w:val="bottom"/>
            <w:gridSpan w:val="5"/>
          </w:tcPr>
          <w:p>
            <w:pPr>
              <w:jc w:val="center"/>
              <w:ind w:left="66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Reported</w:t>
            </w: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5"/>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300" w:type="dxa"/>
            <w:vAlign w:val="bottom"/>
          </w:tcPr>
          <w:p>
            <w:pPr>
              <w:spacing w:after="0"/>
              <w:rPr>
                <w:sz w:val="12"/>
                <w:szCs w:val="12"/>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3"/>
        </w:trPr>
        <w:tc>
          <w:tcPr>
            <w:tcW w:w="47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ind w:left="40"/>
              <w:spacing w:after="0" w:line="193" w:lineRule="exact"/>
              <w:rPr>
                <w:sz w:val="20"/>
                <w:szCs w:val="20"/>
                <w:color w:val="auto"/>
              </w:rPr>
            </w:pPr>
            <w:r>
              <w:rPr>
                <w:rFonts w:ascii="Arial" w:cs="Arial" w:eastAsia="Arial" w:hAnsi="Arial"/>
                <w:sz w:val="14"/>
                <w:szCs w:val="14"/>
                <w:b w:val="1"/>
                <w:bCs w:val="1"/>
                <w:color w:val="auto"/>
              </w:rPr>
              <w:t>Change</w:t>
            </w:r>
            <w:r>
              <w:rPr>
                <w:rFonts w:ascii="Arial" w:cs="Arial" w:eastAsia="Arial" w:hAnsi="Arial"/>
                <w:sz w:val="18"/>
                <w:szCs w:val="18"/>
                <w:b w:val="1"/>
                <w:bCs w:val="1"/>
                <w:color w:val="auto"/>
                <w:vertAlign w:val="superscript"/>
              </w:rPr>
              <w:t>(1) (2)</w:t>
            </w:r>
          </w:p>
        </w:tc>
        <w:tc>
          <w:tcPr>
            <w:tcW w:w="100" w:type="dxa"/>
            <w:vAlign w:val="bottom"/>
          </w:tcPr>
          <w:p>
            <w:pPr>
              <w:spacing w:after="0"/>
              <w:rPr>
                <w:sz w:val="16"/>
                <w:szCs w:val="16"/>
                <w:color w:val="auto"/>
              </w:rPr>
            </w:pPr>
          </w:p>
        </w:tc>
        <w:tc>
          <w:tcPr>
            <w:tcW w:w="130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91"/>
              </w:rPr>
              <w:t>Change</w:t>
            </w:r>
            <w:r>
              <w:rPr>
                <w:rFonts w:ascii="Arial" w:cs="Arial" w:eastAsia="Arial" w:hAnsi="Arial"/>
                <w:sz w:val="18"/>
                <w:szCs w:val="18"/>
                <w:b w:val="1"/>
                <w:bCs w:val="1"/>
                <w:color w:val="auto"/>
                <w:w w:val="91"/>
                <w:vertAlign w:val="superscript"/>
              </w:rPr>
              <w:t>(2)(3)</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3,738.0</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3,933.9</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ind w:right="41"/>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0" w:type="dxa"/>
            <w:vAlign w:val="bottom"/>
          </w:tcPr>
          <w:p>
            <w:pPr>
              <w:spacing w:after="0"/>
              <w:rPr>
                <w:sz w:val="1"/>
                <w:szCs w:val="1"/>
                <w:color w:val="auto"/>
              </w:rPr>
            </w:pPr>
          </w:p>
        </w:tc>
      </w:tr>
      <w:tr>
        <w:trPr>
          <w:trHeight w:val="215"/>
        </w:trPr>
        <w:tc>
          <w:tcPr>
            <w:tcW w:w="474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3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2,298.7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2,408.5</w:t>
            </w:r>
          </w:p>
        </w:tc>
        <w:tc>
          <w:tcPr>
            <w:tcW w:w="1020" w:type="dxa"/>
            <w:vAlign w:val="bottom"/>
            <w:gridSpan w:val="2"/>
          </w:tcPr>
          <w:p>
            <w:pPr>
              <w:jc w:val="center"/>
              <w:ind w:lef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1"/>
              <w:spacing w:after="0"/>
              <w:rPr>
                <w:sz w:val="20"/>
                <w:szCs w:val="20"/>
                <w:color w:val="auto"/>
              </w:rPr>
            </w:pPr>
            <w:r>
              <w:rPr>
                <w:rFonts w:ascii="Arial" w:cs="Arial" w:eastAsia="Arial" w:hAnsi="Arial"/>
                <w:sz w:val="16"/>
                <w:szCs w:val="16"/>
                <w:color w:val="auto"/>
              </w:rPr>
              <w:t>(5)%</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642.5</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41"/>
              <w:spacing w:after="0"/>
              <w:rPr>
                <w:sz w:val="20"/>
                <w:szCs w:val="20"/>
                <w:color w:val="auto"/>
              </w:rPr>
            </w:pPr>
            <w:r>
              <w:rPr>
                <w:rFonts w:ascii="Arial" w:cs="Arial" w:eastAsia="Arial" w:hAnsi="Arial"/>
                <w:sz w:val="16"/>
                <w:szCs w:val="16"/>
                <w:color w:val="auto"/>
                <w:w w:val="98"/>
              </w:rPr>
              <w:t>(14)%</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2%</w:t>
            </w:r>
          </w:p>
        </w:tc>
        <w:tc>
          <w:tcPr>
            <w:tcW w:w="0" w:type="dxa"/>
            <w:vAlign w:val="bottom"/>
          </w:tcPr>
          <w:p>
            <w:pPr>
              <w:spacing w:after="0"/>
              <w:rPr>
                <w:sz w:val="1"/>
                <w:szCs w:val="1"/>
                <w:color w:val="auto"/>
              </w:rPr>
            </w:pPr>
          </w:p>
        </w:tc>
      </w:tr>
      <w:tr>
        <w:trPr>
          <w:trHeight w:val="215"/>
        </w:trPr>
        <w:tc>
          <w:tcPr>
            <w:tcW w:w="4740" w:type="dxa"/>
            <w:vAlign w:val="bottom"/>
          </w:tcPr>
          <w:p>
            <w:pPr>
              <w:ind w:left="220"/>
              <w:spacing w:after="0"/>
              <w:rPr>
                <w:sz w:val="20"/>
                <w:szCs w:val="20"/>
                <w:color w:val="auto"/>
              </w:rPr>
            </w:pPr>
            <w:r>
              <w:rPr>
                <w:rFonts w:ascii="Arial" w:cs="Arial" w:eastAsia="Arial" w:hAnsi="Arial"/>
                <w:sz w:val="16"/>
                <w:szCs w:val="16"/>
                <w:color w:val="auto"/>
              </w:rPr>
              <w:t>JANZ</w:t>
            </w:r>
          </w:p>
        </w:tc>
        <w:tc>
          <w:tcPr>
            <w:tcW w:w="3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344.3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334.5</w:t>
            </w:r>
          </w:p>
        </w:tc>
        <w:tc>
          <w:tcPr>
            <w:tcW w:w="1020" w:type="dxa"/>
            <w:vAlign w:val="bottom"/>
            <w:gridSpan w:val="2"/>
          </w:tcPr>
          <w:p>
            <w:pPr>
              <w:jc w:val="center"/>
              <w:ind w:lef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61"/>
              <w:spacing w:after="0"/>
              <w:rPr>
                <w:sz w:val="20"/>
                <w:szCs w:val="20"/>
                <w:color w:val="auto"/>
              </w:rPr>
            </w:pPr>
            <w:r>
              <w:rPr>
                <w:rFonts w:ascii="Arial" w:cs="Arial" w:eastAsia="Arial" w:hAnsi="Arial"/>
                <w:sz w:val="16"/>
                <w:szCs w:val="16"/>
                <w:color w:val="auto"/>
              </w:rPr>
              <w:t>6%</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8%</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548.4</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61"/>
              <w:spacing w:after="0"/>
              <w:rPr>
                <w:sz w:val="20"/>
                <w:szCs w:val="20"/>
                <w:color w:val="auto"/>
              </w:rPr>
            </w:pPr>
            <w:r>
              <w:rPr>
                <w:rFonts w:ascii="Arial" w:cs="Arial" w:eastAsia="Arial" w:hAnsi="Arial"/>
                <w:sz w:val="16"/>
                <w:szCs w:val="16"/>
                <w:color w:val="auto"/>
              </w:rPr>
              <w:t>3%</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20"/>
              <w:spacing w:after="0"/>
              <w:rPr>
                <w:sz w:val="20"/>
                <w:szCs w:val="20"/>
                <w:color w:val="auto"/>
              </w:rPr>
            </w:pPr>
            <w:r>
              <w:rPr>
                <w:rFonts w:ascii="Arial" w:cs="Arial" w:eastAsia="Arial" w:hAnsi="Arial"/>
                <w:sz w:val="16"/>
                <w:szCs w:val="16"/>
                <w:color w:val="auto"/>
              </w:rPr>
              <w:t>Brands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2,362.2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2,533.1</w:t>
            </w:r>
          </w:p>
        </w:tc>
        <w:tc>
          <w:tcPr>
            <w:tcW w:w="1020" w:type="dxa"/>
            <w:vAlign w:val="bottom"/>
            <w:gridSpan w:val="2"/>
          </w:tcPr>
          <w:p>
            <w:pPr>
              <w:jc w:val="center"/>
              <w:ind w:lef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1"/>
              <w:spacing w:after="0"/>
              <w:rPr>
                <w:sz w:val="20"/>
                <w:szCs w:val="20"/>
                <w:color w:val="auto"/>
              </w:rPr>
            </w:pPr>
            <w:r>
              <w:rPr>
                <w:rFonts w:ascii="Arial" w:cs="Arial" w:eastAsia="Arial" w:hAnsi="Arial"/>
                <w:sz w:val="16"/>
                <w:szCs w:val="16"/>
                <w:color w:val="auto"/>
              </w:rPr>
              <w:t>(6)%</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Generics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1,400.8</w:t>
            </w:r>
          </w:p>
        </w:tc>
        <w:tc>
          <w:tcPr>
            <w:tcW w:w="10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41"/>
              <w:spacing w:after="0"/>
              <w:rPr>
                <w:sz w:val="20"/>
                <w:szCs w:val="20"/>
                <w:color w:val="auto"/>
              </w:rPr>
            </w:pPr>
            <w:r>
              <w:rPr>
                <w:rFonts w:ascii="Arial" w:cs="Arial" w:eastAsia="Arial" w:hAnsi="Arial"/>
                <w:sz w:val="16"/>
                <w:szCs w:val="16"/>
                <w:color w:val="auto"/>
              </w:rPr>
              <w:t>(2)%</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Profit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1,459.2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1,691.3</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U.S. GAAP Gross Margin</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42.9 %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2,192.9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2,333.9</w:t>
            </w:r>
          </w:p>
        </w:tc>
        <w:tc>
          <w:tcPr>
            <w:tcW w:w="10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59.2 %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U.S. GAAP Net Earnings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331.6</w:t>
            </w:r>
          </w:p>
        </w:tc>
        <w:tc>
          <w:tcPr>
            <w:tcW w:w="1020" w:type="dxa"/>
            <w:vAlign w:val="bottom"/>
            <w:gridSpan w:val="2"/>
          </w:tcPr>
          <w:p>
            <w:pPr>
              <w:jc w:val="center"/>
              <w:ind w:left="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Earnings Per Share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0.27</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897.6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952.8</w:t>
            </w:r>
          </w:p>
        </w:tc>
        <w:tc>
          <w:tcPr>
            <w:tcW w:w="1020" w:type="dxa"/>
            <w:vAlign w:val="bottom"/>
            <w:gridSpan w:val="2"/>
          </w:tcPr>
          <w:p>
            <w:pPr>
              <w:jc w:val="center"/>
              <w:ind w:lef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0.79</w:t>
            </w:r>
          </w:p>
        </w:tc>
        <w:tc>
          <w:tcPr>
            <w:tcW w:w="10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4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1,223.1</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1,284.6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1,360.1</w:t>
            </w:r>
          </w:p>
        </w:tc>
        <w:tc>
          <w:tcPr>
            <w:tcW w:w="1020" w:type="dxa"/>
            <w:vAlign w:val="bottom"/>
            <w:gridSpan w:val="2"/>
          </w:tcPr>
          <w:p>
            <w:pPr>
              <w:jc w:val="center"/>
              <w:ind w:lef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U.S. GAAP Net Cash Provided by Operating Activities </w:t>
            </w:r>
            <w:r>
              <w:rPr>
                <w:rFonts w:ascii="Arial" w:cs="Arial" w:eastAsia="Arial" w:hAnsi="Arial"/>
                <w:sz w:val="21"/>
                <w:szCs w:val="21"/>
                <w:color w:val="auto"/>
                <w:vertAlign w:val="superscript"/>
              </w:rPr>
              <w:t>(5)</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826.5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835.2</w:t>
            </w:r>
          </w:p>
        </w:tc>
        <w:tc>
          <w:tcPr>
            <w:tcW w:w="1020" w:type="dxa"/>
            <w:vAlign w:val="bottom"/>
            <w:gridSpan w:val="2"/>
          </w:tcPr>
          <w:p>
            <w:pPr>
              <w:jc w:val="center"/>
              <w:ind w:lef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95.9</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(2)(5)(6)</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749.5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739.3</w:t>
            </w:r>
          </w:p>
        </w:tc>
        <w:tc>
          <w:tcPr>
            <w:tcW w:w="1020" w:type="dxa"/>
            <w:vAlign w:val="bottom"/>
            <w:gridSpan w:val="2"/>
          </w:tcPr>
          <w:p>
            <w:pPr>
              <w:jc w:val="center"/>
              <w:ind w:lef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660" w:right="20" w:hanging="328"/>
        <w:spacing w:after="0" w:line="222" w:lineRule="auto"/>
        <w:tabs>
          <w:tab w:leader="none" w:pos="567"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operational change for net sales, adjusted EBITDA, and adjusted EPS which excludes the impacts of foreign currency translation. See “Certain Key Terms and Presentation Matters” in this release for more information.</w:t>
      </w:r>
    </w:p>
    <w:p>
      <w:pPr>
        <w:spacing w:after="0" w:line="40" w:lineRule="exact"/>
        <w:rPr>
          <w:rFonts w:ascii="Arial" w:cs="Arial" w:eastAsia="Arial" w:hAnsi="Arial"/>
          <w:sz w:val="19"/>
          <w:szCs w:val="19"/>
          <w:color w:val="auto"/>
          <w:vertAlign w:val="superscript"/>
        </w:rPr>
      </w:pPr>
    </w:p>
    <w:p>
      <w:pPr>
        <w:ind w:left="540" w:hanging="208"/>
        <w:spacing w:after="0"/>
        <w:tabs>
          <w:tab w:leader="none" w:pos="540" w:val="left"/>
        </w:tabs>
        <w:numPr>
          <w:ilvl w:val="0"/>
          <w:numId w:val="5"/>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68" w:lineRule="exact"/>
        <w:rPr>
          <w:rFonts w:ascii="Arial" w:cs="Arial" w:eastAsia="Arial" w:hAnsi="Arial"/>
          <w:sz w:val="9"/>
          <w:szCs w:val="9"/>
          <w:color w:val="auto"/>
        </w:rPr>
      </w:pPr>
    </w:p>
    <w:p>
      <w:pPr>
        <w:ind w:left="660" w:hanging="328"/>
        <w:spacing w:after="0" w:line="231" w:lineRule="auto"/>
        <w:tabs>
          <w:tab w:leader="none" w:pos="581"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adjustments for the impact of proportionate results from the divestitures that closed in 2023 and 2024, from the 2023 period on an operational basis. See “Certain Key Terms and Presentation Matters” in this release for more information.</w:t>
      </w:r>
    </w:p>
    <w:p>
      <w:pPr>
        <w:spacing w:after="0" w:line="39" w:lineRule="exact"/>
        <w:rPr>
          <w:rFonts w:ascii="Arial" w:cs="Arial" w:eastAsia="Arial" w:hAnsi="Arial"/>
          <w:sz w:val="19"/>
          <w:szCs w:val="19"/>
          <w:color w:val="auto"/>
          <w:vertAlign w:val="superscript"/>
        </w:rPr>
      </w:pPr>
    </w:p>
    <w:p>
      <w:pPr>
        <w:ind w:left="660" w:hanging="328"/>
        <w:spacing w:after="0" w:line="222" w:lineRule="auto"/>
        <w:tabs>
          <w:tab w:leader="none" w:pos="594"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i w:val="1"/>
          <w:iCs w:val="1"/>
          <w:color w:val="auto"/>
        </w:rPr>
        <w:t>Complex Gx</w:t>
      </w:r>
      <w:r>
        <w:rPr>
          <w:rFonts w:ascii="Arial" w:cs="Arial" w:eastAsia="Arial" w:hAnsi="Arial"/>
          <w:sz w:val="14"/>
          <w:szCs w:val="14"/>
          <w:color w:val="auto"/>
        </w:rPr>
        <w:t>, which was previously presented as a separate line item in the prior year period, is now included within</w:t>
      </w:r>
      <w:r>
        <w:rPr>
          <w:rFonts w:ascii="Arial" w:cs="Arial" w:eastAsia="Arial" w:hAnsi="Arial"/>
          <w:sz w:val="14"/>
          <w:szCs w:val="14"/>
          <w:i w:val="1"/>
          <w:iCs w:val="1"/>
          <w:color w:val="auto"/>
        </w:rPr>
        <w:t xml:space="preserve"> Generics</w:t>
      </w:r>
      <w:r>
        <w:rPr>
          <w:rFonts w:ascii="Arial" w:cs="Arial" w:eastAsia="Arial" w:hAnsi="Arial"/>
          <w:sz w:val="14"/>
          <w:szCs w:val="14"/>
          <w:color w:val="auto"/>
        </w:rPr>
        <w:t>. Reclassifications were made to prior</w:t>
      </w:r>
      <w:r>
        <w:rPr>
          <w:rFonts w:ascii="Arial" w:cs="Arial" w:eastAsia="Arial" w:hAnsi="Arial"/>
          <w:sz w:val="14"/>
          <w:szCs w:val="14"/>
          <w:i w:val="1"/>
          <w:iCs w:val="1"/>
          <w:color w:val="auto"/>
        </w:rPr>
        <w:t xml:space="preserve"> </w:t>
      </w:r>
      <w:r>
        <w:rPr>
          <w:rFonts w:ascii="Arial" w:cs="Arial" w:eastAsia="Arial" w:hAnsi="Arial"/>
          <w:sz w:val="14"/>
          <w:szCs w:val="14"/>
          <w:color w:val="auto"/>
        </w:rPr>
        <w:t>periods to conform to the current period presentation.</w:t>
      </w:r>
    </w:p>
    <w:p>
      <w:pPr>
        <w:spacing w:after="0" w:line="40" w:lineRule="exact"/>
        <w:rPr>
          <w:rFonts w:ascii="Arial" w:cs="Arial" w:eastAsia="Arial" w:hAnsi="Arial"/>
          <w:sz w:val="19"/>
          <w:szCs w:val="19"/>
          <w:color w:val="auto"/>
          <w:vertAlign w:val="superscript"/>
        </w:rPr>
      </w:pPr>
    </w:p>
    <w:p>
      <w:pPr>
        <w:jc w:val="both"/>
        <w:ind w:left="660" w:hanging="328"/>
        <w:spacing w:after="0" w:line="267" w:lineRule="auto"/>
        <w:tabs>
          <w:tab w:leader="none" w:pos="740" w:val="left"/>
        </w:tabs>
        <w:numPr>
          <w:ilvl w:val="0"/>
          <w:numId w:val="5"/>
        </w:numPr>
        <w:rPr>
          <w:rFonts w:ascii="Arial" w:cs="Arial" w:eastAsia="Arial" w:hAnsi="Arial"/>
          <w:sz w:val="9"/>
          <w:szCs w:val="9"/>
          <w:color w:val="auto"/>
        </w:rPr>
      </w:pPr>
      <w:r>
        <w:rPr>
          <w:rFonts w:ascii="Arial" w:cs="Arial" w:eastAsia="Arial" w:hAnsi="Arial"/>
          <w:sz w:val="14"/>
          <w:szCs w:val="14"/>
          <w:color w:val="auto"/>
        </w:rPr>
        <w:t>Beginning in 2024, upfront and milestone payments related to externally developed IPR&amp;D projects acquired directly in a transaction other than a business combination, which were previously included in cash flows from operating activities in the condensed consolidated statements of cash flows, are now classified as cash flows from investing activities. Certain reclassifications were made to conform the prior period condensed consolidated financial statements to the current period presentation. The adjustments resulted in an increase to net cash provided by operating activities, free cash flow, and net cash used in investing activities of $1 million for the three months ended September 30, 2023.</w:t>
      </w:r>
    </w:p>
    <w:p>
      <w:pPr>
        <w:spacing w:after="0" w:line="22" w:lineRule="exact"/>
        <w:rPr>
          <w:rFonts w:ascii="Arial" w:cs="Arial" w:eastAsia="Arial" w:hAnsi="Arial"/>
          <w:sz w:val="9"/>
          <w:szCs w:val="9"/>
          <w:color w:val="auto"/>
        </w:rPr>
      </w:pPr>
    </w:p>
    <w:p>
      <w:pPr>
        <w:jc w:val="both"/>
        <w:ind w:left="660" w:hanging="328"/>
        <w:spacing w:after="0" w:line="283" w:lineRule="auto"/>
        <w:tabs>
          <w:tab w:leader="none" w:pos="668" w:val="left"/>
        </w:tabs>
        <w:numPr>
          <w:ilvl w:val="0"/>
          <w:numId w:val="5"/>
        </w:numPr>
        <w:rPr>
          <w:rFonts w:ascii="Arial" w:cs="Arial" w:eastAsia="Arial" w:hAnsi="Arial"/>
          <w:sz w:val="9"/>
          <w:szCs w:val="9"/>
          <w:color w:val="auto"/>
        </w:rPr>
      </w:pPr>
      <w:r>
        <w:rPr>
          <w:rFonts w:ascii="Arial" w:cs="Arial" w:eastAsia="Arial" w:hAnsi="Arial"/>
          <w:sz w:val="14"/>
          <w:szCs w:val="14"/>
          <w:color w:val="auto"/>
        </w:rPr>
        <w:t>Excluding the impact of transaction costs primarily related to the divestitures of $116 million, free cash flow for the three months ended September 30, 2024, was $866 million. Excluding the impact of transaction costs primarily related to the divestitures and the eye care acquisitions of $48 million, free cash flow for the three months ended September 30, 2023, was $787 million.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0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center"/>
              <w:ind w:left="66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center"/>
              <w:ind w:left="66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39"/>
        </w:trPr>
        <w:tc>
          <w:tcPr>
            <w:tcW w:w="4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1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Pr>
          <w:p>
            <w:pPr>
              <w:spacing w:after="0"/>
              <w:rPr>
                <w:sz w:val="12"/>
                <w:szCs w:val="12"/>
                <w:color w:val="auto"/>
              </w:rPr>
            </w:pPr>
          </w:p>
        </w:tc>
        <w:tc>
          <w:tcPr>
            <w:tcW w:w="12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320" w:type="dxa"/>
            <w:vAlign w:val="bottom"/>
          </w:tcPr>
          <w:p>
            <w:pPr>
              <w:spacing w:after="0"/>
              <w:rPr>
                <w:sz w:val="12"/>
                <w:szCs w:val="12"/>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8"/>
        </w:trPr>
        <w:tc>
          <w:tcPr>
            <w:tcW w:w="4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ind w:left="160"/>
              <w:spacing w:after="0" w:line="198" w:lineRule="exact"/>
              <w:rPr>
                <w:sz w:val="20"/>
                <w:szCs w:val="20"/>
                <w:color w:val="auto"/>
              </w:rPr>
            </w:pPr>
            <w:r>
              <w:rPr>
                <w:rFonts w:ascii="Arial" w:cs="Arial" w:eastAsia="Arial" w:hAnsi="Arial"/>
                <w:sz w:val="22"/>
                <w:szCs w:val="22"/>
                <w:b w:val="1"/>
                <w:bCs w:val="1"/>
                <w:color w:val="auto"/>
                <w:vertAlign w:val="subscript"/>
              </w:rPr>
              <w:t>Change</w:t>
            </w:r>
            <w:r>
              <w:rPr>
                <w:rFonts w:ascii="Arial" w:cs="Arial" w:eastAsia="Arial" w:hAnsi="Arial"/>
                <w:sz w:val="8"/>
                <w:szCs w:val="8"/>
                <w:b w:val="1"/>
                <w:bCs w:val="1"/>
                <w:color w:val="auto"/>
              </w:rPr>
              <w:t>(1) (2)</w:t>
            </w:r>
          </w:p>
        </w:tc>
        <w:tc>
          <w:tcPr>
            <w:tcW w:w="12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Arial" w:cs="Arial" w:eastAsia="Arial" w:hAnsi="Arial"/>
                <w:sz w:val="14"/>
                <w:szCs w:val="14"/>
                <w:b w:val="1"/>
                <w:bCs w:val="1"/>
                <w:color w:val="auto"/>
                <w:w w:val="94"/>
              </w:rPr>
              <w:t>Change</w:t>
            </w:r>
            <w:r>
              <w:rPr>
                <w:rFonts w:ascii="Arial" w:cs="Arial" w:eastAsia="Arial" w:hAnsi="Arial"/>
                <w:sz w:val="18"/>
                <w:szCs w:val="18"/>
                <w:b w:val="1"/>
                <w:bCs w:val="1"/>
                <w:color w:val="auto"/>
                <w:w w:val="94"/>
                <w:vertAlign w:val="superscript"/>
              </w:rPr>
              <w:t>(2)(3)</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11,177.4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11,562.5</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94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6,783.3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6,932.7</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w:t>
            </w:r>
          </w:p>
        </w:tc>
        <w:tc>
          <w:tcPr>
            <w:tcW w:w="1360" w:type="dxa"/>
            <w:vAlign w:val="bottom"/>
            <w:gridSpan w:val="2"/>
          </w:tcPr>
          <w:p>
            <w:pPr>
              <w:jc w:val="center"/>
              <w:ind w:lef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1,932.5</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3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4940" w:type="dxa"/>
            <w:vAlign w:val="bottom"/>
          </w:tcPr>
          <w:p>
            <w:pPr>
              <w:ind w:left="220"/>
              <w:spacing w:after="0"/>
              <w:rPr>
                <w:sz w:val="20"/>
                <w:szCs w:val="20"/>
                <w:color w:val="auto"/>
              </w:rPr>
            </w:pPr>
            <w:r>
              <w:rPr>
                <w:rFonts w:ascii="Arial" w:cs="Arial" w:eastAsia="Arial" w:hAnsi="Arial"/>
                <w:sz w:val="16"/>
                <w:szCs w:val="16"/>
                <w:color w:val="auto"/>
              </w:rPr>
              <w:t>JANZ</w:t>
            </w: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1,011.7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1,052.2</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3%</w:t>
            </w:r>
          </w:p>
        </w:tc>
        <w:tc>
          <w:tcPr>
            <w:tcW w:w="136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1,645.1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3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40" w:type="dxa"/>
            <w:vAlign w:val="bottom"/>
          </w:tcPr>
          <w:p>
            <w:pPr>
              <w:ind w:left="220"/>
              <w:spacing w:after="0"/>
              <w:rPr>
                <w:sz w:val="20"/>
                <w:szCs w:val="20"/>
                <w:color w:val="auto"/>
              </w:rPr>
            </w:pPr>
            <w:r>
              <w:rPr>
                <w:rFonts w:ascii="Arial" w:cs="Arial" w:eastAsia="Arial" w:hAnsi="Arial"/>
                <w:sz w:val="16"/>
                <w:szCs w:val="16"/>
                <w:color w:val="auto"/>
              </w:rPr>
              <w:t>Brands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7,034.4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7,398.1</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(3)%</w:t>
            </w:r>
          </w:p>
        </w:tc>
        <w:tc>
          <w:tcPr>
            <w:tcW w:w="1360" w:type="dxa"/>
            <w:vAlign w:val="bottom"/>
            <w:gridSpan w:val="2"/>
          </w:tcPr>
          <w:p>
            <w:pPr>
              <w:jc w:val="center"/>
              <w:ind w:lef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Generics </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4,143.0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4,164.4</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Profit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4,408.6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4,842.1</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(9)%</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U.S. GAAP Gross Margin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39.3 %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41.8 %</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6,551.6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6,916.5</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59.7 %</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vMerge w:val="restart"/>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U.S. GAAP Net (Loss) Earnings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(117.7)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820.3</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NM</w:t>
            </w:r>
          </w:p>
        </w:tc>
        <w:tc>
          <w:tcPr>
            <w:tcW w:w="100" w:type="dxa"/>
            <w:vAlign w:val="bottom"/>
            <w:vMerge w:val="continue"/>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(Loss) Earnings Per Share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0.68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2,536.8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2,791.1</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(9)%</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2.32</w:t>
            </w:r>
          </w:p>
        </w:tc>
        <w:tc>
          <w:tcPr>
            <w:tcW w:w="10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2,480.1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3,586.2</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3,685.9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4,006.7</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U.S. GAAP Net Cash Provided by Operating Activities </w:t>
            </w:r>
            <w:r>
              <w:rPr>
                <w:rFonts w:ascii="Arial" w:cs="Arial" w:eastAsia="Arial" w:hAnsi="Arial"/>
                <w:sz w:val="21"/>
                <w:szCs w:val="21"/>
                <w:color w:val="auto"/>
                <w:vertAlign w:val="superscript"/>
              </w:rPr>
              <w:t>(5)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1,820.2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2,331.5</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185.6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211.5</w:t>
            </w: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(2)(5)(6)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1,634.6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2,120.0</w:t>
            </w:r>
          </w:p>
        </w:tc>
        <w:tc>
          <w:tcPr>
            <w:tcW w:w="1020" w:type="dxa"/>
            <w:vAlign w:val="bottom"/>
            <w:gridSpan w:val="2"/>
          </w:tcPr>
          <w:p>
            <w:pPr>
              <w:jc w:val="center"/>
              <w:ind w:left="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660" w:right="20" w:hanging="328"/>
        <w:spacing w:after="0" w:line="300" w:lineRule="auto"/>
        <w:tabs>
          <w:tab w:leader="none" w:pos="593"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operational change for net sales, adjusted EBITDA, and adjusted EPS which excludes the impacts of foreign currency translation. See “Certain Key Terms and Presentation Matters” in this release for more information.</w:t>
      </w:r>
    </w:p>
    <w:p>
      <w:pPr>
        <w:ind w:left="540" w:hanging="208"/>
        <w:spacing w:after="0"/>
        <w:tabs>
          <w:tab w:leader="none" w:pos="5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3" w:lineRule="exact"/>
        <w:rPr>
          <w:rFonts w:ascii="Arial" w:cs="Arial" w:eastAsia="Arial" w:hAnsi="Arial"/>
          <w:sz w:val="19"/>
          <w:szCs w:val="19"/>
          <w:color w:val="auto"/>
          <w:vertAlign w:val="superscript"/>
        </w:rPr>
      </w:pPr>
    </w:p>
    <w:p>
      <w:pPr>
        <w:ind w:left="660" w:hanging="328"/>
        <w:spacing w:after="0" w:line="222" w:lineRule="auto"/>
        <w:tabs>
          <w:tab w:leader="none" w:pos="581"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adjustments for the impact of proportionate results from the divestitures that closed in 2023 and 2024, from the 2023 period on an operational basis. See “Certain Key Terms and Presentation Matters” in this release for more information.</w:t>
      </w:r>
    </w:p>
    <w:p>
      <w:pPr>
        <w:spacing w:after="0" w:line="26" w:lineRule="exact"/>
        <w:rPr>
          <w:rFonts w:ascii="Arial" w:cs="Arial" w:eastAsia="Arial" w:hAnsi="Arial"/>
          <w:sz w:val="19"/>
          <w:szCs w:val="19"/>
          <w:color w:val="auto"/>
          <w:vertAlign w:val="superscript"/>
        </w:rPr>
      </w:pPr>
    </w:p>
    <w:p>
      <w:pPr>
        <w:ind w:left="660" w:hanging="328"/>
        <w:spacing w:after="0" w:line="300" w:lineRule="auto"/>
        <w:tabs>
          <w:tab w:leader="none" w:pos="594" w:val="left"/>
        </w:tabs>
        <w:numPr>
          <w:ilvl w:val="0"/>
          <w:numId w:val="6"/>
        </w:numPr>
        <w:rPr>
          <w:rFonts w:ascii="Arial" w:cs="Arial" w:eastAsia="Arial" w:hAnsi="Arial"/>
          <w:sz w:val="9"/>
          <w:szCs w:val="9"/>
          <w:color w:val="auto"/>
        </w:rPr>
      </w:pPr>
      <w:r>
        <w:rPr>
          <w:rFonts w:ascii="Arial" w:cs="Arial" w:eastAsia="Arial" w:hAnsi="Arial"/>
          <w:sz w:val="14"/>
          <w:szCs w:val="14"/>
          <w:i w:val="1"/>
          <w:iCs w:val="1"/>
          <w:color w:val="auto"/>
        </w:rPr>
        <w:t>Complex Gx</w:t>
      </w:r>
      <w:r>
        <w:rPr>
          <w:rFonts w:ascii="Arial" w:cs="Arial" w:eastAsia="Arial" w:hAnsi="Arial"/>
          <w:sz w:val="14"/>
          <w:szCs w:val="14"/>
          <w:color w:val="auto"/>
        </w:rPr>
        <w:t>, which was previously presented as a separate line item in the prior year period, is now included within</w:t>
      </w:r>
      <w:r>
        <w:rPr>
          <w:rFonts w:ascii="Arial" w:cs="Arial" w:eastAsia="Arial" w:hAnsi="Arial"/>
          <w:sz w:val="14"/>
          <w:szCs w:val="14"/>
          <w:i w:val="1"/>
          <w:iCs w:val="1"/>
          <w:color w:val="auto"/>
        </w:rPr>
        <w:t xml:space="preserve"> Generics</w:t>
      </w:r>
      <w:r>
        <w:rPr>
          <w:rFonts w:ascii="Arial" w:cs="Arial" w:eastAsia="Arial" w:hAnsi="Arial"/>
          <w:sz w:val="14"/>
          <w:szCs w:val="14"/>
          <w:color w:val="auto"/>
        </w:rPr>
        <w:t>. Reclassifications were made to prior</w:t>
      </w:r>
      <w:r>
        <w:rPr>
          <w:rFonts w:ascii="Arial" w:cs="Arial" w:eastAsia="Arial" w:hAnsi="Arial"/>
          <w:sz w:val="14"/>
          <w:szCs w:val="14"/>
          <w:i w:val="1"/>
          <w:iCs w:val="1"/>
          <w:color w:val="auto"/>
        </w:rPr>
        <w:t xml:space="preserve"> </w:t>
      </w:r>
      <w:r>
        <w:rPr>
          <w:rFonts w:ascii="Arial" w:cs="Arial" w:eastAsia="Arial" w:hAnsi="Arial"/>
          <w:sz w:val="14"/>
          <w:szCs w:val="14"/>
          <w:color w:val="auto"/>
        </w:rPr>
        <w:t>periods to conform to the current period presentation.</w:t>
      </w:r>
    </w:p>
    <w:p>
      <w:pPr>
        <w:spacing w:after="0" w:line="2" w:lineRule="exact"/>
        <w:rPr>
          <w:rFonts w:ascii="Arial" w:cs="Arial" w:eastAsia="Arial" w:hAnsi="Arial"/>
          <w:sz w:val="9"/>
          <w:szCs w:val="9"/>
          <w:color w:val="auto"/>
        </w:rPr>
      </w:pPr>
    </w:p>
    <w:p>
      <w:pPr>
        <w:jc w:val="both"/>
        <w:ind w:left="660" w:hanging="328"/>
        <w:spacing w:after="0" w:line="245" w:lineRule="auto"/>
        <w:tabs>
          <w:tab w:leader="none" w:pos="7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Beginning in 2024, upfront and milestone payments related to externally developed IPR&amp;D projects acquired directly in a transaction other than a business combination, which were previously included in cash flows from operating activities in the condensed consolidated statements of cash flows, are now classified as cash flows from investing activities. Certain reclassifications were made to conform the prior period condensed consolidated financial statements to the current period presentation. The adjustments resulted in an increase to net cash provided by operating activities, free cash flow, and net cash used in investing activities of $11 million for the nine months ended September 30, 2023.</w:t>
      </w:r>
    </w:p>
    <w:p>
      <w:pPr>
        <w:spacing w:after="0" w:line="37" w:lineRule="exact"/>
        <w:rPr>
          <w:rFonts w:ascii="Arial" w:cs="Arial" w:eastAsia="Arial" w:hAnsi="Arial"/>
          <w:sz w:val="19"/>
          <w:szCs w:val="19"/>
          <w:color w:val="auto"/>
          <w:vertAlign w:val="superscript"/>
        </w:rPr>
      </w:pPr>
    </w:p>
    <w:p>
      <w:pPr>
        <w:jc w:val="both"/>
        <w:ind w:left="660" w:hanging="328"/>
        <w:spacing w:after="0" w:line="234" w:lineRule="auto"/>
        <w:tabs>
          <w:tab w:leader="none" w:pos="67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 costs primarily related to the divestitures of $306 million, free cash flow for the nine months ended September 30, 2024, was $1.9 billion. Excluding the impact of transaction costs primarily related to the divestitures and the eye care acquisitions of $79 million, free cash flow for the nine months ended September 30, 2023, was $2.2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5"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4C16AE"/>
        </w:rPr>
        <w:t>Financial Highlights</w:t>
      </w:r>
    </w:p>
    <w:p>
      <w:pPr>
        <w:spacing w:after="0" w:line="200" w:lineRule="exact"/>
        <w:rPr>
          <w:sz w:val="20"/>
          <w:szCs w:val="20"/>
          <w:color w:val="auto"/>
        </w:rPr>
      </w:pPr>
    </w:p>
    <w:p>
      <w:pPr>
        <w:spacing w:after="0" w:line="301" w:lineRule="exact"/>
        <w:rPr>
          <w:sz w:val="20"/>
          <w:szCs w:val="20"/>
          <w:color w:val="auto"/>
        </w:rPr>
      </w:pPr>
    </w:p>
    <w:p>
      <w:pPr>
        <w:ind w:left="340" w:right="300" w:hanging="332"/>
        <w:spacing w:after="0" w:line="247"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0"/>
          <w:szCs w:val="20"/>
          <w:color w:val="auto"/>
        </w:rPr>
        <w:t>Third quarter 2024 total net sales were $3.7 billion, up ~3% on a divestiture-adjusted operational basis compared to third-quarter 2023 results, with divestiture-adjusted operational net sales growth across all segments.</w:t>
      </w:r>
    </w:p>
    <w:p>
      <w:pPr>
        <w:spacing w:after="0" w:line="245" w:lineRule="exact"/>
        <w:rPr>
          <w:rFonts w:ascii="Arial" w:cs="Arial" w:eastAsia="Arial" w:hAnsi="Arial"/>
          <w:sz w:val="22"/>
          <w:szCs w:val="22"/>
          <w:color w:val="auto"/>
        </w:rPr>
      </w:pPr>
    </w:p>
    <w:p>
      <w:pPr>
        <w:ind w:left="340" w:right="320" w:hanging="332"/>
        <w:spacing w:after="0" w:line="250"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0"/>
          <w:szCs w:val="20"/>
          <w:color w:val="auto"/>
        </w:rPr>
        <w:t>Brands net sales reflect the expansion of the Company's portfolio in Emerging Markets and JANZ, and strong growth in Europe and Greater China. This was partially offset by unfavorable channel dynamics in North America and the impact of government price regulations in Japan and Australia.</w:t>
      </w:r>
    </w:p>
    <w:p>
      <w:pPr>
        <w:spacing w:after="0" w:line="242" w:lineRule="exact"/>
        <w:rPr>
          <w:rFonts w:ascii="Arial" w:cs="Arial" w:eastAsia="Arial" w:hAnsi="Arial"/>
          <w:sz w:val="22"/>
          <w:szCs w:val="22"/>
          <w:color w:val="auto"/>
        </w:rPr>
      </w:pPr>
    </w:p>
    <w:p>
      <w:pPr>
        <w:ind w:left="340" w:right="620" w:hanging="332"/>
        <w:spacing w:after="0" w:line="247"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0"/>
          <w:szCs w:val="20"/>
          <w:color w:val="auto"/>
        </w:rPr>
        <w:t>Generics net sales reflect strong growth from new product performance in Developed Markets, continued growth from complex products, and solid performance across our broader European portfolio.</w:t>
      </w:r>
    </w:p>
    <w:p>
      <w:pPr>
        <w:spacing w:after="0" w:line="245" w:lineRule="exact"/>
        <w:rPr>
          <w:rFonts w:ascii="Arial" w:cs="Arial" w:eastAsia="Arial" w:hAnsi="Arial"/>
          <w:sz w:val="22"/>
          <w:szCs w:val="22"/>
          <w:color w:val="auto"/>
        </w:rPr>
      </w:pPr>
    </w:p>
    <w:p>
      <w:pPr>
        <w:ind w:left="340" w:right="280" w:hanging="332"/>
        <w:spacing w:after="0" w:line="250"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0"/>
          <w:szCs w:val="20"/>
          <w:color w:val="auto"/>
        </w:rPr>
        <w:t>The Company generated approximately $133 million in new product revenues in the quarter primarily driven by Breyna™, lisdexamfetamine, and other new products globally. The Company expects to deliver approximately $500 million to $600 million in new product revenues in 2024.</w:t>
      </w:r>
    </w:p>
    <w:p>
      <w:pPr>
        <w:spacing w:after="0" w:line="242" w:lineRule="exact"/>
        <w:rPr>
          <w:rFonts w:ascii="Arial" w:cs="Arial" w:eastAsia="Arial" w:hAnsi="Arial"/>
          <w:sz w:val="22"/>
          <w:szCs w:val="22"/>
          <w:color w:val="auto"/>
        </w:rPr>
      </w:pPr>
    </w:p>
    <w:p>
      <w:pPr>
        <w:ind w:left="340" w:right="640" w:hanging="332"/>
        <w:spacing w:after="0" w:line="250" w:lineRule="auto"/>
        <w:tabs>
          <w:tab w:leader="none" w:pos="335" w:val="left"/>
        </w:tabs>
        <w:numPr>
          <w:ilvl w:val="0"/>
          <w:numId w:val="7"/>
        </w:numPr>
        <w:rPr>
          <w:rFonts w:ascii="Arial" w:cs="Arial" w:eastAsia="Arial" w:hAnsi="Arial"/>
          <w:sz w:val="22"/>
          <w:szCs w:val="22"/>
          <w:i w:val="1"/>
          <w:iCs w:val="1"/>
          <w:color w:val="auto"/>
        </w:rPr>
      </w:pPr>
      <w:r>
        <w:rPr>
          <w:rFonts w:ascii="Arial" w:cs="Arial" w:eastAsia="Arial" w:hAnsi="Arial"/>
          <w:sz w:val="20"/>
          <w:szCs w:val="20"/>
          <w:color w:val="auto"/>
        </w:rPr>
        <w:t>U.S. GAAP net earnings were $95 million and adjusted EBITDA was $1.3 billion, up ~4% on a divestiture-adjusted operational basis. U.S. GAAP diluted EPS was $0.08 per share and adjusted EPS was $0.75 per share, up ~6% on a divestiture-adjusted operational basis.</w:t>
      </w:r>
    </w:p>
    <w:p>
      <w:pPr>
        <w:spacing w:after="0" w:line="229" w:lineRule="exact"/>
        <w:rPr>
          <w:rFonts w:ascii="Arial" w:cs="Arial" w:eastAsia="Arial" w:hAnsi="Arial"/>
          <w:sz w:val="22"/>
          <w:szCs w:val="22"/>
          <w:i w:val="1"/>
          <w:iCs w:val="1"/>
          <w:color w:val="auto"/>
        </w:rPr>
      </w:pPr>
    </w:p>
    <w:p>
      <w:pPr>
        <w:ind w:left="340" w:hanging="332"/>
        <w:spacing w:after="0" w:line="256"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0"/>
          <w:szCs w:val="20"/>
          <w:color w:val="auto"/>
        </w:rPr>
        <w:t>This quarter’s results demonstrate the Company’s financial strength, as the Company generated U.S. GAAP net cash provided by operating activities of $827 million, and free cash flow, excluding the impact of transaction costs primarily related to the divestitures, of $866 million.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Additional Updates</w:t>
      </w:r>
    </w:p>
    <w:p>
      <w:pPr>
        <w:spacing w:after="0" w:line="200" w:lineRule="exact"/>
        <w:rPr>
          <w:sz w:val="20"/>
          <w:szCs w:val="20"/>
          <w:color w:val="auto"/>
        </w:rPr>
      </w:pPr>
    </w:p>
    <w:p>
      <w:pPr>
        <w:spacing w:after="0" w:line="288" w:lineRule="exact"/>
        <w:rPr>
          <w:sz w:val="20"/>
          <w:szCs w:val="20"/>
          <w:color w:val="auto"/>
        </w:rPr>
      </w:pPr>
    </w:p>
    <w:p>
      <w:pPr>
        <w:ind w:left="340" w:right="80" w:hanging="332"/>
        <w:spacing w:after="0" w:line="247"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0"/>
          <w:szCs w:val="20"/>
          <w:color w:val="auto"/>
        </w:rPr>
        <w:t>The Company retired all of its 2025 and more than a quarter of its 2026 debt maturities, totaling approximately $1.9 billion in debt, which includes the make-whole call of its 2025 notes that settled in October.</w:t>
      </w:r>
    </w:p>
    <w:p>
      <w:pPr>
        <w:spacing w:after="0" w:line="218" w:lineRule="exact"/>
        <w:rPr>
          <w:rFonts w:ascii="Arial" w:cs="Arial" w:eastAsia="Arial" w:hAnsi="Arial"/>
          <w:sz w:val="22"/>
          <w:szCs w:val="22"/>
          <w:color w:val="auto"/>
        </w:rPr>
      </w:pPr>
    </w:p>
    <w:p>
      <w:pPr>
        <w:ind w:left="340" w:right="40" w:hanging="332"/>
        <w:spacing w:after="0" w:line="241"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0"/>
          <w:szCs w:val="20"/>
          <w:color w:val="auto"/>
        </w:rPr>
        <w:t>In August, the Company presented a late-breaking oral presentation at the Asia-Pacific League of Associations for Rheumatology Annual Congress of one of its Phase 2 studies of cenerimod in Japanese patients. Data showed a clinically meaningful improvement in disease activity consistent with results from other global Phase 2 studies of cenerimod. The study also showed that cenerimod for the treatment of moderate to severe systemic lupus erythematosus can be considered safe and well tolerated.</w:t>
      </w:r>
    </w:p>
    <w:p>
      <w:pPr>
        <w:spacing w:after="0" w:line="226" w:lineRule="exact"/>
        <w:rPr>
          <w:rFonts w:ascii="Arial" w:cs="Arial" w:eastAsia="Arial" w:hAnsi="Arial"/>
          <w:sz w:val="22"/>
          <w:szCs w:val="22"/>
          <w:color w:val="auto"/>
        </w:rPr>
      </w:pPr>
    </w:p>
    <w:p>
      <w:pPr>
        <w:ind w:left="340" w:right="280" w:hanging="332"/>
        <w:spacing w:after="0" w:line="257" w:lineRule="auto"/>
        <w:tabs>
          <w:tab w:leader="none" w:pos="335" w:val="left"/>
        </w:tabs>
        <w:numPr>
          <w:ilvl w:val="0"/>
          <w:numId w:val="8"/>
        </w:numPr>
        <w:rPr>
          <w:rFonts w:ascii="Arial" w:cs="Arial" w:eastAsia="Arial" w:hAnsi="Arial"/>
          <w:sz w:val="21"/>
          <w:szCs w:val="21"/>
          <w:color w:val="auto"/>
        </w:rPr>
      </w:pPr>
      <w:r>
        <w:rPr>
          <w:rFonts w:ascii="Arial" w:cs="Arial" w:eastAsia="Arial" w:hAnsi="Arial"/>
          <w:sz w:val="19"/>
          <w:szCs w:val="19"/>
          <w:color w:val="auto"/>
        </w:rPr>
        <w:t>In October, the Company announced positive top-line results of its Phase 3 study evaluating the safety and efficacy of EFFEXOR® (venlafaxine) in Japanese adults with generalized anxiety disorder (GAD). Treatment with once-daily EFFEXOR® met primary and all secondary efficacy endpoints, and it was generally well tolerated with a profile consistent with its known safety profile in non-Japanese patients. There are currently no approved treatments available for GAD in Japan. The Company is targeting its submission to the Pharmaceuticals and Medical Devices Agency in 2025.</w:t>
      </w:r>
    </w:p>
    <w:p>
      <w:pPr>
        <w:spacing w:after="0" w:line="223" w:lineRule="exact"/>
        <w:rPr>
          <w:rFonts w:ascii="Arial" w:cs="Arial" w:eastAsia="Arial" w:hAnsi="Arial"/>
          <w:sz w:val="21"/>
          <w:szCs w:val="21"/>
          <w:color w:val="auto"/>
        </w:rPr>
      </w:pPr>
    </w:p>
    <w:p>
      <w:pPr>
        <w:ind w:left="340" w:right="860" w:hanging="332"/>
        <w:spacing w:after="0" w:line="247"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0"/>
          <w:szCs w:val="20"/>
          <w:color w:val="auto"/>
        </w:rPr>
        <w:t>In October, the Company announced it entered an exclusive licensing agreement with Lexicon Pharmaceuticals for sotagliflozin in all markets outside of the U.S. and Europe. This licensing</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101" w:right="359" w:bottom="1440" w:gutter="0" w:footer="0" w:header="0"/>
        </w:sectPr>
      </w:pPr>
    </w:p>
    <w:bookmarkStart w:id="9" w:name="page10"/>
    <w:bookmarkEnd w:id="9"/>
    <w:p>
      <w:pPr>
        <w:ind w:left="332"/>
        <w:spacing w:after="0" w:line="254" w:lineRule="auto"/>
        <w:rPr>
          <w:sz w:val="20"/>
          <w:szCs w:val="20"/>
          <w:color w:val="auto"/>
        </w:rPr>
      </w:pPr>
      <w:r>
        <w:rPr>
          <w:rFonts w:ascii="Arial" w:cs="Arial" w:eastAsia="Arial" w:hAnsi="Arial"/>
          <w:sz w:val="20"/>
          <w:szCs w:val="20"/>
          <w:color w:val="auto"/>
        </w:rPr>
        <w:t>agreement leverages Viatris' expertise in cardiovascular diseases and its Global Healthcare Gateway</w:t>
      </w:r>
      <w:r>
        <w:rPr>
          <w:rFonts w:ascii="Arial" w:cs="Arial" w:eastAsia="Arial" w:hAnsi="Arial"/>
          <w:sz w:val="11"/>
          <w:szCs w:val="11"/>
          <w:color w:val="auto"/>
        </w:rPr>
        <w:t>®</w:t>
      </w:r>
      <w:r>
        <w:rPr>
          <w:rFonts w:ascii="Arial" w:cs="Arial" w:eastAsia="Arial" w:hAnsi="Arial"/>
          <w:sz w:val="20"/>
          <w:szCs w:val="20"/>
          <w:color w:val="auto"/>
        </w:rPr>
        <w:t xml:space="preserve"> — which offers partners ready access to the Company's unique global infrastructure. Sotagliflozin was approved by the U.S. Food and Drug Administration in May 2023 to reduce the risk of cardiovascular death, hospitalization for heart failure, and urgent heart failure visit in adults with heart failure or type 2 diabetes mellitus, chronic kidney disease, and other cardiovascular risk factors.</w:t>
      </w:r>
    </w:p>
    <w:p>
      <w:pPr>
        <w:spacing w:after="0" w:line="241" w:lineRule="exact"/>
        <w:rPr>
          <w:sz w:val="20"/>
          <w:szCs w:val="20"/>
          <w:color w:val="auto"/>
        </w:rPr>
      </w:pPr>
    </w:p>
    <w:p>
      <w:pPr>
        <w:jc w:val="both"/>
        <w:ind w:left="332" w:right="300" w:hanging="332"/>
        <w:spacing w:after="0" w:line="250" w:lineRule="auto"/>
        <w:tabs>
          <w:tab w:leader="none" w:pos="327" w:val="left"/>
        </w:tabs>
        <w:numPr>
          <w:ilvl w:val="0"/>
          <w:numId w:val="9"/>
        </w:numPr>
        <w:rPr>
          <w:rFonts w:ascii="Arial" w:cs="Arial" w:eastAsia="Arial" w:hAnsi="Arial"/>
          <w:sz w:val="22"/>
          <w:szCs w:val="22"/>
          <w:color w:val="auto"/>
        </w:rPr>
      </w:pPr>
      <w:r>
        <w:rPr>
          <w:rFonts w:ascii="Arial" w:cs="Arial" w:eastAsia="Arial" w:hAnsi="Arial"/>
          <w:sz w:val="20"/>
          <w:szCs w:val="20"/>
          <w:color w:val="auto"/>
        </w:rPr>
        <w:t>In October, the Company was named to Forbes' list of World's Best Employers 2024. This is the fourth year in a row that Viatris has received this recognition. The World's Best Employers for 2024 were selected through an independent survey encompassing a vast sample of more than 300,000 participants across 50 different countries.</w:t>
      </w:r>
    </w:p>
    <w:p>
      <w:pPr>
        <w:spacing w:after="0" w:line="242" w:lineRule="exact"/>
        <w:rPr>
          <w:rFonts w:ascii="Arial" w:cs="Arial" w:eastAsia="Arial" w:hAnsi="Arial"/>
          <w:sz w:val="22"/>
          <w:szCs w:val="22"/>
          <w:color w:val="auto"/>
        </w:rPr>
      </w:pPr>
    </w:p>
    <w:p>
      <w:pPr>
        <w:ind w:left="332" w:right="660" w:hanging="332"/>
        <w:spacing w:after="0" w:line="250" w:lineRule="auto"/>
        <w:tabs>
          <w:tab w:leader="none" w:pos="327" w:val="left"/>
        </w:tabs>
        <w:numPr>
          <w:ilvl w:val="0"/>
          <w:numId w:val="9"/>
        </w:numPr>
        <w:rPr>
          <w:rFonts w:ascii="Arial" w:cs="Arial" w:eastAsia="Arial" w:hAnsi="Arial"/>
          <w:sz w:val="22"/>
          <w:szCs w:val="22"/>
          <w:color w:val="auto"/>
        </w:rPr>
      </w:pPr>
      <w:r>
        <w:rPr>
          <w:rFonts w:ascii="Arial" w:cs="Arial" w:eastAsia="Arial" w:hAnsi="Arial"/>
          <w:sz w:val="20"/>
          <w:szCs w:val="20"/>
          <w:color w:val="auto"/>
        </w:rPr>
        <w:t>In October, the Company was named to Forbes’ list of World’s Top Companies for Women 2024. The World’s Top Companies for Women 2024 were chosen among multi-national corporations that were evaluated in multiple globally administered independent surveys of approximately 100,000 women in 37 countries.</w:t>
      </w:r>
    </w:p>
    <w:p>
      <w:pPr>
        <w:spacing w:after="0" w:line="242" w:lineRule="exact"/>
        <w:rPr>
          <w:rFonts w:ascii="Arial" w:cs="Arial" w:eastAsia="Arial" w:hAnsi="Arial"/>
          <w:sz w:val="22"/>
          <w:szCs w:val="22"/>
          <w:color w:val="auto"/>
        </w:rPr>
      </w:pPr>
    </w:p>
    <w:p>
      <w:pPr>
        <w:ind w:left="332" w:right="340" w:hanging="332"/>
        <w:spacing w:after="0" w:line="250" w:lineRule="auto"/>
        <w:tabs>
          <w:tab w:leader="none" w:pos="327" w:val="left"/>
        </w:tabs>
        <w:numPr>
          <w:ilvl w:val="0"/>
          <w:numId w:val="9"/>
        </w:numPr>
        <w:rPr>
          <w:rFonts w:ascii="Arial" w:cs="Arial" w:eastAsia="Arial" w:hAnsi="Arial"/>
          <w:sz w:val="22"/>
          <w:szCs w:val="22"/>
          <w:color w:val="auto"/>
        </w:rPr>
      </w:pPr>
      <w:r>
        <w:rPr>
          <w:rFonts w:ascii="Arial" w:cs="Arial" w:eastAsia="Arial" w:hAnsi="Arial"/>
          <w:sz w:val="20"/>
          <w:szCs w:val="20"/>
          <w:color w:val="auto"/>
        </w:rPr>
        <w:t>In October, in recognition of ongoing and systematic work to further advance sustainable operations and responsible practices, as well as sustainability disclosures, the Company was upgraded in the annual MSCI ESG Rating and the ISS ESG Corporate Rating. For the latter, the Company further strengthened its Prime rating.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72"/>
          </w:cols>
          <w:pgMar w:left="328" w:top="887" w:right="39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4C16AE"/>
        </w:rPr>
        <w:t>Financial Guidance</w:t>
      </w:r>
    </w:p>
    <w:p>
      <w:pPr>
        <w:spacing w:after="0" w:line="231"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following table summarizes the Company's 2024 financial guidance as of November 7, 2024. The Company is not providing forward-looking guidance for U.S. GAAP net earnings (loss) or U.S. GAAP diluted earnings (loss) per share (EPS) or a quantitative reconciliation of its 2024 adjusted EBITDA or adjusted EPS guidance to the most directly comparable U.S. GAAP measures, U.S. GAAP net earnings (loss) or U.S. GAAP diluted EPS, respectively, because it is unable to predict with reasonable certainty the ultimate outcome of certain significant items, including integration, acquisition and divestiture-related expenses, restructuring expenses, asset impairments, litigation settlements, and other contingencies, such as changes to contingent consideration, acquired IPR&amp;D and certain other gains or losses, including for the fair value accounting for non-marketable equity investments,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With respect to the Estimated Ranges provided as of August 8, 2024, and November 7, 2024, U.S. GAAP net cash provided by operating activities for 2024 is estimated to be between $2.62 billion and $2.92 billion, with a midpoint of approximately $2.77 billion. With respect to the Estimated Ranges provided as of August 8, 2024, Viatris did not provide forward-looking guidance for U.S. GAAP net earnings or U.S. GAAP diluted EPS or a quantitative reconciliation of its 2024 adjusted EBITDA or adjusted EPS guidance. Please see "Non-GAAP Financial Measures" for additional information. The Company currently expects to be at the midpoint of the November 7, 2024, guidance ranges.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Adjusted</w:t>
            </w:r>
          </w:p>
        </w:tc>
        <w:tc>
          <w:tcPr>
            <w:tcW w:w="1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 xml:space="preserve">Estimated Ranges </w:t>
            </w:r>
            <w:r>
              <w:rPr>
                <w:rFonts w:ascii="Arial" w:cs="Arial" w:eastAsia="Arial" w:hAnsi="Arial"/>
                <w:sz w:val="18"/>
                <w:szCs w:val="18"/>
                <w:b w:val="1"/>
                <w:bCs w:val="1"/>
                <w:color w:val="auto"/>
                <w:vertAlign w:val="superscript"/>
              </w:rPr>
              <w:t>(2)</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 xml:space="preserve">Midpoint </w:t>
            </w:r>
            <w:r>
              <w:rPr>
                <w:rFonts w:ascii="Arial" w:cs="Arial" w:eastAsia="Arial" w:hAnsi="Arial"/>
                <w:sz w:val="18"/>
                <w:szCs w:val="18"/>
                <w:b w:val="1"/>
                <w:bCs w:val="1"/>
                <w:color w:val="auto"/>
                <w:w w:val="98"/>
                <w:vertAlign w:val="superscript"/>
              </w:rPr>
              <w:t>(2)</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Acquired IPR&amp;D</w:t>
            </w:r>
          </w:p>
        </w:tc>
        <w:tc>
          <w:tcPr>
            <w:tcW w:w="2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 xml:space="preserve">Estimated Ranges </w:t>
            </w:r>
            <w:r>
              <w:rPr>
                <w:rFonts w:ascii="Arial" w:cs="Arial" w:eastAsia="Arial" w:hAnsi="Arial"/>
                <w:sz w:val="18"/>
                <w:szCs w:val="18"/>
                <w:b w:val="1"/>
                <w:bCs w:val="1"/>
                <w:color w:val="auto"/>
                <w:vertAlign w:val="superscript"/>
              </w:rPr>
              <w:t>(4)</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 xml:space="preserve">Midpoint </w:t>
            </w:r>
            <w:r>
              <w:rPr>
                <w:rFonts w:ascii="Arial" w:cs="Arial" w:eastAsia="Arial" w:hAnsi="Arial"/>
                <w:sz w:val="18"/>
                <w:szCs w:val="18"/>
                <w:b w:val="1"/>
                <w:bCs w:val="1"/>
                <w:color w:val="auto"/>
                <w:w w:val="96"/>
                <w:vertAlign w:val="superscript"/>
              </w:rPr>
              <w:t>(4)</w:t>
            </w:r>
          </w:p>
        </w:tc>
        <w:tc>
          <w:tcPr>
            <w:tcW w:w="0" w:type="dxa"/>
            <w:vAlign w:val="bottom"/>
          </w:tcPr>
          <w:p>
            <w:pPr>
              <w:spacing w:after="0"/>
              <w:rPr>
                <w:sz w:val="1"/>
                <w:szCs w:val="1"/>
                <w:color w:val="auto"/>
              </w:rPr>
            </w:pPr>
          </w:p>
        </w:tc>
      </w:tr>
      <w:tr>
        <w:trPr>
          <w:trHeight w:val="108"/>
        </w:trPr>
        <w:tc>
          <w:tcPr>
            <w:tcW w:w="210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i w:val="1"/>
                <w:iCs w:val="1"/>
                <w:color w:val="auto"/>
              </w:rPr>
              <w:t>EPS)</w:t>
            </w:r>
          </w:p>
        </w:tc>
        <w:tc>
          <w:tcPr>
            <w:tcW w:w="19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August 8, 2024</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August 8, 2024</w:t>
            </w:r>
          </w:p>
        </w:tc>
        <w:tc>
          <w:tcPr>
            <w:tcW w:w="1160" w:type="dxa"/>
            <w:vAlign w:val="bottom"/>
          </w:tcPr>
          <w:p>
            <w:pPr>
              <w:jc w:val="center"/>
              <w:spacing w:after="0"/>
              <w:rPr>
                <w:sz w:val="20"/>
                <w:szCs w:val="20"/>
                <w:color w:val="auto"/>
              </w:rPr>
            </w:pPr>
            <w:r>
              <w:rPr>
                <w:rFonts w:ascii="Arial" w:cs="Arial" w:eastAsia="Arial" w:hAnsi="Arial"/>
                <w:sz w:val="9"/>
                <w:szCs w:val="9"/>
                <w:b w:val="1"/>
                <w:bCs w:val="1"/>
                <w:color w:val="auto"/>
              </w:rPr>
              <w:t>(3)</w:t>
            </w:r>
          </w:p>
        </w:tc>
        <w:tc>
          <w:tcPr>
            <w:tcW w:w="100" w:type="dxa"/>
            <w:vAlign w:val="bottom"/>
          </w:tcPr>
          <w:p>
            <w:pPr>
              <w:spacing w:after="0"/>
              <w:rPr>
                <w:sz w:val="9"/>
                <w:szCs w:val="9"/>
                <w:color w:val="auto"/>
              </w:rPr>
            </w:pPr>
          </w:p>
        </w:tc>
        <w:tc>
          <w:tcPr>
            <w:tcW w:w="20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7"/>
              </w:rPr>
              <w:t>November 7, 2024</w:t>
            </w:r>
          </w:p>
        </w:tc>
        <w:tc>
          <w:tcPr>
            <w:tcW w:w="1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November 7, 2024</w:t>
            </w:r>
          </w:p>
        </w:tc>
        <w:tc>
          <w:tcPr>
            <w:tcW w:w="0" w:type="dxa"/>
            <w:vAlign w:val="bottom"/>
          </w:tcPr>
          <w:p>
            <w:pPr>
              <w:spacing w:after="0"/>
              <w:rPr>
                <w:sz w:val="1"/>
                <w:szCs w:val="1"/>
                <w:color w:val="auto"/>
              </w:rPr>
            </w:pPr>
          </w:p>
        </w:tc>
      </w:tr>
      <w:tr>
        <w:trPr>
          <w:trHeight w:val="40"/>
        </w:trPr>
        <w:tc>
          <w:tcPr>
            <w:tcW w:w="2100" w:type="dxa"/>
            <w:vAlign w:val="bottom"/>
            <w:vMerge w:val="continue"/>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gridSpan w:val="3"/>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$14,600</w:t>
            </w:r>
          </w:p>
        </w:tc>
        <w:tc>
          <w:tcPr>
            <w:tcW w:w="1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$15,100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$14,850</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$14,600</w:t>
            </w: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$15,100</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$14,850</w:t>
            </w:r>
          </w:p>
        </w:tc>
        <w:tc>
          <w:tcPr>
            <w:tcW w:w="0" w:type="dxa"/>
            <w:vAlign w:val="bottom"/>
          </w:tcPr>
          <w:p>
            <w:pPr>
              <w:spacing w:after="0"/>
              <w:rPr>
                <w:sz w:val="1"/>
                <w:szCs w:val="1"/>
                <w:color w:val="auto"/>
              </w:rPr>
            </w:pPr>
          </w:p>
        </w:tc>
      </w:tr>
      <w:tr>
        <w:trPr>
          <w:trHeight w:val="216"/>
        </w:trPr>
        <w:tc>
          <w:tcPr>
            <w:tcW w:w="21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$4,600</w:t>
            </w:r>
          </w:p>
        </w:tc>
        <w:tc>
          <w:tcPr>
            <w:tcW w:w="1000" w:type="dxa"/>
            <w:vAlign w:val="bottom"/>
          </w:tcPr>
          <w:p>
            <w:pPr>
              <w:ind w:left="40"/>
              <w:spacing w:after="0"/>
              <w:rPr>
                <w:sz w:val="20"/>
                <w:szCs w:val="20"/>
                <w:color w:val="auto"/>
              </w:rPr>
            </w:pPr>
            <w:r>
              <w:rPr>
                <w:rFonts w:ascii="Arial" w:cs="Arial" w:eastAsia="Arial" w:hAnsi="Arial"/>
                <w:sz w:val="16"/>
                <w:szCs w:val="16"/>
                <w:color w:val="auto"/>
              </w:rPr>
              <w:t>- $4,870</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$4,735</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$4,575</w:t>
            </w:r>
          </w:p>
        </w:tc>
        <w:tc>
          <w:tcPr>
            <w:tcW w:w="980" w:type="dxa"/>
            <w:vAlign w:val="bottom"/>
          </w:tcPr>
          <w:p>
            <w:pPr>
              <w:ind w:left="20"/>
              <w:spacing w:after="0"/>
              <w:rPr>
                <w:sz w:val="20"/>
                <w:szCs w:val="20"/>
                <w:color w:val="auto"/>
              </w:rPr>
            </w:pPr>
            <w:r>
              <w:rPr>
                <w:rFonts w:ascii="Arial" w:cs="Arial" w:eastAsia="Arial" w:hAnsi="Arial"/>
                <w:sz w:val="16"/>
                <w:szCs w:val="16"/>
                <w:color w:val="auto"/>
              </w:rPr>
              <w:t>- $4,845</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rPr>
              <w:t>$4,710</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1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$2,570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$2,370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$2,570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$2,370</w:t>
            </w:r>
          </w:p>
        </w:tc>
        <w:tc>
          <w:tcPr>
            <w:tcW w:w="0" w:type="dxa"/>
            <w:vAlign w:val="bottom"/>
          </w:tcPr>
          <w:p>
            <w:pPr>
              <w:spacing w:after="0"/>
              <w:rPr>
                <w:sz w:val="1"/>
                <w:szCs w:val="1"/>
                <w:color w:val="auto"/>
              </w:rPr>
            </w:pPr>
          </w:p>
        </w:tc>
      </w:tr>
      <w:tr>
        <w:trPr>
          <w:trHeight w:val="285"/>
        </w:trPr>
        <w:tc>
          <w:tcPr>
            <w:tcW w:w="2100" w:type="dxa"/>
            <w:vAlign w:val="bottom"/>
          </w:tcPr>
          <w:p>
            <w:pPr>
              <w:ind w:left="20"/>
              <w:spacing w:after="0"/>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$2.58</w:t>
            </w:r>
          </w:p>
        </w:tc>
        <w:tc>
          <w:tcPr>
            <w:tcW w:w="1000" w:type="dxa"/>
            <w:vAlign w:val="bottom"/>
          </w:tcPr>
          <w:p>
            <w:pPr>
              <w:ind w:left="40"/>
              <w:spacing w:after="0"/>
              <w:rPr>
                <w:sz w:val="20"/>
                <w:szCs w:val="20"/>
                <w:color w:val="auto"/>
              </w:rPr>
            </w:pPr>
            <w:r>
              <w:rPr>
                <w:rFonts w:ascii="Arial" w:cs="Arial" w:eastAsia="Arial" w:hAnsi="Arial"/>
                <w:sz w:val="16"/>
                <w:szCs w:val="16"/>
                <w:color w:val="auto"/>
              </w:rPr>
              <w:t>- $2.73</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$2.66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$2.56</w:t>
            </w:r>
          </w:p>
        </w:tc>
        <w:tc>
          <w:tcPr>
            <w:tcW w:w="980" w:type="dxa"/>
            <w:vAlign w:val="bottom"/>
          </w:tcPr>
          <w:p>
            <w:pPr>
              <w:ind w:left="20"/>
              <w:spacing w:after="0"/>
              <w:rPr>
                <w:sz w:val="20"/>
                <w:szCs w:val="20"/>
                <w:color w:val="auto"/>
              </w:rPr>
            </w:pPr>
            <w:r>
              <w:rPr>
                <w:rFonts w:ascii="Arial" w:cs="Arial" w:eastAsia="Arial" w:hAnsi="Arial"/>
                <w:sz w:val="16"/>
                <w:szCs w:val="16"/>
                <w:color w:val="auto"/>
              </w:rPr>
              <w:t>- $2.71</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$2.64</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540" w:hanging="208"/>
        <w:spacing w:after="0"/>
        <w:tabs>
          <w:tab w:leader="none" w:pos="54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3" w:lineRule="exact"/>
        <w:rPr>
          <w:rFonts w:ascii="Arial" w:cs="Arial" w:eastAsia="Arial" w:hAnsi="Arial"/>
          <w:sz w:val="19"/>
          <w:szCs w:val="19"/>
          <w:color w:val="auto"/>
          <w:vertAlign w:val="superscript"/>
        </w:rPr>
      </w:pPr>
    </w:p>
    <w:p>
      <w:pPr>
        <w:ind w:left="660" w:hanging="328"/>
        <w:spacing w:after="0" w:line="213" w:lineRule="auto"/>
        <w:tabs>
          <w:tab w:leader="none" w:pos="627"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2024 Financial Guidance as provided as of August 8, 2024, excluded the impact of any divestiture-related taxes and transaction costs as well as any acquired IPR&amp;D to be incurred in any future period as it could not be reasonably forecasted.</w:t>
      </w:r>
    </w:p>
    <w:p>
      <w:pPr>
        <w:spacing w:after="0" w:line="12" w:lineRule="exact"/>
        <w:rPr>
          <w:rFonts w:ascii="Arial" w:cs="Arial" w:eastAsia="Arial" w:hAnsi="Arial"/>
          <w:sz w:val="19"/>
          <w:szCs w:val="19"/>
          <w:color w:val="auto"/>
          <w:vertAlign w:val="superscript"/>
        </w:rPr>
      </w:pPr>
    </w:p>
    <w:p>
      <w:pPr>
        <w:ind w:left="600" w:hanging="268"/>
        <w:spacing w:after="0"/>
        <w:tabs>
          <w:tab w:leader="none" w:pos="60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Acquired IPR&amp;D impact related to sotagliflozin licensing agreement entered into in October 2024.</w:t>
      </w:r>
    </w:p>
    <w:p>
      <w:pPr>
        <w:spacing w:after="0" w:line="53" w:lineRule="exact"/>
        <w:rPr>
          <w:rFonts w:ascii="Arial" w:cs="Arial" w:eastAsia="Arial" w:hAnsi="Arial"/>
          <w:sz w:val="19"/>
          <w:szCs w:val="19"/>
          <w:color w:val="auto"/>
          <w:vertAlign w:val="superscript"/>
        </w:rPr>
      </w:pPr>
    </w:p>
    <w:p>
      <w:pPr>
        <w:ind w:left="660" w:hanging="328"/>
        <w:spacing w:after="0" w:line="222" w:lineRule="auto"/>
        <w:tabs>
          <w:tab w:leader="none" w:pos="567"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2024 Financial Guidance as provided as of November 7, 2024, excludes the impact of any divestiture-related taxes and transaction costs. Also excludes any acquired IPR&amp;D for unsigned deals to be incurred in any future period as it cannot be reasonably forecasted.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Conference Call and Earnings Materials</w:t>
      </w:r>
    </w:p>
    <w:p>
      <w:pPr>
        <w:spacing w:after="0" w:line="218" w:lineRule="exact"/>
        <w:rPr>
          <w:sz w:val="20"/>
          <w:szCs w:val="20"/>
          <w:color w:val="auto"/>
        </w:rPr>
      </w:pPr>
    </w:p>
    <w:p>
      <w:pPr>
        <w:ind w:right="220"/>
        <w:spacing w:after="0" w:line="286" w:lineRule="auto"/>
        <w:rPr>
          <w:sz w:val="20"/>
          <w:szCs w:val="20"/>
          <w:color w:val="auto"/>
        </w:rPr>
      </w:pPr>
      <w:r>
        <w:rPr>
          <w:rFonts w:ascii="Arial" w:cs="Arial" w:eastAsia="Arial" w:hAnsi="Arial"/>
          <w:sz w:val="20"/>
          <w:szCs w:val="20"/>
          <w:color w:val="auto"/>
        </w:rPr>
        <w:t>Viatris will host a conference call and live webcast, today at 8:30 a.m. ET, to review the Company's third quarter 2024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Investors and the general public are invited to listen to a live webcast of the call at investor.viatris.com or by calling</w:t>
      </w:r>
    </w:p>
    <w:p>
      <w:pPr>
        <w:spacing w:after="0" w:line="31" w:lineRule="exact"/>
        <w:rPr>
          <w:sz w:val="20"/>
          <w:szCs w:val="20"/>
          <w:color w:val="auto"/>
        </w:rPr>
      </w:pPr>
    </w:p>
    <w:p>
      <w:pPr>
        <w:ind w:right="260"/>
        <w:spacing w:after="0" w:line="293" w:lineRule="auto"/>
        <w:rPr>
          <w:sz w:val="20"/>
          <w:szCs w:val="20"/>
          <w:color w:val="auto"/>
        </w:rPr>
      </w:pPr>
      <w:r>
        <w:rPr>
          <w:rFonts w:ascii="Arial" w:cs="Arial" w:eastAsia="Arial" w:hAnsi="Arial"/>
          <w:sz w:val="19"/>
          <w:szCs w:val="19"/>
          <w:color w:val="auto"/>
        </w:rPr>
        <w:t>844.308.3344 or 412.317.1896 for international callers. The “Viatris Q3 2024 Earnings Presentation,” which will be referenced during the call, can be found at investor.viatris.com. A replay of the webcast also will be available on the website.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01"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4C16AE"/>
        </w:rPr>
        <w:t>About Viatris</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are headquartered in the U.S., with global centers in Pittsburgh, Shanghai and Hyderabad, India. Learn more at viatris.com and investor.viatris.com, and connect with us on LinkedIn, Instagram, YouTube and X (formerly Twitter).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Non-GAAP Financial Measures</w:t>
      </w:r>
    </w:p>
    <w:p>
      <w:pPr>
        <w:spacing w:after="0" w:line="23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adjusted EPS, EBITDA, adjusted EBITDA, free cash flow, free cash flow excluding the impact of transaction costs primarily related to the divestitures, adjusted R&amp;D and as a % of total revenues, adjusted SG&amp;A and as a % of total revenues, adjusted earnings from operations, adjusted interest expense, adjusted other income, net, adjusted effective tax rate, constant currency total revenues, constant currency net sales, constant currency adjusted EBITDA, constant currency adjusted EPS, and divestiture-adjusted operational change,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divestitures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adjusted EBITDA, and adjusted EPS. These measures provide information on the change in total revenues, net sales, adjusted EBITDA, and adjusted EPS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adjusted EBITDA, and adjusted EPS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Divestiture-adjusted operational change refers to operational change, further adjusted for the impact of divestitures that have closed during 2023 and 2024 by excluding proportionate net sales from those divested businesses from comparable prior periods. The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1" w:right="339" w:bottom="1440" w:gutter="0" w:footer="0" w:header="0"/>
        </w:sectPr>
      </w:pPr>
    </w:p>
    <w:bookmarkStart w:id="12" w:name="page13"/>
    <w:bookmarkEnd w:id="12"/>
    <w:p>
      <w:pPr>
        <w:spacing w:after="0" w:line="234" w:lineRule="auto"/>
        <w:rPr>
          <w:sz w:val="20"/>
          <w:szCs w:val="20"/>
          <w:color w:val="auto"/>
        </w:rPr>
      </w:pPr>
      <w:r>
        <w:rPr>
          <w:rFonts w:ascii="Arial" w:cs="Arial" w:eastAsia="Arial" w:hAnsi="Arial"/>
          <w:sz w:val="20"/>
          <w:szCs w:val="20"/>
          <w:color w:val="auto"/>
        </w:rPr>
        <w:t>"Summary of Total Revenues by Segment" table below compares net sales on an actual and constant currency basis for each reportable segment for the quarters and nine months ended September 30, 2024 and 2023 as well as for total revenues, as well as divestiture adjusted operational change in net sales and total revenues.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months ended September 30, 2024.</w:t>
      </w:r>
    </w:p>
    <w:p>
      <w:pPr>
        <w:spacing w:after="0" w:line="220"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With respect to the Estimated Ranges as provided as of August 8, 2024, at that time the Company did not provide forward-looking guidance for U.S. GAAP net earnings (loss) or U.S. GAAP diluted EPS or a quantitative reconciliation of its 2024 adjusted EBITDA or adjusted EPS guidance to the most directly comparable U.S. GAAP measures, U.S. GAAP net earnings (loss) or U.S. GAAP diluted EPS, respectively, because it was unable to predict with reasonable certainty the ultimate outcome of certain significant items, including integration, acquisition and divestiture-related expenses, restructuring expenses, asset impairments, litigation settlements and other contingencies, such as changes to contingent consideration, acquired IPR&amp;D and certain other gains or losses, including for the fair value accounting for non-marketable equity investments, as well as related income tax accounting, because certain of these items had not occurred, were out of the Company’s control and/or could be reasonably predicted without unreasonable effort. These items were uncertain, depended on various factors, and could have had a material impact on U.S. GAAP reported results for the guidance period. As previously disclosed, such guidance ranges</w:t>
      </w:r>
    </w:p>
    <w:p>
      <w:pPr>
        <w:spacing w:after="0" w:line="9" w:lineRule="exact"/>
        <w:rPr>
          <w:sz w:val="20"/>
          <w:szCs w:val="20"/>
          <w:color w:val="auto"/>
        </w:rPr>
      </w:pPr>
    </w:p>
    <w:p>
      <w:pPr>
        <w:jc w:val="both"/>
        <w:ind w:right="520"/>
        <w:spacing w:after="0" w:line="271" w:lineRule="auto"/>
        <w:rPr>
          <w:sz w:val="20"/>
          <w:szCs w:val="20"/>
          <w:color w:val="auto"/>
        </w:rPr>
      </w:pPr>
      <w:r>
        <w:rPr>
          <w:rFonts w:ascii="Arial" w:cs="Arial" w:eastAsia="Arial" w:hAnsi="Arial"/>
          <w:sz w:val="20"/>
          <w:szCs w:val="20"/>
          <w:color w:val="auto"/>
        </w:rPr>
        <w:t>excluded any divestiture-related taxes and transaction costs as well as any unknown acquired IPR&amp;D to be incurred in any future period as it could not be reasonably forecasted.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Certain Key Terms and Presentation Matters</w:t>
      </w:r>
    </w:p>
    <w:p>
      <w:pPr>
        <w:spacing w:after="0" w:line="218"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u w:val="single" w:color="auto"/>
          <w:color w:val="auto"/>
        </w:rPr>
        <w:t>New product sales, new product launches or new product revenues:</w:t>
      </w:r>
      <w:r>
        <w:rPr>
          <w:rFonts w:ascii="Arial" w:cs="Arial" w:eastAsia="Arial" w:hAnsi="Arial"/>
          <w:sz w:val="20"/>
          <w:szCs w:val="20"/>
          <w:color w:val="auto"/>
        </w:rPr>
        <w:t xml:space="preserve"> Refers to revenue from new products launched in 2024 and the carryover impact of new products, including business development, launched within the last 12 months.</w:t>
      </w:r>
    </w:p>
    <w:p>
      <w:pPr>
        <w:spacing w:after="0" w:line="154" w:lineRule="exact"/>
        <w:rPr>
          <w:sz w:val="20"/>
          <w:szCs w:val="20"/>
          <w:color w:val="auto"/>
        </w:rPr>
      </w:pPr>
    </w:p>
    <w:p>
      <w:pPr>
        <w:jc w:val="both"/>
        <w:ind w:right="500"/>
        <w:spacing w:after="0" w:line="282" w:lineRule="auto"/>
        <w:rPr>
          <w:sz w:val="20"/>
          <w:szCs w:val="20"/>
          <w:color w:val="auto"/>
        </w:rPr>
      </w:pPr>
      <w:r>
        <w:rPr>
          <w:rFonts w:ascii="Arial" w:cs="Arial" w:eastAsia="Arial" w:hAnsi="Arial"/>
          <w:sz w:val="19"/>
          <w:szCs w:val="19"/>
          <w:u w:val="single" w:color="auto"/>
          <w:color w:val="auto"/>
        </w:rPr>
        <w:t>Operational change:</w:t>
      </w:r>
      <w:r>
        <w:rPr>
          <w:rFonts w:ascii="Arial" w:cs="Arial" w:eastAsia="Arial" w:hAnsi="Arial"/>
          <w:sz w:val="19"/>
          <w:szCs w:val="19"/>
          <w:color w:val="auto"/>
        </w:rPr>
        <w:t xml:space="preserve"> Refers to constant currency percentage changes and is derived by translating amounts for the current period at prior year comparative period exchange rates, and in doing so shows the percentage change from 2024 constant currency net sales, revenues, adjusted EBITDA, and adjusted EPS to the corresponding amount in the prior year.</w:t>
      </w:r>
    </w:p>
    <w:p>
      <w:pPr>
        <w:spacing w:after="0" w:line="175"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u w:val="single" w:color="auto"/>
          <w:color w:val="auto"/>
        </w:rPr>
        <w:t>Divestiture-adjusted operational change:</w:t>
      </w:r>
      <w:r>
        <w:rPr>
          <w:rFonts w:ascii="Arial" w:cs="Arial" w:eastAsia="Arial" w:hAnsi="Arial"/>
          <w:sz w:val="20"/>
          <w:szCs w:val="20"/>
          <w:color w:val="auto"/>
        </w:rPr>
        <w:t xml:space="preserve"> Refers to operational changes, further adjusted for the impact of the proportionate results from the divestitures that closed in 2023 and 2024, from the 2023 period by excluding such net sales from those divested businesses from comparable prior periods. Also, for adjusted EBITDA and adjusted EPS, refers to operational changes, adjusted as outlined in the previous sentence and further adjusted for the mark up for the TSA services provided to Biocon Biologics from the 2023 period.</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u w:val="single" w:color="auto"/>
          <w:color w:val="auto"/>
        </w:rPr>
        <w:t>SG&amp;A and R&amp;D TSA reimbursement and DSA reimbursement:</w:t>
      </w:r>
      <w:r>
        <w:rPr>
          <w:rFonts w:ascii="Arial" w:cs="Arial" w:eastAsia="Arial" w:hAnsi="Arial"/>
          <w:sz w:val="20"/>
          <w:szCs w:val="20"/>
          <w:color w:val="auto"/>
        </w:rPr>
        <w:t xml:space="preserve"> Expenses related to TSA services provided for divested businesses are recorded in their respective functional line item; however, reimbursement of those expenses plus any mark-up is included in other income, net. For comparability purposes, amounts related to the cost reimbursement were reclassified to adjusted SG&amp;A and adjusted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87" w:right="339" w:bottom="1440" w:gutter="0" w:footer="0" w:header="0"/>
        </w:sectPr>
      </w:pPr>
    </w:p>
    <w:bookmarkStart w:id="13" w:name="page14"/>
    <w:bookmarkEnd w:id="13"/>
    <w:p>
      <w:pPr>
        <w:jc w:val="both"/>
        <w:ind w:right="20"/>
        <w:spacing w:after="0" w:line="262" w:lineRule="auto"/>
        <w:rPr>
          <w:sz w:val="20"/>
          <w:szCs w:val="20"/>
          <w:color w:val="auto"/>
        </w:rPr>
      </w:pPr>
      <w:r>
        <w:rPr>
          <w:rFonts w:ascii="Arial" w:cs="Arial" w:eastAsia="Arial" w:hAnsi="Arial"/>
          <w:sz w:val="20"/>
          <w:szCs w:val="20"/>
          <w:color w:val="auto"/>
        </w:rPr>
        <w:t>R&amp;D during 2023 and the first quarter of 2024, primarily related to the Biocon Biologics Transaction. This reclassification had no impact on adjusted net earnings, adjusted EBITDA or adjusted EPS. Any TSA reimbursement and DSA reimbursement amounts related to the closed divestitures are not direct offsets to operational expense and have not been reclassified.</w:t>
      </w:r>
    </w:p>
    <w:p>
      <w:pPr>
        <w:spacing w:after="0" w:line="205"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u w:val="single" w:color="auto"/>
          <w:color w:val="auto"/>
        </w:rPr>
        <w:t>Closed divestitures</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divestitures closed in 2023 and 2024</w:t>
      </w:r>
      <w:r>
        <w:rPr>
          <w:rFonts w:ascii="Arial" w:cs="Arial" w:eastAsia="Arial" w:hAnsi="Arial"/>
          <w:sz w:val="20"/>
          <w:szCs w:val="20"/>
          <w:color w:val="auto"/>
        </w:rPr>
        <w:t>: Refers to the divestiture of the Company’s rights to two women’s healthcare products in certain countries that closed in December 2023 and August 2024, the divestitures of the commercialization rights in certain of the Upjohn Distributor markets that closed in 2023 and 2024, the divestiture of the women's healthcare business that closed in March 2024, the divestiture of the API business in India that closed in June 2024, and the divestiture of the OTC business that closed in July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Forward-Looking Statements</w:t>
      </w:r>
    </w:p>
    <w:p>
      <w:pPr>
        <w:spacing w:after="0" w:line="218"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This release contains “forward-looking statements”. These statements are made pursuant to the safe harbor provisions of the Private Securities Litigation Reform Act of 1995. Such forward-looking statements may include, without limitation, statements about 2024 financial guidance; the Company expects to achieve its long-term gross leverage target of ~3.0x by end of the year; enters into exclusive licensing agreement for sotagliflozin, expanding its innovative portfolio in cardiovascular diseases; reaffirms 2024 full-year outlook and continues to expect 2024 full-year revenue growth of ~2% on a divestiture-adjusted operational basis; announced robust financial results for the third quarter of 2024, driven by positive momentum against all three pillars of its strategy; the Company continued to demonstrate its ability to grow its base business, delivering total revenues of $3.8 billion including new product revenues of $133 million; it added to its financial strength with the repayment of approximately $1.9 billion of debt; and it expanded its innovative portfolio by entering into an exclusive licensing agreement with Lexicon Pharmaceuticals for sotagliflozin outside of the U.S. and Europe; very pleased to report strong third quarter results that continue the momentum we’ve seen all year; we are in a period of strong global execution which has led to consistent base business growth and we expect this momentum to continue into next year; our company is operating from a position of financial strength with a clear and focused outlook that centers on capital allocation; returning value to shareholders through dividends and share repurchases will remain a central element of optimizing and maximizing shareholder value; we will balance this with making disciplined investments in commercialized or late-stage assets through regional and global business development to drive our future growth; we continue to make excellent progress executing on our debt paydown commitment and are on pace to achieve our long-term gross leverage target of ~3.0x by year end; with sector-leading cash flow and a strong balance sheet as our foundation, I believe we are well-positioned to deliver consistent base business growth, while simultaneously investing in our business and returning significant capital to our shareholders; U.S. GAAP total revenues for 2024 as of November 7, 2024, are estimated to be between $14.60 and $15.10 billion, with a midpoint of $14.85 billion or a full-year decrease of ~4%; the Company's expects to deliver approximately $500 million to $600 million in new product revenues in 2024; the Company is targeting its submission of EFFEXOR® (venlafaxine) to the PMDA in 2025; the outcomes of clinical trials; the Company currently expects to be at the midpoint of the November 7, 2024, guidance ranges; the goals or outlooks with respect to the Company’s strategic initiatives, including but not limited to the Company’s two-phased strategic vision and potential, announced and completed divestitures, acquisitions or other transactions; the benefits and synergies of such divestitures, acquisitions, or other transactions, or restructuring programs;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87" w:right="339" w:bottom="1440" w:gutter="0" w:footer="0" w:header="0"/>
        </w:sectPr>
      </w:pPr>
    </w:p>
    <w:bookmarkStart w:id="14" w:name="page15"/>
    <w:bookmarkEnd w:id="14"/>
    <w:p>
      <w:pPr>
        <w:spacing w:after="0" w:line="232" w:lineRule="auto"/>
        <w:rPr>
          <w:sz w:val="20"/>
          <w:szCs w:val="20"/>
          <w:color w:val="auto"/>
        </w:rPr>
      </w:pPr>
      <w:r>
        <w:rPr>
          <w:rFonts w:ascii="Arial" w:cs="Arial" w:eastAsia="Arial" w:hAnsi="Arial"/>
          <w:sz w:val="20"/>
          <w:szCs w:val="20"/>
          <w:color w:val="auto"/>
        </w:rPr>
        <w:t>or implied by such forward-looking statements. Factors that could cause or contribute to such differences include, but are not limited to: the possibility that the Company may not realize the intended benefits of, or achieve the intended goals or outlooks with respect to, its strategic initiatives (including divestitures, acquisitions, or other potential transactions) or move up the value chain by focusing on more complex and innovative products to build a more durable higher margin portfolio; the possibility that the Company may be unable to achieve intended or expected benefits, goals, outlooks, synergies, growth opportunities and operating efficiencies in connection with divestitures, acquisitions, other transactions, or restructuring programs, within the expected timeframes or at all; with respect to divestitures, failure to realize the total transaction values or proceeds, including as a result of any purchase price adjustment or a failure to achieve any conditions to the payment of any contingent consideration; goodwill or impairment charges or other losses, including but not limited to related to the divestiture or sale of businesses or assets; the Company’s failure to achieve expected or targeted future financial and operating performance and results; the potential impact of public health outbreaks, epidemics and pandemics; actions and decisions of healthcare and pharmaceutical regulators; 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 the ability to attract, motivate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IT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spacing w:after="0" w:line="223"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For more detailed information on the risks and uncertainties associated with Viatris, see the risks described in Part I, Item 1A of the Company’s Annual Report on Form 10-K for the year ended December 31, 2023,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release or our filings with the SEC. Viatris undertakes no obligation to update any statements herein for revisions or changes after the date of this release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4C16AE"/>
        </w:rPr>
        <w:t>Contacts</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Media:</w:t>
      </w:r>
    </w:p>
    <w:p>
      <w:pPr>
        <w:spacing w:after="0" w:line="31" w:lineRule="exact"/>
        <w:rPr>
          <w:sz w:val="20"/>
          <w:szCs w:val="20"/>
          <w:color w:val="auto"/>
        </w:rPr>
      </w:pPr>
    </w:p>
    <w:p>
      <w:pPr>
        <w:ind w:left="280" w:hanging="254"/>
        <w:spacing w:after="0"/>
        <w:tabs>
          <w:tab w:leader="none" w:pos="2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1.724.514.1968</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Communications@viatris.com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 Mauer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Jennifer.Mauer@viatris.com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 Klein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Matthew.Klein@viatris.com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Investors:</w:t>
      </w:r>
    </w:p>
    <w:p>
      <w:pPr>
        <w:spacing w:after="0" w:line="31" w:lineRule="exact"/>
        <w:rPr>
          <w:sz w:val="20"/>
          <w:szCs w:val="20"/>
          <w:color w:val="auto"/>
        </w:rPr>
      </w:pPr>
    </w:p>
    <w:p>
      <w:pPr>
        <w:ind w:left="280" w:hanging="254"/>
        <w:spacing w:after="0"/>
        <w:tabs>
          <w:tab w:leader="none" w:pos="2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1.724.514.1813</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InvestorRelations@viatris.com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Bill Szablewski</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William.Szablewski@viatris.com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Jill Sawyer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Jill.Sawyer@viatris.com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39"/>
          </w:cols>
          <w:pgMar w:left="320" w:top="885" w:right="1440"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6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19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4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3,738.0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3,933.9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11,177.4</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11,562.5</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3,751.2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3,941.9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11,211.2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11,589.6</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2,292.0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6,802.6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6,747.5</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4,408.6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4,842.1</w:t>
            </w:r>
          </w:p>
        </w:tc>
        <w:tc>
          <w:tcPr>
            <w:tcW w:w="0" w:type="dxa"/>
            <w:vAlign w:val="bottom"/>
          </w:tcPr>
          <w:p>
            <w:pPr>
              <w:spacing w:after="0"/>
              <w:rPr>
                <w:sz w:val="1"/>
                <w:szCs w:val="1"/>
                <w:color w:val="auto"/>
              </w:rPr>
            </w:pPr>
          </w:p>
        </w:tc>
      </w:tr>
      <w:tr>
        <w:trPr>
          <w:trHeight w:val="19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4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602.4</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Acquired IPR&amp;D</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5"/>
        </w:trPr>
        <w:tc>
          <w:tcPr>
            <w:tcW w:w="504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3,378.9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3,044.3</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4,218.7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3,621.4</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from operations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1,220.7</w:t>
            </w:r>
          </w:p>
        </w:tc>
        <w:tc>
          <w:tcPr>
            <w:tcW w:w="0" w:type="dxa"/>
            <w:vAlign w:val="bottom"/>
          </w:tcPr>
          <w:p>
            <w:pPr>
              <w:spacing w:after="0"/>
              <w:rPr>
                <w:sz w:val="1"/>
                <w:szCs w:val="1"/>
                <w:color w:val="auto"/>
              </w:rPr>
            </w:pP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429.8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432.2</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6"/>
                <w:szCs w:val="16"/>
                <w:color w:val="auto"/>
              </w:rPr>
              <w:t>Earnings (loss) before income taxes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1,057.9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Net earnings (loss)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820.3</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 attributable to Viatris Inc. shareholders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tcPr>
          <w:p>
            <w:pPr>
              <w:ind w:left="22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1,200.4</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1,193.3</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840" w:top="890" w:right="8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100" w:type="dxa"/>
            <w:vAlign w:val="bottom"/>
          </w:tcPr>
          <w:p>
            <w:pPr>
              <w:jc w:val="center"/>
              <w:ind w:left="3528"/>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jc w:val="center"/>
              <w:ind w:left="2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5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151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receivable,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w:t>
      </w:r>
    </w:p>
    <w:p>
      <w:pPr>
        <w:spacing w:after="0" w:line="32" w:lineRule="exact"/>
        <w:rPr>
          <w:sz w:val="20"/>
          <w:szCs w:val="20"/>
          <w:color w:val="auto"/>
        </w:rPr>
      </w:pPr>
    </w:p>
    <w:p>
      <w:pPr>
        <w:ind w:left="460" w:right="340" w:firstLine="14"/>
        <w:spacing w:after="0" w:line="290" w:lineRule="auto"/>
        <w:rPr>
          <w:sz w:val="20"/>
          <w:szCs w:val="20"/>
          <w:color w:val="auto"/>
        </w:rPr>
      </w:pPr>
      <w:r>
        <w:rPr>
          <w:rFonts w:ascii="Arial" w:cs="Arial" w:eastAsia="Arial" w:hAnsi="Arial"/>
          <w:sz w:val="16"/>
          <w:szCs w:val="16"/>
          <w:color w:val="auto"/>
        </w:rPr>
        <w:t>Prepaid expenses and other current assets Assets held for sale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Intangible assets,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non-current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150495</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3720" w:type="dxa"/>
        <w:tblCellMar>
          <w:top w:w="0" w:type="dxa"/>
          <w:left w:w="0" w:type="dxa"/>
          <w:bottom w:w="0" w:type="dxa"/>
          <w:right w:w="0" w:type="dxa"/>
        </w:tblCellMar>
      </w:tblPr>
      <w:tr>
        <w:trPr>
          <w:trHeight w:val="215"/>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1,878.7</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991.9</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3,717.4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3,700.4</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4,084.6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3,469.7</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1,627.0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2,028.1</w:t>
            </w:r>
          </w:p>
        </w:tc>
      </w:tr>
      <w:tr>
        <w:trPr>
          <w:trHeight w:val="217"/>
        </w:trPr>
        <w:tc>
          <w:tcPr>
            <w:tcW w:w="4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2,786.0</w:t>
            </w:r>
          </w:p>
        </w:tc>
      </w:tr>
      <w:tr>
        <w:trPr>
          <w:trHeight w:val="209"/>
        </w:trPr>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11,307.7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12,976.1</w:t>
            </w:r>
          </w:p>
        </w:tc>
      </w:tr>
      <w:tr>
        <w:trPr>
          <w:trHeight w:val="215"/>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17,978.9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19,181.1</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9,561.7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9,867.1</w:t>
            </w:r>
          </w:p>
        </w:tc>
      </w:tr>
      <w:tr>
        <w:trPr>
          <w:trHeight w:val="217"/>
        </w:trPr>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5,905.8</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5,661.2</w:t>
            </w:r>
          </w:p>
        </w:tc>
      </w:tr>
      <w:tr>
        <w:trPr>
          <w:trHeight w:val="209"/>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44,754.1</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47,685.5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-1250315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-975995</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-701675</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-418465</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-144145</wp:posOffset>
            </wp:positionV>
            <wp:extent cx="71151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-107315</wp:posOffset>
            </wp:positionV>
            <wp:extent cx="1817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900" w:space="720"/>
            <w:col w:w="6580"/>
          </w:cols>
          <w:pgMar w:left="340" w:top="890"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1,446.7</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1,943.4</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Liabilities held for sale</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w:t>
            </w: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6,065.7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5,558.9</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16,188.1</w:t>
            </w:r>
          </w:p>
        </w:tc>
      </w:tr>
      <w:tr>
        <w:trPr>
          <w:trHeight w:val="215"/>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3,252.6</w:t>
            </w: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27,218.1</w:t>
            </w: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19,792.4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20,467.4</w:t>
            </w: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44,754.1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47,685.5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40" w:top="890" w:right="35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r>
      <w:tr>
        <w:trPr>
          <w:trHeight w:val="204"/>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r>
      <w:tr>
        <w:trPr>
          <w:trHeight w:val="197"/>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Select Key Global Products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4820" w:type="dxa"/>
            <w:vAlign w:val="bottom"/>
          </w:tcPr>
          <w:p>
            <w:pPr>
              <w:ind w:left="140"/>
              <w:spacing w:after="0"/>
              <w:rPr>
                <w:sz w:val="20"/>
                <w:szCs w:val="20"/>
                <w:color w:val="auto"/>
              </w:rPr>
            </w:pPr>
            <w:r>
              <w:rPr>
                <w:rFonts w:ascii="Arial" w:cs="Arial" w:eastAsia="Arial" w:hAnsi="Arial"/>
                <w:sz w:val="16"/>
                <w:szCs w:val="16"/>
                <w:color w:val="auto"/>
              </w:rPr>
              <w:t>Lipitor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375.6</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381.6</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1,112.9</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1,179.5</w:t>
            </w:r>
          </w:p>
        </w:tc>
      </w:tr>
      <w:tr>
        <w:trPr>
          <w:trHeight w:val="217"/>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Norvasc ®</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560.6</w:t>
            </w:r>
          </w:p>
        </w:tc>
      </w:tr>
      <w:tr>
        <w:trPr>
          <w:trHeight w:val="215"/>
        </w:trPr>
        <w:tc>
          <w:tcPr>
            <w:tcW w:w="4820" w:type="dxa"/>
            <w:vAlign w:val="bottom"/>
          </w:tcPr>
          <w:p>
            <w:pPr>
              <w:ind w:left="140"/>
              <w:spacing w:after="0"/>
              <w:rPr>
                <w:sz w:val="20"/>
                <w:szCs w:val="20"/>
                <w:color w:val="auto"/>
              </w:rPr>
            </w:pPr>
            <w:r>
              <w:rPr>
                <w:rFonts w:ascii="Arial" w:cs="Arial" w:eastAsia="Arial" w:hAnsi="Arial"/>
                <w:sz w:val="16"/>
                <w:szCs w:val="16"/>
                <w:color w:val="auto"/>
              </w:rPr>
              <w:t>Lyrica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423.1</w:t>
            </w:r>
          </w:p>
        </w:tc>
      </w:tr>
      <w:tr>
        <w:trPr>
          <w:trHeight w:val="217"/>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EpiPen® Auto-Injectors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w:t>
            </w:r>
          </w:p>
        </w:tc>
      </w:tr>
      <w:tr>
        <w:trPr>
          <w:trHeight w:val="215"/>
        </w:trPr>
        <w:tc>
          <w:tcPr>
            <w:tcW w:w="4820" w:type="dxa"/>
            <w:vAlign w:val="bottom"/>
          </w:tcPr>
          <w:p>
            <w:pPr>
              <w:ind w:left="140"/>
              <w:spacing w:after="0"/>
              <w:rPr>
                <w:sz w:val="20"/>
                <w:szCs w:val="20"/>
                <w:color w:val="auto"/>
              </w:rPr>
            </w:pPr>
            <w:r>
              <w:rPr>
                <w:rFonts w:ascii="Arial" w:cs="Arial" w:eastAsia="Arial" w:hAnsi="Arial"/>
                <w:sz w:val="16"/>
                <w:szCs w:val="16"/>
                <w:color w:val="auto"/>
              </w:rPr>
              <w:t>Viagra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336.5</w:t>
            </w:r>
          </w:p>
        </w:tc>
      </w:tr>
      <w:tr>
        <w:trPr>
          <w:trHeight w:val="217"/>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Creon ®</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w:t>
            </w:r>
          </w:p>
        </w:tc>
      </w:tr>
      <w:tr>
        <w:trPr>
          <w:trHeight w:val="215"/>
        </w:trPr>
        <w:tc>
          <w:tcPr>
            <w:tcW w:w="4820" w:type="dxa"/>
            <w:vAlign w:val="bottom"/>
          </w:tcPr>
          <w:p>
            <w:pPr>
              <w:ind w:left="140"/>
              <w:spacing w:after="0"/>
              <w:rPr>
                <w:sz w:val="20"/>
                <w:szCs w:val="20"/>
                <w:color w:val="auto"/>
              </w:rPr>
            </w:pPr>
            <w:r>
              <w:rPr>
                <w:rFonts w:ascii="Arial" w:cs="Arial" w:eastAsia="Arial" w:hAnsi="Arial"/>
                <w:sz w:val="16"/>
                <w:szCs w:val="16"/>
                <w:color w:val="auto"/>
              </w:rPr>
              <w:t>Celebrex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218.5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255.5</w:t>
            </w:r>
          </w:p>
        </w:tc>
      </w:tr>
      <w:tr>
        <w:trPr>
          <w:trHeight w:val="217"/>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Effexor ®</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w:t>
            </w:r>
          </w:p>
        </w:tc>
      </w:tr>
      <w:tr>
        <w:trPr>
          <w:trHeight w:val="215"/>
        </w:trPr>
        <w:tc>
          <w:tcPr>
            <w:tcW w:w="4820" w:type="dxa"/>
            <w:vAlign w:val="bottom"/>
          </w:tcPr>
          <w:p>
            <w:pPr>
              <w:ind w:left="140"/>
              <w:spacing w:after="0"/>
              <w:rPr>
                <w:sz w:val="20"/>
                <w:szCs w:val="20"/>
                <w:color w:val="auto"/>
              </w:rPr>
            </w:pPr>
            <w:r>
              <w:rPr>
                <w:rFonts w:ascii="Arial" w:cs="Arial" w:eastAsia="Arial" w:hAnsi="Arial"/>
                <w:sz w:val="16"/>
                <w:szCs w:val="16"/>
                <w:color w:val="auto"/>
              </w:rPr>
              <w:t>Zoloft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173.7</w:t>
            </w:r>
          </w:p>
        </w:tc>
      </w:tr>
      <w:tr>
        <w:trPr>
          <w:trHeight w:val="217"/>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Xalabrands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r>
      <w:tr>
        <w:trPr>
          <w:trHeight w:val="216"/>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Select Key Segment Products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20" w:type="dxa"/>
            <w:vAlign w:val="bottom"/>
          </w:tcPr>
          <w:p>
            <w:pPr>
              <w:ind w:left="140"/>
              <w:spacing w:after="0"/>
              <w:rPr>
                <w:sz w:val="20"/>
                <w:szCs w:val="20"/>
                <w:color w:val="auto"/>
              </w:rPr>
            </w:pPr>
            <w:r>
              <w:rPr>
                <w:rFonts w:ascii="Arial" w:cs="Arial" w:eastAsia="Arial" w:hAnsi="Arial"/>
                <w:sz w:val="16"/>
                <w:szCs w:val="16"/>
                <w:color w:val="auto"/>
              </w:rPr>
              <w:t>Influvac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121.3</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137.2</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126.0</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137.5</w:t>
            </w:r>
          </w:p>
        </w:tc>
      </w:tr>
      <w:tr>
        <w:trPr>
          <w:trHeight w:val="217"/>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Yupelri ®</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r>
      <w:tr>
        <w:trPr>
          <w:trHeight w:val="215"/>
        </w:trPr>
        <w:tc>
          <w:tcPr>
            <w:tcW w:w="4820" w:type="dxa"/>
            <w:vAlign w:val="bottom"/>
          </w:tcPr>
          <w:p>
            <w:pPr>
              <w:ind w:left="140"/>
              <w:spacing w:after="0"/>
              <w:rPr>
                <w:sz w:val="20"/>
                <w:szCs w:val="20"/>
                <w:color w:val="auto"/>
              </w:rPr>
            </w:pPr>
            <w:r>
              <w:rPr>
                <w:rFonts w:ascii="Arial" w:cs="Arial" w:eastAsia="Arial" w:hAnsi="Arial"/>
                <w:sz w:val="16"/>
                <w:szCs w:val="16"/>
                <w:color w:val="auto"/>
              </w:rPr>
              <w:t>Dymista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155.0</w:t>
            </w:r>
          </w:p>
        </w:tc>
      </w:tr>
      <w:tr>
        <w:trPr>
          <w:trHeight w:val="217"/>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Xanax ®</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r>
      <w:tr>
        <w:trPr>
          <w:trHeight w:val="215"/>
        </w:trPr>
        <w:tc>
          <w:tcPr>
            <w:tcW w:w="4820" w:type="dxa"/>
            <w:vAlign w:val="bottom"/>
          </w:tcPr>
          <w:p>
            <w:pPr>
              <w:ind w:left="140"/>
              <w:spacing w:after="0"/>
              <w:rPr>
                <w:sz w:val="20"/>
                <w:szCs w:val="20"/>
                <w:color w:val="auto"/>
              </w:rPr>
            </w:pPr>
            <w:r>
              <w:rPr>
                <w:rFonts w:ascii="Arial" w:cs="Arial" w:eastAsia="Arial" w:hAnsi="Arial"/>
                <w:sz w:val="16"/>
                <w:szCs w:val="16"/>
                <w:color w:val="auto"/>
              </w:rPr>
              <w:t>Amitiza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115.8</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7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does not disclose net sales for any products considered competitively sensitive.</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Times New Roman" w:cs="Times New Roman" w:eastAsia="Times New Roman" w:hAnsi="Times New Roman"/>
          <w:sz w:val="14"/>
          <w:szCs w:val="14"/>
          <w:color w:val="auto"/>
        </w:rPr>
      </w:pPr>
      <w:r>
        <w:rPr>
          <w:rFonts w:ascii="Arial" w:cs="Arial" w:eastAsia="Arial" w:hAnsi="Arial"/>
          <w:sz w:val="14"/>
          <w:szCs w:val="14"/>
          <w:color w:val="auto"/>
        </w:rPr>
        <w:t>Products disclosed may change in future periods, including as a result of seasonality, competition or new product launches.</w:t>
      </w:r>
    </w:p>
    <w:p>
      <w:pPr>
        <w:spacing w:after="0" w:line="8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Arial" w:cs="Arial" w:eastAsia="Arial" w:hAnsi="Arial"/>
          <w:sz w:val="14"/>
          <w:szCs w:val="14"/>
          <w:color w:val="auto"/>
        </w:rPr>
        <w:t>Amounts for the three and nine months ended September 30, 2024 include the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931" w:right="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Reconciliation of U.S. GAAP Net Earnings (Loss) to Adjusted Net Earnings and U.S. GAAP Earnings (Loss) Per Share to Adjusted EPS</w:t>
      </w:r>
    </w:p>
    <w:p>
      <w:pPr>
        <w:spacing w:after="0" w:line="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Below is a reconciliation of U.S. GAAP net earnings (loss) and diluted earnings (loss) per share to adjusted net earnings and adjusted EPS for the three and nine months ended September 30, 2024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8"/>
          </w:tcPr>
          <w:p>
            <w:pPr>
              <w:jc w:val="right"/>
              <w:ind w:right="19"/>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08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U.S. GAAP net earnings (loss) and U.S. GAAP diluted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331.6</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820.3</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w:t>
            </w:r>
          </w:p>
        </w:tc>
        <w:tc>
          <w:tcPr>
            <w:tcW w:w="2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0"/>
              <w:spacing w:after="0" w:line="162" w:lineRule="exact"/>
              <w:rPr>
                <w:sz w:val="20"/>
                <w:szCs w:val="20"/>
                <w:color w:val="auto"/>
              </w:rPr>
            </w:pPr>
            <w:r>
              <w:rPr>
                <w:rFonts w:ascii="Arial" w:cs="Arial" w:eastAsia="Arial" w:hAnsi="Arial"/>
                <w:sz w:val="16"/>
                <w:szCs w:val="16"/>
                <w:color w:val="auto"/>
              </w:rPr>
              <w:t>Purchase accounting amortization (primarily included in</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586.0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1,907.6</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1,864.6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(a)</w:t>
            </w: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Impairment of goodwill (included in SG&amp;A) </w:t>
            </w:r>
            <w:r>
              <w:rPr>
                <w:rFonts w:ascii="Arial" w:cs="Arial" w:eastAsia="Arial" w:hAnsi="Arial"/>
                <w:sz w:val="21"/>
                <w:szCs w:val="21"/>
                <w:color w:val="auto"/>
                <w:vertAlign w:val="superscript"/>
              </w:rPr>
              <w:t>(b)</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6"/>
                <w:szCs w:val="16"/>
                <w:color w:val="auto"/>
              </w:rPr>
              <w:t>Litigation settlements and other contingencies, net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239.3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Interest expense (primarily amortization of premiums</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discounts on long term debt)</w:t>
            </w: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0"/>
              <w:spacing w:after="0" w:line="162" w:lineRule="exact"/>
              <w:rPr>
                <w:sz w:val="20"/>
                <w:szCs w:val="20"/>
                <w:color w:val="auto"/>
              </w:rPr>
            </w:pPr>
            <w:r>
              <w:rPr>
                <w:rFonts w:ascii="Arial" w:cs="Arial" w:eastAsia="Arial" w:hAnsi="Arial"/>
                <w:sz w:val="16"/>
                <w:szCs w:val="16"/>
                <w:color w:val="auto"/>
              </w:rPr>
              <w:t>Loss on divestitures of businesses (included in other</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107.4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295.8</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income, net) </w:t>
            </w:r>
            <w:r>
              <w:rPr>
                <w:rFonts w:ascii="Arial" w:cs="Arial" w:eastAsia="Arial" w:hAnsi="Arial"/>
                <w:sz w:val="21"/>
                <w:szCs w:val="21"/>
                <w:color w:val="auto"/>
                <w:vertAlign w:val="superscript"/>
              </w:rPr>
              <w:t>(c)</w:t>
            </w: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Acquisition and divestiture-related costs (primarily</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included in SG&amp;A) </w:t>
            </w:r>
            <w:r>
              <w:rPr>
                <w:rFonts w:ascii="Arial" w:cs="Arial" w:eastAsia="Arial" w:hAnsi="Arial"/>
                <w:sz w:val="21"/>
                <w:szCs w:val="21"/>
                <w:color w:val="auto"/>
                <w:vertAlign w:val="superscript"/>
              </w:rPr>
              <w:t>(d)</w:t>
            </w: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Restructuring-related costs </w:t>
            </w:r>
            <w:r>
              <w:rPr>
                <w:rFonts w:ascii="Arial" w:cs="Arial" w:eastAsia="Arial" w:hAnsi="Arial"/>
                <w:sz w:val="21"/>
                <w:szCs w:val="21"/>
                <w:color w:val="auto"/>
                <w:vertAlign w:val="superscript"/>
              </w:rPr>
              <w:t>(e)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146.1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6"/>
                <w:szCs w:val="16"/>
                <w:color w:val="auto"/>
              </w:rPr>
              <w:t>Other special items included in: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(f)</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80" w:type="dxa"/>
            <w:vAlign w:val="bottom"/>
          </w:tcPr>
          <w:p>
            <w:pPr>
              <w:ind w:left="220"/>
              <w:spacing w:after="0"/>
              <w:rPr>
                <w:sz w:val="20"/>
                <w:szCs w:val="20"/>
                <w:color w:val="auto"/>
              </w:rPr>
            </w:pPr>
            <w:r>
              <w:rPr>
                <w:rFonts w:ascii="Arial" w:cs="Arial" w:eastAsia="Arial" w:hAnsi="Arial"/>
                <w:sz w:val="16"/>
                <w:szCs w:val="16"/>
                <w:color w:val="auto"/>
              </w:rPr>
              <w:t>Research and development expense</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Other income, net </w:t>
            </w:r>
            <w:r>
              <w:rPr>
                <w:rFonts w:ascii="Arial" w:cs="Arial" w:eastAsia="Arial" w:hAnsi="Arial"/>
                <w:sz w:val="21"/>
                <w:szCs w:val="21"/>
                <w:color w:val="auto"/>
                <w:vertAlign w:val="superscript"/>
              </w:rPr>
              <w:t>(g)</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(322.1)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Tax effect of the above items and other income tax</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(462.2)</w:t>
            </w: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related items </w:t>
            </w:r>
            <w:r>
              <w:rPr>
                <w:rFonts w:ascii="Arial" w:cs="Arial" w:eastAsia="Arial" w:hAnsi="Arial"/>
                <w:sz w:val="21"/>
                <w:szCs w:val="21"/>
                <w:color w:val="auto"/>
                <w:vertAlign w:val="superscript"/>
              </w:rPr>
              <w:t>(h)</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Arial" w:cs="Arial" w:eastAsia="Arial" w:hAnsi="Arial"/>
                <w:sz w:val="16"/>
                <w:szCs w:val="16"/>
                <w:color w:val="auto"/>
              </w:rPr>
              <w:t>Adjusted net earnings and adjusted EPS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0.75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0.79</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2,791.1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diluted shares outstanding</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1,202.5</w:t>
            </w:r>
          </w:p>
        </w:tc>
        <w:tc>
          <w:tcPr>
            <w:tcW w:w="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include the following:</w:t>
      </w:r>
    </w:p>
    <w:p>
      <w:pPr>
        <w:spacing w:after="0" w:line="73" w:lineRule="exact"/>
        <w:rPr>
          <w:sz w:val="20"/>
          <w:szCs w:val="20"/>
          <w:color w:val="auto"/>
        </w:rPr>
      </w:pPr>
    </w:p>
    <w:p>
      <w:pPr>
        <w:ind w:left="660" w:hanging="328"/>
        <w:spacing w:after="0" w:line="227" w:lineRule="auto"/>
        <w:tabs>
          <w:tab w:leader="none" w:pos="653"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the nine months ended September 30, 2024, includes an IPR&amp;D intangible asset impairment charge of $102.0 million as the Company concluded that one of its IPR&amp;D assets was fully impaired due to unfavorable clinical results and the termination of the development program.</w:t>
      </w:r>
    </w:p>
    <w:p>
      <w:pPr>
        <w:spacing w:after="0" w:line="2"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the nine months ended September 30, 2024, includes a goodwill impairment charge of $321.0 million related to the JANZ reporting unit.</w:t>
      </w:r>
    </w:p>
    <w:p>
      <w:pPr>
        <w:spacing w:after="0" w:line="57" w:lineRule="exact"/>
        <w:rPr>
          <w:rFonts w:ascii="Arial" w:cs="Arial" w:eastAsia="Arial" w:hAnsi="Arial"/>
          <w:sz w:val="21"/>
          <w:szCs w:val="21"/>
          <w:color w:val="auto"/>
          <w:vertAlign w:val="superscript"/>
        </w:rPr>
      </w:pPr>
    </w:p>
    <w:p>
      <w:pPr>
        <w:jc w:val="both"/>
        <w:ind w:left="660" w:hanging="328"/>
        <w:spacing w:after="0" w:line="235" w:lineRule="auto"/>
        <w:tabs>
          <w:tab w:leader="none" w:pos="64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September 30, 2024, consists primarily of additional pre-tax charges related to the divestitures of the OTC, API, and women's healthcare businesses of approximately $92.6 million, $15.1 million, and $2.0 million, respectively. For the nine months ended September 30, 2024, consists primarily of additional pre-tax charges / (gains) related to the divestitures of the OTC, API, and women’s healthcare businesses of approximately $340.2 million, $32.5 million, and $(77.6) million, respectively.</w:t>
      </w:r>
    </w:p>
    <w:p>
      <w:pPr>
        <w:spacing w:after="0" w:line="3"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Acquisition and divestiture-related costs consist primarily of transaction costs including legal and consulting fees and integration activities.</w:t>
      </w:r>
    </w:p>
    <w:p>
      <w:pPr>
        <w:spacing w:after="0" w:line="57" w:lineRule="exact"/>
        <w:rPr>
          <w:rFonts w:ascii="Arial" w:cs="Arial" w:eastAsia="Arial" w:hAnsi="Arial"/>
          <w:sz w:val="21"/>
          <w:szCs w:val="21"/>
          <w:color w:val="auto"/>
          <w:vertAlign w:val="superscript"/>
        </w:rPr>
      </w:pPr>
    </w:p>
    <w:p>
      <w:pPr>
        <w:ind w:left="660" w:hanging="328"/>
        <w:spacing w:after="0" w:line="218" w:lineRule="auto"/>
        <w:tabs>
          <w:tab w:leader="none" w:pos="653"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2024, charges include approximately $82.7 million and $98.3 million, respectively, in cost of sales, approximately $0.9 million and $1.9 million, respectively, in R&amp;D, and approximately $21.8 million and $45.9 million, respectively, in SG&amp;A.</w:t>
      </w:r>
    </w:p>
    <w:p>
      <w:pPr>
        <w:spacing w:after="0" w:line="43" w:lineRule="exact"/>
        <w:rPr>
          <w:rFonts w:ascii="Arial" w:cs="Arial" w:eastAsia="Arial" w:hAnsi="Arial"/>
          <w:sz w:val="21"/>
          <w:szCs w:val="21"/>
          <w:color w:val="auto"/>
          <w:vertAlign w:val="superscript"/>
        </w:rPr>
      </w:pPr>
    </w:p>
    <w:p>
      <w:pPr>
        <w:ind w:left="660" w:hanging="328"/>
        <w:spacing w:after="0" w:line="227" w:lineRule="auto"/>
        <w:tabs>
          <w:tab w:leader="none" w:pos="651"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2024, charges include incremental manufacturing variances at plants in the 2020 restructuring program of approximately $4.0 million and $15.5 million, respectively.</w:t>
      </w:r>
    </w:p>
    <w:p>
      <w:pPr>
        <w:spacing w:after="0" w:line="29" w:lineRule="exact"/>
        <w:rPr>
          <w:rFonts w:ascii="Arial" w:cs="Arial" w:eastAsia="Arial" w:hAnsi="Arial"/>
          <w:sz w:val="21"/>
          <w:szCs w:val="21"/>
          <w:color w:val="auto"/>
          <w:vertAlign w:val="superscript"/>
        </w:rPr>
      </w:pPr>
    </w:p>
    <w:p>
      <w:pPr>
        <w:ind w:left="660" w:right="20" w:hanging="328"/>
        <w:spacing w:after="0" w:line="235" w:lineRule="auto"/>
        <w:tabs>
          <w:tab w:leader="none" w:pos="653"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2024, includes gains of approximately $39.4 million and $368.7 million, respectively, as a result of remeasuring the CCPS in Biocon Biologics to fair value. Also includes a gain on the extinguishment of debt of $16.7 million.</w:t>
      </w:r>
    </w:p>
    <w:p>
      <w:pPr>
        <w:spacing w:after="0" w:line="2"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Adjusted for changes for uncertain tax positions.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9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Reconciliation of U.S. GAAP Net Earnings (Loss) to EBITDA and Adjusted EBITDA</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U.S. GAAP net earnings (loss) to EBITDA and adjusted EBITDA for the three and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 compared to the prior year period: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r>
      <w:tr>
        <w:trPr>
          <w:trHeight w:val="197"/>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r>
      <w:tr>
        <w:trPr>
          <w:trHeight w:val="211"/>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820.3</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(benefit) provision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w:t>
            </w:r>
          </w:p>
        </w:tc>
      </w:tr>
      <w:tr>
        <w:trPr>
          <w:trHeight w:val="216"/>
        </w:trPr>
        <w:tc>
          <w:tcPr>
            <w:tcW w:w="606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429.8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432.2</w:t>
            </w:r>
          </w:p>
        </w:tc>
      </w:tr>
      <w:tr>
        <w:trPr>
          <w:trHeight w:val="216"/>
        </w:trPr>
        <w:tc>
          <w:tcPr>
            <w:tcW w:w="60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669.7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2,147.0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2,096.1</w:t>
            </w: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905.8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1,223.1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2,480.1</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3,586.2</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124.9</w:t>
            </w: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Loss on divestitures of businesses</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295.8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6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Restructuring, acquisition and divestiture-related and other special items </w:t>
            </w:r>
            <w:r>
              <w:rPr>
                <w:rFonts w:ascii="Arial" w:cs="Arial" w:eastAsia="Arial" w:hAnsi="Arial"/>
                <w:sz w:val="21"/>
                <w:szCs w:val="21"/>
                <w:color w:val="auto"/>
                <w:vertAlign w:val="superscript"/>
              </w:rPr>
              <w:t>(c)</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207.5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235.9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332.1</w:t>
            </w: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1,284.6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3,685.9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4,006.7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57"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44"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See items detailed in the Reconciliation of U.S. GAAP Net Earnings (Loss)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5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Constant</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2023 Adjusted</w:t>
            </w:r>
          </w:p>
        </w:tc>
        <w:tc>
          <w:tcPr>
            <w:tcW w:w="1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8"/>
        </w:trPr>
        <w:tc>
          <w:tcPr>
            <w:tcW w:w="1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5"/>
                <w:szCs w:val="5"/>
                <w:color w:val="auto"/>
              </w:rPr>
            </w:pPr>
          </w:p>
        </w:tc>
        <w:tc>
          <w:tcPr>
            <w:tcW w:w="8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5"/>
                <w:szCs w:val="5"/>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Currency %</w:t>
            </w:r>
          </w:p>
        </w:tc>
        <w:tc>
          <w:tcPr>
            <w:tcW w:w="200" w:type="dxa"/>
            <w:vAlign w:val="bottom"/>
          </w:tcPr>
          <w:p>
            <w:pPr>
              <w:spacing w:after="0"/>
              <w:rPr>
                <w:sz w:val="5"/>
                <w:szCs w:val="5"/>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Closed</w:t>
            </w: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44"/>
        </w:trPr>
        <w:tc>
          <w:tcPr>
            <w:tcW w:w="1840" w:type="dxa"/>
            <w:vAlign w:val="bottom"/>
            <w:vMerge w:val="restart"/>
          </w:tcPr>
          <w:p>
            <w:pPr>
              <w:jc w:val="center"/>
              <w:ind w:right="128"/>
              <w:spacing w:after="0"/>
              <w:rPr>
                <w:sz w:val="20"/>
                <w:szCs w:val="20"/>
                <w:color w:val="auto"/>
              </w:rPr>
            </w:pPr>
            <w:r>
              <w:rPr>
                <w:rFonts w:ascii="Arial" w:cs="Arial" w:eastAsia="Arial" w:hAnsi="Arial"/>
                <w:sz w:val="14"/>
                <w:szCs w:val="14"/>
                <w:b w:val="1"/>
                <w:bCs w:val="1"/>
                <w:i w:val="1"/>
                <w:iCs w:val="1"/>
                <w:color w:val="auto"/>
              </w:rPr>
              <w:t>(In millions, except %s)</w:t>
            </w:r>
          </w:p>
        </w:tc>
        <w:tc>
          <w:tcPr>
            <w:tcW w:w="14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Ex Divestitures</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80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1"/>
                <w:szCs w:val="11"/>
                <w:color w:val="auto"/>
              </w:rPr>
            </w:pPr>
          </w:p>
        </w:tc>
        <w:tc>
          <w:tcPr>
            <w:tcW w:w="10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 xml:space="preserve">Divestitures </w:t>
            </w:r>
            <w:r>
              <w:rPr>
                <w:rFonts w:ascii="Arial" w:cs="Arial" w:eastAsia="Arial" w:hAnsi="Arial"/>
                <w:sz w:val="15"/>
                <w:szCs w:val="15"/>
                <w:b w:val="1"/>
                <w:bCs w:val="1"/>
                <w:color w:val="auto"/>
                <w:vertAlign w:val="superscript"/>
              </w:rPr>
              <w:t>(3)</w:t>
            </w:r>
          </w:p>
        </w:tc>
        <w:tc>
          <w:tcPr>
            <w:tcW w:w="280" w:type="dxa"/>
            <w:vAlign w:val="bottom"/>
          </w:tcPr>
          <w:p>
            <w:pPr>
              <w:spacing w:after="0"/>
              <w:rPr>
                <w:sz w:val="11"/>
                <w:szCs w:val="11"/>
                <w:color w:val="auto"/>
              </w:rPr>
            </w:pPr>
          </w:p>
        </w:tc>
        <w:tc>
          <w:tcPr>
            <w:tcW w:w="800" w:type="dxa"/>
            <w:vAlign w:val="bottom"/>
          </w:tcPr>
          <w:p>
            <w:pPr>
              <w:jc w:val="center"/>
              <w:ind w:right="211"/>
              <w:spacing w:after="0"/>
              <w:rPr>
                <w:sz w:val="20"/>
                <w:szCs w:val="20"/>
                <w:color w:val="auto"/>
              </w:rPr>
            </w:pPr>
            <w:r>
              <w:rPr>
                <w:rFonts w:ascii="Arial" w:cs="Arial" w:eastAsia="Arial" w:hAnsi="Arial"/>
                <w:sz w:val="9"/>
                <w:szCs w:val="9"/>
                <w:b w:val="1"/>
                <w:bCs w:val="1"/>
                <w:color w:val="auto"/>
              </w:rPr>
              <w:t>(4)</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Change </w:t>
            </w:r>
            <w:r>
              <w:rPr>
                <w:rFonts w:ascii="Arial" w:cs="Arial" w:eastAsia="Arial" w:hAnsi="Arial"/>
                <w:sz w:val="15"/>
                <w:szCs w:val="15"/>
                <w:b w:val="1"/>
                <w:bCs w:val="1"/>
                <w:color w:val="auto"/>
                <w:vertAlign w:val="superscript"/>
              </w:rPr>
              <w:t>(5)</w:t>
            </w:r>
          </w:p>
        </w:tc>
        <w:tc>
          <w:tcPr>
            <w:tcW w:w="0" w:type="dxa"/>
            <w:vAlign w:val="bottom"/>
          </w:tcPr>
          <w:p>
            <w:pPr>
              <w:spacing w:after="0"/>
              <w:rPr>
                <w:sz w:val="1"/>
                <w:szCs w:val="1"/>
                <w:color w:val="auto"/>
              </w:rPr>
            </w:pPr>
          </w:p>
        </w:tc>
      </w:tr>
      <w:tr>
        <w:trPr>
          <w:trHeight w:val="183"/>
        </w:trPr>
        <w:tc>
          <w:tcPr>
            <w:tcW w:w="18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84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2,298.7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2,408.5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2,283.3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184.7</w:t>
            </w: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2,223.8</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8"/>
        </w:trPr>
        <w:tc>
          <w:tcPr>
            <w:tcW w:w="1840" w:type="dxa"/>
            <w:vAlign w:val="bottom"/>
          </w:tcPr>
          <w:p>
            <w:pPr>
              <w:ind w:left="220"/>
              <w:spacing w:after="0"/>
              <w:rPr>
                <w:sz w:val="20"/>
                <w:szCs w:val="20"/>
                <w:color w:val="auto"/>
              </w:rPr>
            </w:pPr>
            <w:r>
              <w:rPr>
                <w:rFonts w:ascii="Arial" w:cs="Arial" w:eastAsia="Arial" w:hAnsi="Arial"/>
                <w:sz w:val="14"/>
                <w:szCs w:val="14"/>
                <w:color w:val="auto"/>
              </w:rPr>
              <w:t>JANZ</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334.5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354.1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328.0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2"/>
        </w:trPr>
        <w:tc>
          <w:tcPr>
            <w:tcW w:w="1840" w:type="dxa"/>
            <w:vAlign w:val="bottom"/>
          </w:tcPr>
          <w:p>
            <w:pPr>
              <w:jc w:val="center"/>
              <w:ind w:right="148"/>
              <w:spacing w:after="0"/>
              <w:rPr>
                <w:sz w:val="20"/>
                <w:szCs w:val="20"/>
                <w:color w:val="auto"/>
              </w:rPr>
            </w:pPr>
            <w:r>
              <w:rPr>
                <w:rFonts w:ascii="Arial" w:cs="Arial" w:eastAsia="Arial" w:hAnsi="Arial"/>
                <w:sz w:val="14"/>
                <w:szCs w:val="14"/>
                <w:color w:val="auto"/>
                <w:w w:val="98"/>
              </w:rPr>
              <w:t>Total net sales</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3,738.0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3,933.9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3,752.6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290.7</w:t>
            </w:r>
          </w:p>
        </w:tc>
        <w:tc>
          <w:tcPr>
            <w:tcW w:w="1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3,643.2</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12"/>
        </w:trPr>
        <w:tc>
          <w:tcPr>
            <w:tcW w:w="18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(6)</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7"/>
                <w:szCs w:val="17"/>
                <w:color w:val="auto"/>
              </w:rPr>
            </w:pP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NM</w:t>
            </w: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30"/>
        </w:trPr>
        <w:tc>
          <w:tcPr>
            <w:tcW w:w="1840" w:type="dxa"/>
            <w:vAlign w:val="bottom"/>
            <w:tcBorders>
              <w:top w:val="single" w:sz="8" w:color="CCEEFF"/>
            </w:tcBorders>
            <w:shd w:val="clear" w:color="auto" w:fill="CCEEFF"/>
          </w:tcPr>
          <w:p>
            <w:pPr>
              <w:ind w:left="220"/>
              <w:spacing w:after="0" w:line="131" w:lineRule="exact"/>
              <w:rPr>
                <w:sz w:val="20"/>
                <w:szCs w:val="20"/>
                <w:color w:val="auto"/>
              </w:rPr>
            </w:pPr>
            <w:r>
              <w:rPr>
                <w:rFonts w:ascii="Arial" w:cs="Arial" w:eastAsia="Arial" w:hAnsi="Arial"/>
                <w:sz w:val="14"/>
                <w:szCs w:val="14"/>
                <w:color w:val="auto"/>
              </w:rPr>
              <w:t>Consolidated total</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3,751.2</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3,941.9</w:t>
            </w:r>
          </w:p>
        </w:tc>
        <w:tc>
          <w:tcPr>
            <w:tcW w:w="96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3,765.7</w:t>
            </w:r>
          </w:p>
        </w:tc>
        <w:tc>
          <w:tcPr>
            <w:tcW w:w="10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290.7</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3,651.2</w:t>
            </w:r>
          </w:p>
        </w:tc>
        <w:tc>
          <w:tcPr>
            <w:tcW w:w="12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4"/>
        </w:trPr>
        <w:tc>
          <w:tcPr>
            <w:tcW w:w="1840" w:type="dxa"/>
            <w:vAlign w:val="bottom"/>
            <w:tcBorders>
              <w:bottom w:val="single" w:sz="8" w:color="CCEEFF"/>
            </w:tcBorders>
            <w:shd w:val="clear" w:color="auto" w:fill="CCEEFF"/>
          </w:tcPr>
          <w:p>
            <w:pPr>
              <w:ind w:left="220"/>
              <w:spacing w:after="0" w:line="174"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(7)</w:t>
            </w: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Constant</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2023 Adjusted</w:t>
            </w:r>
          </w:p>
        </w:tc>
        <w:tc>
          <w:tcPr>
            <w:tcW w:w="1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8"/>
        </w:trPr>
        <w:tc>
          <w:tcPr>
            <w:tcW w:w="1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5"/>
                <w:szCs w:val="5"/>
                <w:color w:val="auto"/>
              </w:rPr>
            </w:pPr>
          </w:p>
        </w:tc>
        <w:tc>
          <w:tcPr>
            <w:tcW w:w="8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5"/>
                <w:szCs w:val="5"/>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Currency %</w:t>
            </w:r>
          </w:p>
        </w:tc>
        <w:tc>
          <w:tcPr>
            <w:tcW w:w="200" w:type="dxa"/>
            <w:vAlign w:val="bottom"/>
          </w:tcPr>
          <w:p>
            <w:pPr>
              <w:spacing w:after="0"/>
              <w:rPr>
                <w:sz w:val="5"/>
                <w:szCs w:val="5"/>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Closed</w:t>
            </w: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44"/>
        </w:trPr>
        <w:tc>
          <w:tcPr>
            <w:tcW w:w="1840" w:type="dxa"/>
            <w:vAlign w:val="bottom"/>
            <w:vMerge w:val="restart"/>
          </w:tcPr>
          <w:p>
            <w:pPr>
              <w:jc w:val="center"/>
              <w:ind w:right="128"/>
              <w:spacing w:after="0"/>
              <w:rPr>
                <w:sz w:val="20"/>
                <w:szCs w:val="20"/>
                <w:color w:val="auto"/>
              </w:rPr>
            </w:pPr>
            <w:r>
              <w:rPr>
                <w:rFonts w:ascii="Arial" w:cs="Arial" w:eastAsia="Arial" w:hAnsi="Arial"/>
                <w:sz w:val="14"/>
                <w:szCs w:val="14"/>
                <w:b w:val="1"/>
                <w:bCs w:val="1"/>
                <w:i w:val="1"/>
                <w:iCs w:val="1"/>
                <w:color w:val="auto"/>
              </w:rPr>
              <w:t>(In millions, except %s)</w:t>
            </w:r>
          </w:p>
        </w:tc>
        <w:tc>
          <w:tcPr>
            <w:tcW w:w="14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Ex Divestitures</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80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1"/>
                <w:szCs w:val="11"/>
                <w:color w:val="auto"/>
              </w:rPr>
            </w:pPr>
          </w:p>
        </w:tc>
        <w:tc>
          <w:tcPr>
            <w:tcW w:w="10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 xml:space="preserve">Divestitures </w:t>
            </w:r>
            <w:r>
              <w:rPr>
                <w:rFonts w:ascii="Arial" w:cs="Arial" w:eastAsia="Arial" w:hAnsi="Arial"/>
                <w:sz w:val="15"/>
                <w:szCs w:val="15"/>
                <w:b w:val="1"/>
                <w:bCs w:val="1"/>
                <w:color w:val="auto"/>
                <w:vertAlign w:val="superscript"/>
              </w:rPr>
              <w:t>(3)</w:t>
            </w:r>
          </w:p>
        </w:tc>
        <w:tc>
          <w:tcPr>
            <w:tcW w:w="280" w:type="dxa"/>
            <w:vAlign w:val="bottom"/>
          </w:tcPr>
          <w:p>
            <w:pPr>
              <w:spacing w:after="0"/>
              <w:rPr>
                <w:sz w:val="11"/>
                <w:szCs w:val="11"/>
                <w:color w:val="auto"/>
              </w:rPr>
            </w:pPr>
          </w:p>
        </w:tc>
        <w:tc>
          <w:tcPr>
            <w:tcW w:w="800" w:type="dxa"/>
            <w:vAlign w:val="bottom"/>
          </w:tcPr>
          <w:p>
            <w:pPr>
              <w:jc w:val="center"/>
              <w:ind w:right="211"/>
              <w:spacing w:after="0"/>
              <w:rPr>
                <w:sz w:val="20"/>
                <w:szCs w:val="20"/>
                <w:color w:val="auto"/>
              </w:rPr>
            </w:pPr>
            <w:r>
              <w:rPr>
                <w:rFonts w:ascii="Arial" w:cs="Arial" w:eastAsia="Arial" w:hAnsi="Arial"/>
                <w:sz w:val="9"/>
                <w:szCs w:val="9"/>
                <w:b w:val="1"/>
                <w:bCs w:val="1"/>
                <w:color w:val="auto"/>
              </w:rPr>
              <w:t>(4)</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Change </w:t>
            </w:r>
            <w:r>
              <w:rPr>
                <w:rFonts w:ascii="Arial" w:cs="Arial" w:eastAsia="Arial" w:hAnsi="Arial"/>
                <w:sz w:val="15"/>
                <w:szCs w:val="15"/>
                <w:b w:val="1"/>
                <w:bCs w:val="1"/>
                <w:color w:val="auto"/>
                <w:vertAlign w:val="superscript"/>
              </w:rPr>
              <w:t>(5)</w:t>
            </w:r>
          </w:p>
        </w:tc>
        <w:tc>
          <w:tcPr>
            <w:tcW w:w="0" w:type="dxa"/>
            <w:vAlign w:val="bottom"/>
          </w:tcPr>
          <w:p>
            <w:pPr>
              <w:spacing w:after="0"/>
              <w:rPr>
                <w:sz w:val="1"/>
                <w:szCs w:val="1"/>
                <w:color w:val="auto"/>
              </w:rPr>
            </w:pPr>
          </w:p>
        </w:tc>
      </w:tr>
      <w:tr>
        <w:trPr>
          <w:trHeight w:val="183"/>
        </w:trPr>
        <w:tc>
          <w:tcPr>
            <w:tcW w:w="18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84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6,783.3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6,932.7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6,769.7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231.3</w:t>
            </w: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6,701.4</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1,645.1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8"/>
        </w:trPr>
        <w:tc>
          <w:tcPr>
            <w:tcW w:w="1840" w:type="dxa"/>
            <w:vAlign w:val="bottom"/>
          </w:tcPr>
          <w:p>
            <w:pPr>
              <w:ind w:left="220"/>
              <w:spacing w:after="0"/>
              <w:rPr>
                <w:sz w:val="20"/>
                <w:szCs w:val="20"/>
                <w:color w:val="auto"/>
              </w:rPr>
            </w:pPr>
            <w:r>
              <w:rPr>
                <w:rFonts w:ascii="Arial" w:cs="Arial" w:eastAsia="Arial" w:hAnsi="Arial"/>
                <w:sz w:val="14"/>
                <w:szCs w:val="14"/>
                <w:color w:val="auto"/>
              </w:rPr>
              <w:t>JANZ</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1,052.2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1,082.3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1,045.1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06"/>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1,737.7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92"/>
        </w:trPr>
        <w:tc>
          <w:tcPr>
            <w:tcW w:w="1840" w:type="dxa"/>
            <w:vAlign w:val="bottom"/>
          </w:tcPr>
          <w:p>
            <w:pPr>
              <w:ind w:left="480"/>
              <w:spacing w:after="0"/>
              <w:rPr>
                <w:sz w:val="20"/>
                <w:szCs w:val="20"/>
                <w:color w:val="auto"/>
              </w:rPr>
            </w:pPr>
            <w:r>
              <w:rPr>
                <w:rFonts w:ascii="Arial" w:cs="Arial" w:eastAsia="Arial" w:hAnsi="Arial"/>
                <w:sz w:val="14"/>
                <w:szCs w:val="14"/>
                <w:color w:val="auto"/>
              </w:rPr>
              <w:t>Total net sales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11,177.4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11,562.5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190.9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11,368.3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445.4</w:t>
            </w:r>
          </w:p>
        </w:tc>
        <w:tc>
          <w:tcPr>
            <w:tcW w:w="1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11,117.1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12"/>
        </w:trPr>
        <w:tc>
          <w:tcPr>
            <w:tcW w:w="18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(6)</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27.1</w:t>
            </w:r>
          </w:p>
        </w:tc>
        <w:tc>
          <w:tcPr>
            <w:tcW w:w="80" w:type="dxa"/>
            <w:vAlign w:val="bottom"/>
          </w:tcPr>
          <w:p>
            <w:pPr>
              <w:spacing w:after="0"/>
              <w:rPr>
                <w:sz w:val="17"/>
                <w:szCs w:val="17"/>
                <w:color w:val="auto"/>
              </w:rPr>
            </w:pP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7"/>
                <w:szCs w:val="17"/>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NM</w:t>
            </w: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30"/>
        </w:trPr>
        <w:tc>
          <w:tcPr>
            <w:tcW w:w="1840" w:type="dxa"/>
            <w:vAlign w:val="bottom"/>
            <w:tcBorders>
              <w:top w:val="single" w:sz="8" w:color="CCEEFF"/>
            </w:tcBorders>
            <w:shd w:val="clear" w:color="auto" w:fill="CCEEFF"/>
          </w:tcPr>
          <w:p>
            <w:pPr>
              <w:ind w:left="220"/>
              <w:spacing w:after="0" w:line="131" w:lineRule="exact"/>
              <w:rPr>
                <w:sz w:val="20"/>
                <w:szCs w:val="20"/>
                <w:color w:val="auto"/>
              </w:rPr>
            </w:pPr>
            <w:r>
              <w:rPr>
                <w:rFonts w:ascii="Arial" w:cs="Arial" w:eastAsia="Arial" w:hAnsi="Arial"/>
                <w:sz w:val="14"/>
                <w:szCs w:val="14"/>
                <w:color w:val="auto"/>
              </w:rPr>
              <w:t>Consolidated total</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11,211.2</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11,589.6</w:t>
            </w:r>
          </w:p>
        </w:tc>
        <w:tc>
          <w:tcPr>
            <w:tcW w:w="96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190.8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11,402.0</w:t>
            </w:r>
          </w:p>
        </w:tc>
        <w:tc>
          <w:tcPr>
            <w:tcW w:w="10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11,144.2</w:t>
            </w:r>
          </w:p>
        </w:tc>
        <w:tc>
          <w:tcPr>
            <w:tcW w:w="12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4"/>
        </w:trPr>
        <w:tc>
          <w:tcPr>
            <w:tcW w:w="1840" w:type="dxa"/>
            <w:vAlign w:val="bottom"/>
            <w:tcBorders>
              <w:bottom w:val="single" w:sz="8" w:color="CCEEFF"/>
            </w:tcBorders>
            <w:shd w:val="clear" w:color="auto" w:fill="CCEEFF"/>
          </w:tcPr>
          <w:p>
            <w:pPr>
              <w:ind w:left="220"/>
              <w:spacing w:after="0" w:line="174"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(7)</w:t>
            </w: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4" w:lineRule="exact"/>
        <w:rPr>
          <w:sz w:val="20"/>
          <w:szCs w:val="20"/>
          <w:color w:val="auto"/>
        </w:rPr>
      </w:pPr>
    </w:p>
    <w:p>
      <w:pPr>
        <w:ind w:left="580" w:hanging="248"/>
        <w:spacing w:after="0"/>
        <w:tabs>
          <w:tab w:leader="none" w:pos="5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44" w:lineRule="exact"/>
        <w:rPr>
          <w:rFonts w:ascii="Arial" w:cs="Arial" w:eastAsia="Arial" w:hAnsi="Arial"/>
          <w:sz w:val="21"/>
          <w:szCs w:val="21"/>
          <w:color w:val="auto"/>
          <w:vertAlign w:val="superscript"/>
        </w:rPr>
      </w:pPr>
    </w:p>
    <w:p>
      <w:pPr>
        <w:jc w:val="both"/>
        <w:ind w:left="660" w:hanging="328"/>
        <w:spacing w:after="0" w:line="232" w:lineRule="auto"/>
        <w:tabs>
          <w:tab w:leader="none" w:pos="636"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2024 constant currency net sales or revenues to the corresponding amount in the prior year.</w:t>
      </w:r>
    </w:p>
    <w:p>
      <w:pPr>
        <w:spacing w:after="0" w:line="2"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Represents proportionate net sales relating to divestitures that have closed during 2023 and 2024 in the relevant period.</w:t>
      </w:r>
    </w:p>
    <w:p>
      <w:pPr>
        <w:spacing w:after="0" w:line="57" w:lineRule="exact"/>
        <w:rPr>
          <w:rFonts w:ascii="Arial" w:cs="Arial" w:eastAsia="Arial" w:hAnsi="Arial"/>
          <w:sz w:val="21"/>
          <w:szCs w:val="21"/>
          <w:color w:val="auto"/>
          <w:vertAlign w:val="superscript"/>
        </w:rPr>
      </w:pPr>
    </w:p>
    <w:p>
      <w:pPr>
        <w:ind w:left="660" w:hanging="328"/>
        <w:spacing w:after="0"/>
        <w:tabs>
          <w:tab w:leader="none" w:pos="653"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Represents U.S. GAAP net sales minus proportionate net sales relating to divestitures that have closed during 2023 and 2024 for the relevant period.</w:t>
      </w:r>
    </w:p>
    <w:p>
      <w:pPr>
        <w:spacing w:after="0" w:line="147"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See “Certain Key Terms and Presentation Matters” in this release for more information.</w:t>
      </w:r>
    </w:p>
    <w:p>
      <w:pPr>
        <w:spacing w:after="0" w:line="57" w:lineRule="exact"/>
        <w:rPr>
          <w:rFonts w:ascii="Arial" w:cs="Arial" w:eastAsia="Arial" w:hAnsi="Arial"/>
          <w:sz w:val="21"/>
          <w:szCs w:val="21"/>
          <w:color w:val="auto"/>
          <w:vertAlign w:val="superscript"/>
        </w:rPr>
      </w:pPr>
    </w:p>
    <w:p>
      <w:pPr>
        <w:jc w:val="both"/>
        <w:ind w:left="660" w:hanging="328"/>
        <w:spacing w:after="0"/>
        <w:tabs>
          <w:tab w:leader="none" w:pos="653"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September 30, 2024, other revenues in Developed Markets, Greater China, JANZ, and Emerging Markets were approximately $9.5 million, $0.4 million</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$1.2 million, and $2.1 million, respectively. For the nine months ended September 30, 2024, other revenues in Developed Markets, Greater China, JANZ, and Emerging Markets were approximately $22.6 million, $0.8 million</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$1.7 million, and $8.7 million, respectively.</w:t>
      </w:r>
    </w:p>
    <w:p>
      <w:pPr>
        <w:spacing w:after="0" w:line="16"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eliminates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890" w:right="339" w:bottom="1440" w:gutter="0" w:footer="0" w:header="0"/>
        </w:sectPr>
      </w:pPr>
    </w:p>
    <w:bookmarkStart w:id="22" w:name="page23"/>
    <w:bookmarkEnd w:id="22"/>
    <w:p>
      <w:pPr>
        <w:ind w:left="1300"/>
        <w:spacing w:after="0"/>
        <w:rPr>
          <w:sz w:val="20"/>
          <w:szCs w:val="20"/>
          <w:color w:val="auto"/>
        </w:rPr>
      </w:pPr>
      <w:r>
        <w:rPr>
          <w:rFonts w:ascii="Arial" w:cs="Arial" w:eastAsia="Arial" w:hAnsi="Arial"/>
          <w:sz w:val="18"/>
          <w:szCs w:val="18"/>
          <w:b w:val="1"/>
          <w:bCs w:val="1"/>
          <w:color w:val="auto"/>
        </w:rPr>
        <w:t>Reconciliation of Income Statement Line Items</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09"/>
        </w:trPr>
        <w:tc>
          <w:tcPr>
            <w:tcW w:w="57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2,292.0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2,250.6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6,802.6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6,747.5</w:t>
            </w: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(586.2)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(1,907.6)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(1,864.7)</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related costs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(92.5)</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1,558.3</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1,608.0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4,659.6</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4,673.1</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2,192.9</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2,333.9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6,551.6</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6,916.5</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U.S. GAAP R&amp;D</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Deduct:</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Acquisition and divestiture-related costs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Restructuring and related costs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Share-based compensation expense</w:t>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(b)</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special items</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4"/>
          <w:szCs w:val="14"/>
          <w:color w:val="auto"/>
        </w:rPr>
        <w:t>Adjusted R&amp;D</w:t>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4"/>
          <w:szCs w:val="14"/>
          <w:color w:val="auto"/>
        </w:rPr>
        <w:t>Adjusted R&amp;D as % of total revenues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8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4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Nine Months Ended</w:t>
            </w:r>
          </w:p>
        </w:tc>
      </w:tr>
      <w:tr>
        <w:trPr>
          <w:trHeight w:val="204"/>
        </w:trPr>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r>
      <w:tr>
        <w:trPr>
          <w:trHeight w:val="291"/>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r>
      <w:tr>
        <w:trPr>
          <w:trHeight w:val="189"/>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198.4</w:t>
            </w:r>
          </w:p>
        </w:tc>
        <w:tc>
          <w:tcPr>
            <w:tcW w:w="12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211.2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602.2</w:t>
            </w:r>
          </w:p>
        </w:tc>
        <w:tc>
          <w:tcPr>
            <w:tcW w:w="12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602.4</w:t>
            </w:r>
          </w:p>
        </w:tc>
      </w:tr>
      <w:tr>
        <w:trPr>
          <w:trHeight w:val="405"/>
        </w:trPr>
        <w:tc>
          <w:tcPr>
            <w:tcW w:w="28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ind w:left="560"/>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(9.2)</w:t>
            </w:r>
          </w:p>
        </w:tc>
      </w:tr>
      <w:tr>
        <w:trPr>
          <w:trHeight w:val="203"/>
        </w:trPr>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0" w:type="dxa"/>
            <w:vAlign w:val="bottom"/>
          </w:tcPr>
          <w:p>
            <w:pPr>
              <w:ind w:left="560"/>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03"/>
        </w:trPr>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ind w:left="560"/>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(4.0)</w:t>
            </w:r>
          </w:p>
        </w:tc>
      </w:tr>
      <w:tr>
        <w:trPr>
          <w:trHeight w:val="203"/>
        </w:trPr>
        <w:tc>
          <w:tcPr>
            <w:tcW w:w="2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ind w:left="56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(27.0)</w:t>
            </w:r>
          </w:p>
        </w:tc>
      </w:tr>
      <w:tr>
        <w:trPr>
          <w:trHeight w:val="207"/>
        </w:trPr>
        <w:tc>
          <w:tcPr>
            <w:tcW w:w="2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ind w:left="56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(2.7)</w:t>
            </w:r>
          </w:p>
        </w:tc>
      </w:tr>
      <w:tr>
        <w:trPr>
          <w:trHeight w:val="196"/>
        </w:trPr>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194.2</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581.1</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559.5</w:t>
            </w:r>
          </w:p>
        </w:tc>
      </w:tr>
      <w:tr>
        <w:trPr>
          <w:trHeight w:val="25"/>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81"/>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r>
      <w:tr>
        <w:trPr>
          <w:trHeight w:val="25"/>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-1362075</wp:posOffset>
            </wp:positionV>
            <wp:extent cx="707199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-1096645</wp:posOffset>
            </wp:positionV>
            <wp:extent cx="707199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-839470</wp:posOffset>
            </wp:positionV>
            <wp:extent cx="707199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128270"/>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-582295</wp:posOffset>
            </wp:positionV>
            <wp:extent cx="707199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-299085</wp:posOffset>
            </wp:positionV>
            <wp:extent cx="70719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720"/>
            <w:col w:w="5480"/>
          </w:cols>
          <w:pgMar w:left="320" w:top="890" w:right="339" w:bottom="1440" w:gutter="0" w:footer="0" w:header="0"/>
          <w:type w:val="continuous"/>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09"/>
        </w:trPr>
        <w:tc>
          <w:tcPr>
            <w:tcW w:w="57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SG&amp;A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1,003.4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1,053.5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3,378.9</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3,044.3</w:t>
            </w: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(77.9)</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(194.1)</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(105.9)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of goodwill</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(321.0)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9"/>
                <w:szCs w:val="9"/>
                <w:color w:val="auto"/>
              </w:rPr>
              <w:t>(b)</w:t>
            </w:r>
          </w:p>
        </w:tc>
        <w:tc>
          <w:tcPr>
            <w:tcW w:w="30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 and reclassifications</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Adjusted SG&amp;A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858.6</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877.1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2,618.0</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2,607.9</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4"/>
                <w:szCs w:val="14"/>
                <w:color w:val="auto"/>
              </w:rPr>
              <w:t>Adjusted SG&amp;A as % of total revenues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890" w:right="339" w:bottom="1440" w:gutter="0" w:footer="0" w:header="0"/>
          <w:type w:val="continuous"/>
        </w:sectPr>
      </w:pPr>
    </w:p>
    <w:bookmarkStart w:id="23" w:name="page24"/>
    <w:bookmarkEnd w:id="23"/>
    <w:tbl>
      <w:tblPr>
        <w:tblLayout w:type="fixed"/>
        <w:tblInd w:w="16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5"/>
                <w:szCs w:val="15"/>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109"/>
        </w:trPr>
        <w:tc>
          <w:tcPr>
            <w:tcW w:w="57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4,218.7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3,621.4</w:t>
            </w: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98"/>
        </w:trPr>
        <w:tc>
          <w:tcPr>
            <w:tcW w:w="5780" w:type="dxa"/>
            <w:vAlign w:val="bottom"/>
          </w:tcPr>
          <w:p>
            <w:pPr>
              <w:ind w:left="240"/>
              <w:spacing w:after="0"/>
              <w:rPr>
                <w:sz w:val="20"/>
                <w:szCs w:val="20"/>
                <w:color w:val="auto"/>
              </w:rPr>
            </w:pPr>
            <w:r>
              <w:rPr>
                <w:rFonts w:ascii="Arial" w:cs="Arial" w:eastAsia="Arial" w:hAnsi="Arial"/>
                <w:sz w:val="14"/>
                <w:szCs w:val="14"/>
                <w:color w:val="auto"/>
              </w:rPr>
              <w:t>R&amp;D adjustments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SG&amp;A adjustments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(760.9)</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(436.4)</w:t>
            </w:r>
          </w:p>
        </w:tc>
        <w:tc>
          <w:tcPr>
            <w:tcW w:w="0" w:type="dxa"/>
            <w:vAlign w:val="bottom"/>
          </w:tcPr>
          <w:p>
            <w:pPr>
              <w:spacing w:after="0"/>
              <w:rPr>
                <w:sz w:val="1"/>
                <w:szCs w:val="1"/>
                <w:color w:val="auto"/>
              </w:rPr>
            </w:pP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Adjusted total operating expenses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1,052.8</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3,197.4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3,178.6</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3,354.2</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3,737.9</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(In millions)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U.S. GAAP interest expense</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Add / (Deduct):</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Accretion of contingent consideration liability</w:t>
      </w:r>
    </w:p>
    <w:p>
      <w:pPr>
        <w:spacing w:after="0" w:line="42" w:lineRule="exact"/>
        <w:rPr>
          <w:sz w:val="20"/>
          <w:szCs w:val="20"/>
          <w:color w:val="auto"/>
        </w:rPr>
      </w:pPr>
    </w:p>
    <w:p>
      <w:pPr>
        <w:ind w:left="380" w:right="960"/>
        <w:spacing w:after="0" w:line="332" w:lineRule="auto"/>
        <w:rPr>
          <w:sz w:val="20"/>
          <w:szCs w:val="20"/>
          <w:color w:val="auto"/>
        </w:rPr>
      </w:pPr>
      <w:r>
        <w:rPr>
          <w:rFonts w:ascii="Arial" w:cs="Arial" w:eastAsia="Arial" w:hAnsi="Arial"/>
          <w:sz w:val="14"/>
          <w:szCs w:val="14"/>
          <w:color w:val="auto"/>
        </w:rPr>
        <w:t>Amortization of premiums and discounts on long-term debt Other special items</w:t>
      </w:r>
    </w:p>
    <w:p>
      <w:pPr>
        <w:ind w:left="160"/>
        <w:spacing w:after="0"/>
        <w:rPr>
          <w:sz w:val="20"/>
          <w:szCs w:val="20"/>
          <w:color w:val="auto"/>
        </w:rPr>
      </w:pPr>
      <w:r>
        <w:rPr>
          <w:rFonts w:ascii="Arial" w:cs="Arial" w:eastAsia="Arial" w:hAnsi="Arial"/>
          <w:sz w:val="14"/>
          <w:szCs w:val="14"/>
          <w:color w:val="auto"/>
        </w:rPr>
        <w:t>Adjusted interest expense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GAAP other income, net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 (Deduct):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Fair value adjustments on non-marketable equity investments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9"/>
          <w:szCs w:val="9"/>
          <w:color w:val="auto"/>
        </w:rPr>
        <w:t>(b)</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Loss on divestitures of businesses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items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96"/>
        </w:trPr>
        <w:tc>
          <w:tcPr>
            <w:tcW w:w="20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r>
      <w:tr>
        <w:trPr>
          <w:trHeight w:val="204"/>
        </w:trPr>
        <w:tc>
          <w:tcPr>
            <w:tcW w:w="7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r>
      <w:tr>
        <w:trPr>
          <w:trHeight w:val="290"/>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2023</w:t>
            </w:r>
          </w:p>
        </w:tc>
      </w:tr>
      <w:tr>
        <w:trPr>
          <w:trHeight w:val="189"/>
        </w:trPr>
        <w:tc>
          <w:tcPr>
            <w:tcW w:w="760" w:type="dxa"/>
            <w:vAlign w:val="bottom"/>
          </w:tcPr>
          <w:p>
            <w:pPr>
              <w:jc w:val="right"/>
              <w:ind w:right="60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145.6</w:t>
            </w:r>
          </w:p>
        </w:tc>
        <w:tc>
          <w:tcPr>
            <w:tcW w:w="100" w:type="dxa"/>
            <w:vAlign w:val="bottom"/>
          </w:tcPr>
          <w:p>
            <w:pPr>
              <w:spacing w:after="0"/>
              <w:rPr>
                <w:sz w:val="16"/>
                <w:szCs w:val="16"/>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141.5</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429.8</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432.2</w:t>
            </w:r>
          </w:p>
        </w:tc>
      </w:tr>
      <w:tr>
        <w:trPr>
          <w:trHeight w:val="405"/>
        </w:trPr>
        <w:tc>
          <w:tcPr>
            <w:tcW w:w="7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03"/>
        </w:trPr>
        <w:tc>
          <w:tcPr>
            <w:tcW w:w="7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40.8</w:t>
            </w:r>
          </w:p>
        </w:tc>
      </w:tr>
      <w:tr>
        <w:trPr>
          <w:trHeight w:val="206"/>
        </w:trPr>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196"/>
        </w:trPr>
        <w:tc>
          <w:tcPr>
            <w:tcW w:w="7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145.3</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443.8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463.7</w:t>
            </w:r>
          </w:p>
        </w:tc>
      </w:tr>
      <w:tr>
        <w:trPr>
          <w:trHeight w:val="24"/>
        </w:trPr>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-822325</wp:posOffset>
            </wp:positionV>
            <wp:extent cx="695198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51980" cy="137160"/>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-556895</wp:posOffset>
            </wp:positionV>
            <wp:extent cx="695198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51980" cy="12890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-299720</wp:posOffset>
            </wp:positionV>
            <wp:extent cx="695198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51980" cy="128905"/>
                    </a:xfrm>
                    <a:prstGeom prst="rect">
                      <a:avLst/>
                    </a:prstGeom>
                    <a:noFill/>
                  </pic:spPr>
                </pic:pic>
              </a:graphicData>
            </a:graphic>
          </wp:anchor>
        </w:drawing>
      </w:r>
    </w:p>
    <w:p>
      <w:pPr>
        <w:spacing w:after="0" w:line="308"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21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7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r>
      <w:tr>
        <w:trPr>
          <w:trHeight w:val="291"/>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2023</w:t>
            </w:r>
          </w:p>
        </w:tc>
      </w:tr>
      <w:tr>
        <w:trPr>
          <w:trHeight w:val="189"/>
        </w:trPr>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(269.4)</w:t>
            </w:r>
          </w:p>
        </w:tc>
      </w:tr>
      <w:tr>
        <w:trPr>
          <w:trHeight w:val="405"/>
        </w:trPr>
        <w:tc>
          <w:tcPr>
            <w:tcW w:w="780" w:type="dxa"/>
            <w:vAlign w:val="bottom"/>
          </w:tcPr>
          <w:p>
            <w:pPr>
              <w:spacing w:after="0"/>
              <w:rPr>
                <w:sz w:val="24"/>
                <w:szCs w:val="24"/>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335.1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115.1</w:t>
            </w:r>
          </w:p>
        </w:tc>
      </w:tr>
      <w:tr>
        <w:trPr>
          <w:trHeight w:val="203"/>
        </w:trPr>
        <w:tc>
          <w:tcPr>
            <w:tcW w:w="7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106.8</w:t>
            </w:r>
          </w:p>
        </w:tc>
      </w:tr>
      <w:tr>
        <w:trPr>
          <w:trHeight w:val="203"/>
        </w:trPr>
        <w:tc>
          <w:tcPr>
            <w:tcW w:w="1220" w:type="dxa"/>
            <w:vAlign w:val="bottom"/>
            <w:gridSpan w:val="2"/>
          </w:tcPr>
          <w:p>
            <w:pPr>
              <w:jc w:val="right"/>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(295.8)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r>
      <w:tr>
        <w:trPr>
          <w:trHeight w:val="25"/>
        </w:trPr>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-950595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-685165</wp:posOffset>
            </wp:positionV>
            <wp:extent cx="7132320"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-427990</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-170815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820" w:type="dxa"/>
            <w:vAlign w:val="bottom"/>
          </w:tcPr>
          <w:p>
            <w:pPr>
              <w:spacing w:after="0"/>
              <w:rPr>
                <w:sz w:val="17"/>
                <w:szCs w:val="17"/>
                <w:color w:val="auto"/>
              </w:rPr>
            </w:pPr>
          </w:p>
        </w:tc>
        <w:tc>
          <w:tcPr>
            <w:tcW w:w="19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7"/>
                <w:szCs w:val="17"/>
                <w:color w:val="auto"/>
              </w:rPr>
            </w:pPr>
          </w:p>
        </w:tc>
        <w:tc>
          <w:tcPr>
            <w:tcW w:w="1840" w:type="dxa"/>
            <w:vAlign w:val="bottom"/>
          </w:tcPr>
          <w:p>
            <w:pPr>
              <w:jc w:val="center"/>
              <w:ind w:right="748"/>
              <w:spacing w:after="0"/>
              <w:rPr>
                <w:sz w:val="20"/>
                <w:szCs w:val="20"/>
                <w:color w:val="auto"/>
              </w:rPr>
            </w:pPr>
            <w:r>
              <w:rPr>
                <w:rFonts w:ascii="Arial" w:cs="Arial" w:eastAsia="Arial" w:hAnsi="Arial"/>
                <w:sz w:val="14"/>
                <w:szCs w:val="14"/>
                <w:b w:val="1"/>
                <w:bCs w:val="1"/>
                <w:color w:val="auto"/>
              </w:rPr>
              <w:t>September 30,</w:t>
            </w:r>
          </w:p>
        </w:tc>
      </w:tr>
      <w:tr>
        <w:trPr>
          <w:trHeight w:val="289"/>
        </w:trPr>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86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84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r>
    </w:tbl>
    <w:p>
      <w:pPr>
        <w:spacing w:after="0" w:line="1" w:lineRule="exact"/>
        <w:rPr>
          <w:sz w:val="20"/>
          <w:szCs w:val="20"/>
          <w:color w:val="auto"/>
        </w:rPr>
      </w:pPr>
    </w:p>
    <w:p>
      <w:pPr>
        <w:sectPr>
          <w:pgSz w:w="11900" w:h="16838" w:orient="portrait"/>
          <w:cols w:equalWidth="0" w:num="2">
            <w:col w:w="5060" w:space="720"/>
            <w:col w:w="5460"/>
          </w:cols>
          <w:pgMar w:left="320" w:top="9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earnings (loss) before income taxes</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90.5</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402.2</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(96.7)</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1,057.9</w:t>
            </w:r>
          </w:p>
        </w:tc>
        <w:tc>
          <w:tcPr>
            <w:tcW w:w="0" w:type="dxa"/>
            <w:vAlign w:val="bottom"/>
          </w:tcPr>
          <w:p>
            <w:pPr>
              <w:spacing w:after="0"/>
              <w:rPr>
                <w:sz w:val="1"/>
                <w:szCs w:val="1"/>
                <w:color w:val="auto"/>
              </w:rPr>
            </w:pP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978.0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3,116.7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2,264.8</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1,068.5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1,134.3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3,020.0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3,322.7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(benefit) provision</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237.6</w:t>
            </w:r>
          </w:p>
        </w:tc>
        <w:tc>
          <w:tcPr>
            <w:tcW w:w="0" w:type="dxa"/>
            <w:vAlign w:val="bottom"/>
          </w:tcPr>
          <w:p>
            <w:pPr>
              <w:spacing w:after="0"/>
              <w:rPr>
                <w:sz w:val="1"/>
                <w:szCs w:val="1"/>
                <w:color w:val="auto"/>
              </w:rPr>
            </w:pP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175.3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110.9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294.0</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171.0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483.2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531.6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660" w:hanging="328"/>
        <w:spacing w:after="0"/>
        <w:tabs>
          <w:tab w:leader="none" w:pos="653"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26" w:lineRule="exact"/>
        <w:rPr>
          <w:rFonts w:ascii="Arial" w:cs="Arial" w:eastAsia="Arial" w:hAnsi="Arial"/>
          <w:sz w:val="19"/>
          <w:szCs w:val="19"/>
          <w:color w:val="auto"/>
          <w:vertAlign w:val="superscript"/>
        </w:rPr>
      </w:pPr>
    </w:p>
    <w:p>
      <w:pPr>
        <w:ind w:left="640" w:hanging="308"/>
        <w:spacing w:after="0"/>
        <w:tabs>
          <w:tab w:leader="none" w:pos="640" w:val="left"/>
        </w:tabs>
        <w:numPr>
          <w:ilvl w:val="0"/>
          <w:numId w:val="17"/>
        </w:numPr>
        <w:rPr>
          <w:rFonts w:ascii="Arial" w:cs="Arial" w:eastAsia="Arial" w:hAnsi="Arial"/>
          <w:sz w:val="9"/>
          <w:szCs w:val="9"/>
          <w:color w:val="auto"/>
        </w:rPr>
      </w:pPr>
      <w:r>
        <w:rPr>
          <w:rFonts w:ascii="Arial" w:cs="Arial" w:eastAsia="Arial" w:hAnsi="Arial"/>
          <w:sz w:val="14"/>
          <w:szCs w:val="14"/>
          <w:color w:val="auto"/>
        </w:rPr>
        <w:t>Refer to "Certain Key Terms and Presentation Matters" section in this release for more information on reclassifications related to TSA reimbursements.</w:t>
      </w:r>
    </w:p>
    <w:p>
      <w:pPr>
        <w:spacing w:after="0" w:line="68" w:lineRule="exact"/>
        <w:rPr>
          <w:rFonts w:ascii="Arial" w:cs="Arial" w:eastAsia="Arial" w:hAnsi="Arial"/>
          <w:sz w:val="9"/>
          <w:szCs w:val="9"/>
          <w:color w:val="auto"/>
        </w:rPr>
      </w:pPr>
    </w:p>
    <w:p>
      <w:pPr>
        <w:ind w:left="660" w:right="20" w:hanging="328"/>
        <w:spacing w:after="0" w:line="231" w:lineRule="auto"/>
        <w:tabs>
          <w:tab w:leader="none" w:pos="647"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ectPr>
          <w:pgSz w:w="11900" w:h="16838" w:orient="portrait"/>
          <w:cols w:equalWidth="0" w:num="1">
            <w:col w:w="11240"/>
          </w:cols>
          <w:pgMar w:left="320" w:top="9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940"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Reconciliation of Estimated 2024 U.S. GAAP Net Cash Provided by Operating Activities to Free Cash Flow as of November 7, 2024</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2024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Estimated U.S. GAAP Net Cash provided by Operating Activities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$2,920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$(450)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$2,570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57"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Excludes the impact of any divestiture-related taxes and transaction costs and any acquired IPR&amp;D.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2024 U.S. GAAP Net Cash Provided by Operating Activities to Free Cash Flow as of August 8, 2024</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2024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Estimated U.S. GAAP Net Cash provided by Operating Activities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$2,920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$(450)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$2,570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57"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Excluded the impact of any divestiture-related taxes and transaction costs and any acquired IPR&amp;D.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Gross Leverage Ratio</w:t>
      </w:r>
    </w:p>
    <w:p>
      <w:pPr>
        <w:spacing w:after="0" w:line="225" w:lineRule="exact"/>
        <w:rPr>
          <w:sz w:val="20"/>
          <w:szCs w:val="20"/>
          <w:color w:val="auto"/>
        </w:rPr>
      </w:pPr>
    </w:p>
    <w:p>
      <w:pPr>
        <w:ind w:right="460" w:firstLine="648"/>
        <w:spacing w:after="0" w:line="279" w:lineRule="auto"/>
        <w:rPr>
          <w:sz w:val="20"/>
          <w:szCs w:val="20"/>
          <w:color w:val="auto"/>
        </w:rPr>
      </w:pPr>
      <w:r>
        <w:rPr>
          <w:rFonts w:ascii="Arial" w:cs="Arial" w:eastAsia="Arial" w:hAnsi="Arial"/>
          <w:sz w:val="18"/>
          <w:szCs w:val="18"/>
          <w:color w:val="auto"/>
        </w:rPr>
        <w:t>Gross Leverage Ratio is the ratio of Viatris’ total debt at notional amounts at September 30, 2024 to the sum of Viatris’ adjusted EBITDA for the quarters ended December 31, 2023, March 31, 2024, June 30, 2024 and September 30, 2024.</w:t>
      </w: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6"/>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ratio)</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2024</w:t>
            </w:r>
          </w:p>
        </w:tc>
        <w:tc>
          <w:tcPr>
            <w:tcW w:w="126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220" w:type="dxa"/>
            <w:vAlign w:val="bottom"/>
          </w:tcPr>
          <w:p>
            <w:pPr>
              <w:jc w:val="center"/>
              <w:ind w:right="42"/>
              <w:spacing w:after="0" w:line="147"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4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6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1,117.4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1,193.4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1,284.6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4,803.3</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debt balances: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140"/>
              <w:spacing w:after="0"/>
              <w:rPr>
                <w:sz w:val="20"/>
                <w:szCs w:val="20"/>
                <w:color w:val="auto"/>
              </w:rPr>
            </w:pPr>
            <w:r>
              <w:rPr>
                <w:rFonts w:ascii="Arial" w:cs="Arial" w:eastAsia="Arial" w:hAnsi="Arial"/>
                <w:sz w:val="16"/>
                <w:szCs w:val="16"/>
                <w:color w:val="auto"/>
              </w:rPr>
              <w:t>Long-term debt, including current portion</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15,742.1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borrowings and other current obligations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15,743.7</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Less: October 2024 make-whole call </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15,418.7</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 (deduct):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140"/>
              <w:spacing w:after="0"/>
              <w:rPr>
                <w:sz w:val="20"/>
                <w:szCs w:val="20"/>
                <w:color w:val="auto"/>
              </w:rPr>
            </w:pPr>
            <w:r>
              <w:rPr>
                <w:rFonts w:ascii="Arial" w:cs="Arial" w:eastAsia="Arial" w:hAnsi="Arial"/>
                <w:sz w:val="16"/>
                <w:szCs w:val="16"/>
                <w:color w:val="auto"/>
              </w:rPr>
              <w:t>Net premiums on various debt issuances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(498.6)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financing fees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 debt at notional amounts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14,945.6</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Gross debt to adjusted EBITDA</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 x</w:t>
            </w:r>
          </w:p>
        </w:tc>
        <w:tc>
          <w:tcPr>
            <w:tcW w:w="0" w:type="dxa"/>
            <w:vAlign w:val="bottom"/>
          </w:tcPr>
          <w:p>
            <w:pPr>
              <w:spacing w:after="0"/>
              <w:rPr>
                <w:sz w:val="1"/>
                <w:szCs w:val="1"/>
                <w:color w:val="auto"/>
              </w:rPr>
            </w:pPr>
          </w:p>
        </w:tc>
      </w:tr>
      <w:tr>
        <w:trPr>
          <w:trHeight w:val="31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Make-whole call of €292M (~$325M) of remaining 2025 Euro Senior Notes on October 16, 2024.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Gross Leverage Target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stated forward-looking non-GAAP financial measure of long-term gross leverage target of ~3.0x, with a range of 2.8x – 3.2x, is based on</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the ratio of (i) targeted notional gross debt and (ii) targeted Adjusted EBITDA. However, the Company has not quantified future amounts to develop this target but has stated its goal to manage notional gross debt and Adjusted EBITDA over time in order to generally maintain or</w:t>
      </w:r>
    </w:p>
    <w:p>
      <w:pPr>
        <w:spacing w:after="0" w:line="1" w:lineRule="exact"/>
        <w:rPr>
          <w:sz w:val="20"/>
          <w:szCs w:val="20"/>
          <w:color w:val="auto"/>
        </w:rPr>
      </w:pPr>
    </w:p>
    <w:p>
      <w:pPr>
        <w:jc w:val="both"/>
        <w:ind w:right="680"/>
        <w:spacing w:after="0" w:line="242" w:lineRule="auto"/>
        <w:rPr>
          <w:sz w:val="20"/>
          <w:szCs w:val="20"/>
          <w:color w:val="auto"/>
        </w:rPr>
      </w:pPr>
      <w:r>
        <w:rPr>
          <w:rFonts w:ascii="Arial" w:cs="Arial" w:eastAsia="Arial" w:hAnsi="Arial"/>
          <w:sz w:val="18"/>
          <w:szCs w:val="18"/>
          <w:color w:val="auto"/>
        </w:rPr>
        <w:t>reach the target. This target does not reflect Company guidance. For Q4 2024, in addition to the impact of make-whole call of €292M (~$325M) of the remaining 2025 Euro Senior Notes on October 16, 2024, the Company anticipates the expected repayment of €1.0B (~$1.1B) maturity of 2024 Euro Senior Notes in November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2024-11-07T07:09:30Z</dcterms:created>
  <dcterms:modified xsi:type="dcterms:W3CDTF">2024-11-07T07:09:30Z</dcterms:modified>
</cp:coreProperties>
</file>