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43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Campbell Paul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303.4612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303.4612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303.4612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18.8489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0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18.8489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5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DEUs that accrued with respect to RSUs previously granted on March 2, 2021 and vest on the same schedule as the underlying RSUs.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Accounting Officer and Corporate Controller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756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2021-06-23T19:43:07Z</dcterms:created>
  <dcterms:modified xsi:type="dcterms:W3CDTF">2021-06-23T19:43:07Z</dcterms:modified>
</cp:coreProperties>
</file>