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7"/>
          <w:szCs w:val="27"/>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7"/>
          <w:szCs w:val="27"/>
          <w:color w:val="auto"/>
        </w:rPr>
        <w:t>SECURITIES AND EXCHANGE COMMISSION</w:t>
      </w: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7"/>
          <w:szCs w:val="27"/>
          <w:color w:val="auto"/>
        </w:rPr>
        <w:t>FORM 10-Q</w:t>
      </w:r>
    </w:p>
    <w:p>
      <w:pPr>
        <w:spacing w:after="0" w:line="202" w:lineRule="exact"/>
        <w:rPr>
          <w:sz w:val="24"/>
          <w:szCs w:val="24"/>
          <w:color w:val="auto"/>
        </w:rPr>
      </w:pPr>
    </w:p>
    <w:p>
      <w:pPr>
        <w:ind w:left="3200" w:hanging="210"/>
        <w:spacing w:after="0"/>
        <w:tabs>
          <w:tab w:leader="none" w:pos="3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25" w:lineRule="exact"/>
        <w:rPr>
          <w:rFonts w:ascii="MS PGothic" w:cs="MS PGothic" w:eastAsia="MS PGothic" w:hAnsi="MS PGothic"/>
          <w:sz w:val="18"/>
          <w:szCs w:val="18"/>
          <w:color w:val="auto"/>
        </w:rPr>
      </w:pPr>
    </w:p>
    <w:p>
      <w:pPr>
        <w:ind w:left="36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27, 2020</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240" w:right="3160" w:firstLine="106"/>
        <w:spacing w:after="0" w:line="308" w:lineRule="auto"/>
        <w:tabs>
          <w:tab w:leader="none" w:pos="35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8"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For the transition period from _______ to _______</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Commission file number 000-56114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UPJOHN INC.</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65"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72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1"/>
              </w:rPr>
              <w:t>Delaware</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00" w:type="dxa"/>
            <w:vAlign w:val="bottom"/>
            <w:gridSpan w:val="2"/>
          </w:tcPr>
          <w:p>
            <w:pPr>
              <w:jc w:val="right"/>
              <w:ind w:right="1970"/>
              <w:spacing w:after="0"/>
              <w:rPr>
                <w:sz w:val="20"/>
                <w:szCs w:val="20"/>
                <w:color w:val="auto"/>
              </w:rPr>
            </w:pPr>
            <w:r>
              <w:rPr>
                <w:rFonts w:ascii="Arial" w:cs="Arial" w:eastAsia="Arial" w:hAnsi="Arial"/>
                <w:sz w:val="18"/>
                <w:szCs w:val="18"/>
                <w:b w:val="1"/>
                <w:bCs w:val="1"/>
                <w:color w:val="auto"/>
              </w:rPr>
              <w:t>83-4364296</w:t>
            </w:r>
          </w:p>
        </w:tc>
      </w:tr>
      <w:tr>
        <w:trPr>
          <w:trHeight w:val="243"/>
        </w:trPr>
        <w:tc>
          <w:tcPr>
            <w:tcW w:w="432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360" w:type="dxa"/>
            <w:vAlign w:val="bottom"/>
          </w:tcPr>
          <w:p>
            <w:pPr>
              <w:spacing w:after="0"/>
              <w:rPr>
                <w:sz w:val="21"/>
                <w:szCs w:val="21"/>
                <w:color w:val="auto"/>
              </w:rPr>
            </w:pPr>
          </w:p>
        </w:tc>
        <w:tc>
          <w:tcPr>
            <w:tcW w:w="4540" w:type="dxa"/>
            <w:vAlign w:val="bottom"/>
            <w:gridSpan w:val="3"/>
          </w:tcPr>
          <w:p>
            <w:pPr>
              <w:jc w:val="center"/>
              <w:ind w:right="370"/>
              <w:spacing w:after="0"/>
              <w:rPr>
                <w:sz w:val="20"/>
                <w:szCs w:val="20"/>
                <w:color w:val="auto"/>
              </w:rPr>
            </w:pPr>
            <w:r>
              <w:rPr>
                <w:rFonts w:ascii="Arial" w:cs="Arial" w:eastAsia="Arial" w:hAnsi="Arial"/>
                <w:sz w:val="18"/>
                <w:szCs w:val="18"/>
                <w:color w:val="auto"/>
                <w:w w:val="93"/>
              </w:rPr>
              <w:t>(I.R.S. Employer Identification No.)</w:t>
            </w:r>
          </w:p>
        </w:tc>
      </w:tr>
      <w:tr>
        <w:trPr>
          <w:trHeight w:val="431"/>
        </w:trPr>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235 East 42</w:t>
            </w:r>
            <w:r>
              <w:rPr>
                <w:rFonts w:ascii="Arial" w:cs="Arial" w:eastAsia="Arial" w:hAnsi="Arial"/>
                <w:sz w:val="24"/>
                <w:szCs w:val="24"/>
                <w:color w:val="auto"/>
                <w:w w:val="89"/>
                <w:vertAlign w:val="superscript"/>
              </w:rPr>
              <w:t>nd</w:t>
            </w:r>
            <w:r>
              <w:rPr>
                <w:rFonts w:ascii="Arial" w:cs="Arial" w:eastAsia="Arial" w:hAnsi="Arial"/>
                <w:sz w:val="18"/>
                <w:szCs w:val="18"/>
                <w:color w:val="auto"/>
                <w:w w:val="89"/>
              </w:rPr>
              <w:t xml:space="preserve"> Street, New York, New York 10017</w:t>
            </w: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gridSpan w:val="3"/>
          </w:tcPr>
          <w:p>
            <w:pPr>
              <w:jc w:val="center"/>
              <w:ind w:left="90"/>
              <w:spacing w:after="0"/>
              <w:rPr>
                <w:sz w:val="20"/>
                <w:szCs w:val="20"/>
                <w:color w:val="auto"/>
              </w:rPr>
            </w:pPr>
            <w:r>
              <w:rPr>
                <w:rFonts w:ascii="Arial" w:cs="Arial" w:eastAsia="Arial" w:hAnsi="Arial"/>
                <w:sz w:val="18"/>
                <w:szCs w:val="18"/>
                <w:color w:val="auto"/>
                <w:w w:val="92"/>
              </w:rPr>
              <w:t>(Address of principal executive offices) (Zip Code)</w:t>
            </w: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color w:val="auto"/>
                <w:w w:val="90"/>
              </w:rPr>
              <w:t>(212) 733-2323</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(Registrant’s telephone number, including area code)</w:t>
            </w:r>
          </w:p>
        </w:tc>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45"/>
        </w:trPr>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40" w:type="dxa"/>
            <w:vAlign w:val="bottom"/>
            <w:gridSpan w:val="5"/>
          </w:tcPr>
          <w:p>
            <w:pPr>
              <w:jc w:val="center"/>
              <w:ind w:right="305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0"/>
        </w:trPr>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240" w:type="dxa"/>
            <w:vAlign w:val="bottom"/>
          </w:tcPr>
          <w:p>
            <w:pPr>
              <w:spacing w:after="0"/>
              <w:rPr>
                <w:sz w:val="19"/>
                <w:szCs w:val="19"/>
                <w:color w:val="auto"/>
              </w:rPr>
            </w:pPr>
          </w:p>
        </w:tc>
        <w:tc>
          <w:tcPr>
            <w:tcW w:w="33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600" w:type="dxa"/>
            <w:vAlign w:val="bottom"/>
          </w:tcPr>
          <w:p>
            <w:pPr>
              <w:spacing w:after="0"/>
              <w:rPr>
                <w:sz w:val="22"/>
                <w:szCs w:val="22"/>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20" w:type="dxa"/>
            <w:vAlign w:val="bottom"/>
            <w:gridSpan w:val="2"/>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bl>
    <w:p>
      <w:pPr>
        <w:spacing w:after="0" w:line="134"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3"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7"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40"/>
          </w:cols>
          <w:pgMar w:left="440" w:top="226" w:right="519" w:bottom="1440" w:gutter="0" w:footer="0" w:header="0"/>
        </w:sectPr>
      </w:pP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4">
            <w:col w:w="1860" w:space="720"/>
            <w:col w:w="1460" w:space="720"/>
            <w:col w:w="1720" w:space="720"/>
            <w:col w:w="3740"/>
          </w:cols>
          <w:pgMar w:left="440" w:top="226" w:right="51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940"/>
          </w:cols>
          <w:pgMar w:left="440" w:top="226" w:right="519" w:bottom="1440" w:gutter="0" w:footer="0" w:header="0"/>
          <w:type w:val="continuous"/>
        </w:sectPr>
      </w:pPr>
    </w:p>
    <w:p>
      <w:pPr>
        <w:spacing w:after="0" w:line="146"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10, 2020, there were 100 outstanding shares of the registrant’s common stock, $0.01 par value per share.</w:t>
      </w:r>
    </w:p>
    <w:p>
      <w:pPr>
        <w:spacing w:after="0" w:line="140"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The registrant meets the conditions set forth in General Instructions (H)(1)(a) and (b) of Form 10-Q and therefore is filing this form with the</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reduced disclosure format permitted by Form 10-Q.</w:t>
      </w:r>
    </w:p>
    <w:p>
      <w:pPr>
        <w:sectPr>
          <w:pgSz w:w="11900" w:h="16838" w:orient="portrait"/>
          <w:cols w:equalWidth="0" w:num="1">
            <w:col w:w="10940"/>
          </w:cols>
          <w:pgMar w:left="440" w:top="226" w:right="5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60" w:type="dxa"/>
            <w:vAlign w:val="bottom"/>
            <w:gridSpan w:val="6"/>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86"/>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43"/>
        </w:trPr>
        <w:tc>
          <w:tcPr>
            <w:tcW w:w="10400" w:type="dxa"/>
            <w:vAlign w:val="bottom"/>
            <w:gridSpan w:val="8"/>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EXPLANATORY NOTE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0400" w:type="dxa"/>
            <w:vAlign w:val="bottom"/>
            <w:gridSpan w:val="8"/>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560" w:type="dxa"/>
            <w:vAlign w:val="bottom"/>
          </w:tcPr>
          <w:p>
            <w:pPr>
              <w:spacing w:after="0"/>
              <w:rPr>
                <w:sz w:val="21"/>
                <w:szCs w:val="21"/>
                <w:color w:val="auto"/>
              </w:rPr>
            </w:pP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1.</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180"/>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21"/>
                <w:szCs w:val="21"/>
                <w:color w:val="auto"/>
              </w:rPr>
            </w:pPr>
          </w:p>
        </w:tc>
      </w:tr>
      <w:tr>
        <w:trPr>
          <w:trHeight w:val="203"/>
        </w:trPr>
        <w:tc>
          <w:tcPr>
            <w:tcW w:w="10400" w:type="dxa"/>
            <w:vAlign w:val="bottom"/>
            <w:gridSpan w:val="8"/>
          </w:tcPr>
          <w:p>
            <w:pPr>
              <w:ind w:left="360"/>
              <w:spacing w:after="0" w:line="202"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three-month and nine-month periods ended September 27, 2020, the three-</w:t>
              </w:r>
            </w:hyperlink>
          </w:p>
        </w:tc>
        <w:tc>
          <w:tcPr>
            <w:tcW w:w="560" w:type="dxa"/>
            <w:vAlign w:val="bottom"/>
          </w:tcPr>
          <w:p>
            <w:pPr>
              <w:spacing w:after="0"/>
              <w:rPr>
                <w:sz w:val="17"/>
                <w:szCs w:val="17"/>
                <w:color w:val="auto"/>
              </w:rPr>
            </w:pPr>
          </w:p>
        </w:tc>
      </w:tr>
      <w:tr>
        <w:trPr>
          <w:trHeight w:val="237"/>
        </w:trPr>
        <w:tc>
          <w:tcPr>
            <w:tcW w:w="36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9400" w:type="dxa"/>
            <w:vAlign w:val="bottom"/>
            <w:tcBorders>
              <w:top w:val="single" w:sz="8" w:color="0000EE"/>
            </w:tcBorders>
            <w:gridSpan w:val="3"/>
          </w:tcPr>
          <w:p>
            <w:pPr>
              <w:spacing w:after="0"/>
              <w:rPr>
                <w:rFonts w:ascii="Arial" w:cs="Arial" w:eastAsia="Arial" w:hAnsi="Arial"/>
                <w:sz w:val="18"/>
                <w:szCs w:val="18"/>
                <w:u w:val="single" w:color="auto"/>
                <w:color w:val="0000EE"/>
                <w:w w:val="92"/>
              </w:rPr>
            </w:pPr>
            <w:hyperlink w:anchor="page4">
              <w:r>
                <w:rPr>
                  <w:rFonts w:ascii="Arial" w:cs="Arial" w:eastAsia="Arial" w:hAnsi="Arial"/>
                  <w:sz w:val="18"/>
                  <w:szCs w:val="18"/>
                  <w:u w:val="single" w:color="auto"/>
                  <w:color w:val="0000EE"/>
                  <w:w w:val="92"/>
                </w:rPr>
                <w:t>month period ended September 29, 2019 and the period from February 14, 2019 (date of incorporation) to September 29, 2019</w:t>
              </w:r>
            </w:hyperlink>
          </w:p>
        </w:tc>
        <w:tc>
          <w:tcPr>
            <w:tcW w:w="46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2"/>
        </w:trPr>
        <w:tc>
          <w:tcPr>
            <w:tcW w:w="10400" w:type="dxa"/>
            <w:vAlign w:val="bottom"/>
            <w:gridSpan w:val="8"/>
          </w:tcPr>
          <w:p>
            <w:pPr>
              <w:ind w:left="360"/>
              <w:spacing w:after="0" w:line="20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Loss for the three-month and nine-month periods ended September 27, 2020, the</w:t>
              </w:r>
            </w:hyperlink>
          </w:p>
        </w:tc>
        <w:tc>
          <w:tcPr>
            <w:tcW w:w="560" w:type="dxa"/>
            <w:vAlign w:val="bottom"/>
          </w:tcPr>
          <w:p>
            <w:pPr>
              <w:spacing w:after="0"/>
              <w:rPr>
                <w:sz w:val="17"/>
                <w:szCs w:val="17"/>
                <w:color w:val="auto"/>
              </w:rPr>
            </w:pPr>
          </w:p>
        </w:tc>
      </w:tr>
      <w:tr>
        <w:trPr>
          <w:trHeight w:val="237"/>
        </w:trPr>
        <w:tc>
          <w:tcPr>
            <w:tcW w:w="36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9680" w:type="dxa"/>
            <w:vAlign w:val="bottom"/>
            <w:tcBorders>
              <w:top w:val="single" w:sz="8" w:color="0000EE"/>
            </w:tcBorders>
            <w:gridSpan w:val="5"/>
          </w:tcPr>
          <w:p>
            <w:pPr>
              <w:spacing w:after="0"/>
              <w:rPr>
                <w:rFonts w:ascii="Arial" w:cs="Arial" w:eastAsia="Arial" w:hAnsi="Arial"/>
                <w:sz w:val="18"/>
                <w:szCs w:val="18"/>
                <w:u w:val="single" w:color="auto"/>
                <w:color w:val="0000EE"/>
                <w:w w:val="91"/>
              </w:rPr>
            </w:pPr>
            <w:hyperlink w:anchor="page5">
              <w:r>
                <w:rPr>
                  <w:rFonts w:ascii="Arial" w:cs="Arial" w:eastAsia="Arial" w:hAnsi="Arial"/>
                  <w:sz w:val="18"/>
                  <w:szCs w:val="18"/>
                  <w:u w:val="single" w:color="auto"/>
                  <w:color w:val="0000EE"/>
                  <w:w w:val="91"/>
                </w:rPr>
                <w:t>three-month period ended September 29, 2019 and the period from February 14, 2019 (date of incorporation) to September 29, 2019</w:t>
              </w:r>
            </w:hyperlink>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 as of September 27, 2020 and December 31,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10400" w:type="dxa"/>
            <w:vAlign w:val="bottom"/>
            <w:gridSpan w:val="8"/>
          </w:tcPr>
          <w:p>
            <w:pPr>
              <w:ind w:left="360"/>
              <w:spacing w:after="0" w:line="20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Equity for the three-month and nine-month periods ended September 27, 2020, the three-month</w:t>
              </w:r>
            </w:hyperlink>
          </w:p>
        </w:tc>
        <w:tc>
          <w:tcPr>
            <w:tcW w:w="560" w:type="dxa"/>
            <w:vAlign w:val="bottom"/>
          </w:tcPr>
          <w:p>
            <w:pPr>
              <w:spacing w:after="0"/>
              <w:rPr>
                <w:sz w:val="17"/>
                <w:szCs w:val="17"/>
                <w:color w:val="auto"/>
              </w:rPr>
            </w:pPr>
          </w:p>
        </w:tc>
      </w:tr>
      <w:tr>
        <w:trPr>
          <w:trHeight w:val="237"/>
        </w:trPr>
        <w:tc>
          <w:tcPr>
            <w:tcW w:w="36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9560" w:type="dxa"/>
            <w:vAlign w:val="bottom"/>
            <w:tcBorders>
              <w:top w:val="single" w:sz="8" w:color="0000EE"/>
            </w:tcBorders>
            <w:gridSpan w:val="4"/>
          </w:tcPr>
          <w:p>
            <w:pP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period ended September 29, 2019 and the period from February 14, 2019 (date of incorporation) to September 29, 2019</w:t>
              </w:r>
            </w:hyperlink>
          </w:p>
        </w:tc>
        <w:tc>
          <w:tcPr>
            <w:tcW w:w="30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2"/>
        </w:trPr>
        <w:tc>
          <w:tcPr>
            <w:tcW w:w="10400" w:type="dxa"/>
            <w:vAlign w:val="bottom"/>
            <w:gridSpan w:val="8"/>
          </w:tcPr>
          <w:p>
            <w:pPr>
              <w:ind w:left="36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 for the nine-month period ended September 27, 2020 and the period from</w:t>
              </w:r>
            </w:hyperlink>
          </w:p>
        </w:tc>
        <w:tc>
          <w:tcPr>
            <w:tcW w:w="56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February 14, 2019 (date of incorporation) to September 29, 2019</w:t>
              </w:r>
            </w:hyperlink>
          </w:p>
        </w:tc>
        <w:tc>
          <w:tcPr>
            <w:tcW w:w="100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540" w:type="dxa"/>
            <w:vAlign w:val="bottom"/>
            <w:gridSpan w:val="2"/>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2.</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3.</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4.</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0400" w:type="dxa"/>
            <w:vAlign w:val="bottom"/>
            <w:gridSpan w:val="8"/>
          </w:tcPr>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PART II. OTHER INFORMATION</w:t>
              </w:r>
            </w:hyperlink>
          </w:p>
        </w:tc>
        <w:tc>
          <w:tcPr>
            <w:tcW w:w="560" w:type="dxa"/>
            <w:vAlign w:val="bottom"/>
          </w:tcPr>
          <w:p>
            <w:pPr>
              <w:spacing w:after="0"/>
              <w:rPr>
                <w:sz w:val="21"/>
                <w:szCs w:val="21"/>
                <w:color w:val="auto"/>
              </w:rPr>
            </w:pP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1.</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1A.</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2.</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3.</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4.</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5.</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0400" w:type="dxa"/>
            <w:vAlign w:val="bottom"/>
            <w:gridSpan w:val="8"/>
          </w:tcPr>
          <w:p>
            <w:pPr>
              <w:spacing w:after="0"/>
              <w:rPr>
                <w:sz w:val="20"/>
                <w:szCs w:val="20"/>
                <w:color w:val="auto"/>
              </w:rPr>
            </w:pPr>
            <w:r>
              <w:rPr>
                <w:rFonts w:ascii="Arial" w:cs="Arial" w:eastAsia="Arial" w:hAnsi="Arial"/>
                <w:sz w:val="18"/>
                <w:szCs w:val="18"/>
                <w:color w:val="auto"/>
              </w:rPr>
              <w:t>Item 6.</w:t>
            </w:r>
          </w:p>
        </w:tc>
        <w:tc>
          <w:tcPr>
            <w:tcW w:w="560" w:type="dxa"/>
            <w:vAlign w:val="bottom"/>
          </w:tcPr>
          <w:p>
            <w:pPr>
              <w:spacing w:after="0"/>
              <w:rPr>
                <w:sz w:val="21"/>
                <w:szCs w:val="21"/>
                <w:color w:val="auto"/>
              </w:rPr>
            </w:pPr>
          </w:p>
        </w:tc>
      </w:tr>
      <w:tr>
        <w:trPr>
          <w:trHeight w:val="243"/>
        </w:trPr>
        <w:tc>
          <w:tcPr>
            <w:tcW w:w="10400" w:type="dxa"/>
            <w:vAlign w:val="bottom"/>
            <w:gridSpan w:val="8"/>
          </w:tcPr>
          <w:p>
            <w:pPr>
              <w:ind w:left="3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0400" w:type="dxa"/>
            <w:vAlign w:val="bottom"/>
            <w:gridSpan w:val="8"/>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Signature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4"/>
        </w:trPr>
        <w:tc>
          <w:tcPr>
            <w:tcW w:w="9400" w:type="dxa"/>
            <w:vAlign w:val="bottom"/>
            <w:gridSpan w:val="4"/>
          </w:tcPr>
          <w:p>
            <w:pPr>
              <w:ind w:left="540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97"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EXPLANATORY NOTE</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February 13, 2020, the United States Securities and Exchange Commission (the “SEC”) declared effective the Registration Statement on Form S-4, as amended (the “S-4 Registration Statement”) of Upjohn Inc. (the “Company” or “Upjohn”), to register shares of its common stock, par value $0.01 per share, that will be issued and distributed in connection with the series of agreements entered into by Pfizer Inc. (“Pfizer”), Upjohn,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 On June 30, 2020, the SEC declared effective the Registration Statement on Form 10, which includes an information statement (the “Form 10 Registration Statement” and, together with the S-4 Registration Statement, the “Registration Statements”), relating to the planned distribution by Pfizer, on a pro rata basis (based on the number of shares of Pfizer common stock held by holders of Pfizer common stock as of the record date), of all of the Company common stock held by Pfizer to Pfizer stockholders as of the record date. On August 6, 2020, the Company filed the final information statement, dated August 6, 2020 (the “Information Statement”), which is attached as Exhibit 99.1 to the Company’s Current Report on Form 8-K filed on August 6, 2020. In October 2020, Pfizer and Mylan announced that the U.S. Federal Trade Commission (the “FTC”) accepted a proposed consent order, which concluded the FTC’s review of the proposed combination of Mylan and the Upjohn Business, and that the parties have now obtained all required antitrust clearances for the proposed Transaction. Also, in October 2020, Pfizer announced that it had set the close of business on November 13, 2020 as the record date for the proposed spin-off and that the Transaction is expected to close on November 16, 2020, subject to customary closing conditions. A detailed description of the Upjohn Inc. capital stock and the Transaction is included in the Registration Statements. Upjohn was formed to effect the Transaction. Effective as of the closing of the Transaction, Upjohn will be renamed “Viatris” and will operate both Mylan and the Upjohn Business.</w:t>
      </w:r>
    </w:p>
    <w:p>
      <w:pPr>
        <w:spacing w:after="0" w:line="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this Quarterly Report on Form 10-Q for the quarterly period ended September 27, 2020, the Company is reporting its condensed consolidated balance sheet as of September 27, 2020, the related condensed consolidated statements of operations, comprehensive loss and equity for the three-month and nine-month periods ended September 27, 2020, the three-month period ended September 29, 2019, and the period from February 14, 2019 (date of incorporation) to September 29, 2019, the related condensed consolidated statements of cash flows for the nine-month period ended September 27, 2020 and the period from February 14, 2019 (date of incorporation) to September 29, 2019, and the related notes.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PART I. FINANCIAL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2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(UNAUDITED)</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Period From</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February 14, 2019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jc w:val="right"/>
              <w:ind w:right="440"/>
              <w:spacing w:after="0"/>
              <w:rPr>
                <w:sz w:val="20"/>
                <w:szCs w:val="20"/>
                <w:color w:val="auto"/>
              </w:rPr>
            </w:pPr>
            <w:r>
              <w:rPr>
                <w:rFonts w:ascii="Arial" w:cs="Arial" w:eastAsia="Arial" w:hAnsi="Arial"/>
                <w:sz w:val="18"/>
                <w:szCs w:val="18"/>
                <w:color w:val="auto"/>
                <w:w w:val="90"/>
              </w:rPr>
              <w:t>Three Months</w:t>
            </w: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1"/>
              <w:spacing w:after="0"/>
              <w:rPr>
                <w:sz w:val="20"/>
                <w:szCs w:val="20"/>
                <w:color w:val="auto"/>
              </w:rPr>
            </w:pPr>
            <w:r>
              <w:rPr>
                <w:rFonts w:ascii="Arial" w:cs="Arial" w:eastAsia="Arial" w:hAnsi="Arial"/>
                <w:sz w:val="18"/>
                <w:szCs w:val="18"/>
                <w:color w:val="auto"/>
                <w:w w:val="92"/>
              </w:rPr>
              <w:t>Nine Months</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4280" w:type="dxa"/>
            <w:vAlign w:val="bottom"/>
            <w:vMerge w:val="restart"/>
          </w:tcPr>
          <w:p>
            <w:pPr>
              <w:spacing w:after="0"/>
              <w:rPr>
                <w:sz w:val="20"/>
                <w:szCs w:val="20"/>
                <w:color w:val="auto"/>
              </w:rPr>
            </w:pPr>
            <w:r>
              <w:rPr>
                <w:rFonts w:ascii="Arial" w:cs="Arial" w:eastAsia="Arial" w:hAnsi="Arial"/>
                <w:sz w:val="18"/>
                <w:szCs w:val="18"/>
                <w:color w:val="auto"/>
                <w:w w:val="90"/>
              </w:rPr>
              <w:t>(millions of dollars, except common share and per common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Ended</w:t>
            </w:r>
          </w:p>
        </w:tc>
        <w:tc>
          <w:tcPr>
            <w:tcW w:w="32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Ended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1"/>
              <w:spacing w:after="0"/>
              <w:rPr>
                <w:sz w:val="20"/>
                <w:szCs w:val="20"/>
                <w:color w:val="auto"/>
              </w:rPr>
            </w:pPr>
            <w:r>
              <w:rPr>
                <w:rFonts w:ascii="Arial" w:cs="Arial" w:eastAsia="Arial" w:hAnsi="Arial"/>
                <w:sz w:val="18"/>
                <w:szCs w:val="18"/>
                <w:color w:val="auto"/>
              </w:rPr>
              <w:t>Ended</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3"/>
              </w:rPr>
              <w:t>of Incorporation) to</w:t>
            </w:r>
          </w:p>
        </w:tc>
        <w:tc>
          <w:tcPr>
            <w:tcW w:w="0" w:type="dxa"/>
            <w:vAlign w:val="bottom"/>
          </w:tcPr>
          <w:p>
            <w:pPr>
              <w:spacing w:after="0"/>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5"/>
          </w:tcPr>
          <w:p>
            <w:pPr>
              <w:spacing w:after="0" w:line="202" w:lineRule="exact"/>
              <w:rPr>
                <w:sz w:val="20"/>
                <w:szCs w:val="20"/>
                <w:color w:val="auto"/>
              </w:rPr>
            </w:pPr>
            <w:r>
              <w:rPr>
                <w:rFonts w:ascii="Arial" w:cs="Arial" w:eastAsia="Arial" w:hAnsi="Arial"/>
                <w:sz w:val="18"/>
                <w:szCs w:val="18"/>
                <w:color w:val="auto"/>
              </w:rPr>
              <w:t>September 27,</w:t>
            </w:r>
          </w:p>
        </w:tc>
        <w:tc>
          <w:tcPr>
            <w:tcW w:w="1240" w:type="dxa"/>
            <w:vAlign w:val="bottom"/>
            <w:gridSpan w:val="3"/>
          </w:tcPr>
          <w:p>
            <w:pPr>
              <w:spacing w:after="0" w:line="202" w:lineRule="exact"/>
              <w:rPr>
                <w:sz w:val="20"/>
                <w:szCs w:val="20"/>
                <w:color w:val="auto"/>
              </w:rPr>
            </w:pPr>
            <w:r>
              <w:rPr>
                <w:rFonts w:ascii="Arial" w:cs="Arial" w:eastAsia="Arial" w:hAnsi="Arial"/>
                <w:sz w:val="18"/>
                <w:szCs w:val="18"/>
                <w:color w:val="auto"/>
              </w:rPr>
              <w:t>September 29,</w:t>
            </w:r>
          </w:p>
        </w:tc>
        <w:tc>
          <w:tcPr>
            <w:tcW w:w="200" w:type="dxa"/>
            <w:vAlign w:val="bottom"/>
          </w:tcPr>
          <w:p>
            <w:pPr>
              <w:spacing w:after="0"/>
              <w:rPr>
                <w:sz w:val="17"/>
                <w:szCs w:val="17"/>
                <w:color w:val="auto"/>
              </w:rPr>
            </w:pPr>
          </w:p>
        </w:tc>
        <w:tc>
          <w:tcPr>
            <w:tcW w:w="1460" w:type="dxa"/>
            <w:vAlign w:val="bottom"/>
            <w:gridSpan w:val="3"/>
          </w:tcPr>
          <w:p>
            <w:pPr>
              <w:spacing w:after="0" w:line="202" w:lineRule="exact"/>
              <w:rPr>
                <w:sz w:val="20"/>
                <w:szCs w:val="20"/>
                <w:color w:val="auto"/>
              </w:rPr>
            </w:pPr>
            <w:r>
              <w:rPr>
                <w:rFonts w:ascii="Arial" w:cs="Arial" w:eastAsia="Arial" w:hAnsi="Arial"/>
                <w:sz w:val="18"/>
                <w:szCs w:val="18"/>
                <w:color w:val="auto"/>
              </w:rPr>
              <w:t>September 27,</w:t>
            </w:r>
          </w:p>
        </w:tc>
        <w:tc>
          <w:tcPr>
            <w:tcW w:w="10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data)</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ind w:right="34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8"/>
                <w:szCs w:val="18"/>
                <w:color w:val="auto"/>
              </w:rPr>
              <w:t>Revenues</w:t>
            </w:r>
          </w:p>
        </w:tc>
        <w:tc>
          <w:tcPr>
            <w:tcW w:w="880" w:type="dxa"/>
            <w:vAlign w:val="bottom"/>
            <w:gridSpan w:val="2"/>
          </w:tcPr>
          <w:p>
            <w:pPr>
              <w:spacing w:after="0"/>
              <w:rPr>
                <w:sz w:val="16"/>
                <w:szCs w:val="16"/>
                <w:color w:val="auto"/>
              </w:rPr>
            </w:pPr>
          </w:p>
        </w:tc>
        <w:tc>
          <w:tcPr>
            <w:tcW w:w="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40" w:type="dxa"/>
            <w:vAlign w:val="bottom"/>
            <w:gridSpan w:val="3"/>
          </w:tcPr>
          <w:p>
            <w:pPr>
              <w:spacing w:after="0"/>
              <w:rPr>
                <w:sz w:val="16"/>
                <w:szCs w:val="16"/>
                <w:color w:val="auto"/>
              </w:rPr>
            </w:pPr>
          </w:p>
        </w:tc>
        <w:tc>
          <w:tcPr>
            <w:tcW w:w="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 (income)/deductions––net</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34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80" w:type="dxa"/>
            <w:vAlign w:val="bottom"/>
          </w:tcPr>
          <w:p>
            <w:pPr>
              <w:ind w:left="180"/>
              <w:spacing w:after="0"/>
              <w:rPr>
                <w:sz w:val="20"/>
                <w:szCs w:val="20"/>
                <w:color w:val="auto"/>
              </w:rPr>
            </w:pPr>
            <w:r>
              <w:rPr>
                <w:rFonts w:ascii="Arial" w:cs="Arial" w:eastAsia="Arial" w:hAnsi="Arial"/>
                <w:sz w:val="18"/>
                <w:szCs w:val="18"/>
                <w:color w:val="auto"/>
              </w:rPr>
              <w:t>Loss before benefit for taxes on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Benefit for taxes on income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28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auto"/>
            </w:tcBorders>
          </w:tcPr>
          <w:p>
            <w:pPr>
              <w:spacing w:after="0"/>
              <w:rPr>
                <w:sz w:val="19"/>
                <w:szCs w:val="19"/>
                <w:color w:val="auto"/>
              </w:rPr>
            </w:pPr>
          </w:p>
        </w:tc>
        <w:tc>
          <w:tcPr>
            <w:tcW w:w="420" w:type="dxa"/>
            <w:vAlign w:val="bottom"/>
            <w:gridSpan w:val="2"/>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line="250" w:lineRule="exact"/>
              <w:rPr>
                <w:sz w:val="20"/>
                <w:szCs w:val="20"/>
                <w:color w:val="auto"/>
              </w:rPr>
            </w:pPr>
            <w:r>
              <w:rPr>
                <w:rFonts w:ascii="Arial" w:cs="Arial" w:eastAsia="Arial" w:hAnsi="Arial"/>
                <w:sz w:val="18"/>
                <w:szCs w:val="18"/>
                <w:color w:val="auto"/>
              </w:rPr>
              <w:t>Loss per common share––basic and diluted</w:t>
            </w:r>
            <w:r>
              <w:rPr>
                <w:rFonts w:ascii="Arial" w:cs="Arial" w:eastAsia="Arial" w:hAnsi="Arial"/>
                <w:sz w:val="25"/>
                <w:szCs w:val="25"/>
                <w:color w:val="auto"/>
                <w:vertAlign w:val="superscript"/>
              </w:rPr>
              <w:t>(a)</w:t>
            </w:r>
          </w:p>
        </w:tc>
        <w:tc>
          <w:tcPr>
            <w:tcW w:w="1040" w:type="dxa"/>
            <w:vAlign w:val="bottom"/>
            <w:gridSpan w:val="3"/>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880" w:type="dxa"/>
            <w:vAlign w:val="bottom"/>
            <w:gridSpan w:val="2"/>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(1,689,743</w:t>
            </w:r>
          </w:p>
        </w:tc>
        <w:tc>
          <w:tcPr>
            <w:tcW w:w="440" w:type="dxa"/>
            <w:vAlign w:val="bottom"/>
            <w:gridSpan w:val="3"/>
          </w:tcPr>
          <w:p>
            <w:pPr>
              <w:jc w:val="right"/>
              <w:ind w:right="3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(1,698,814</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w w:val="93"/>
              </w:rPr>
              <w:t>Weighted-average common shares––basic and diluted</w:t>
            </w:r>
            <w:r>
              <w:rPr>
                <w:rFonts w:ascii="Arial" w:cs="Arial" w:eastAsia="Arial" w:hAnsi="Arial"/>
                <w:sz w:val="25"/>
                <w:szCs w:val="25"/>
                <w:color w:val="auto"/>
                <w:w w:val="93"/>
                <w:vertAlign w:val="superscript"/>
              </w:rPr>
              <w:t>(a)</w:t>
            </w: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vMerge w:val="continue"/>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60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960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ind w:left="224" w:hanging="224"/>
        <w:spacing w:after="0"/>
        <w:tabs>
          <w:tab w:leader="none" w:pos="224" w:val="left"/>
        </w:tabs>
        <w:numPr>
          <w:ilvl w:val="0"/>
          <w:numId w:val="3"/>
        </w:numPr>
        <w:rPr>
          <w:rFonts w:ascii="Arial" w:cs="Arial" w:eastAsia="Arial" w:hAnsi="Arial"/>
          <w:sz w:val="10"/>
          <w:szCs w:val="10"/>
          <w:color w:val="auto"/>
        </w:rPr>
      </w:pPr>
      <w:r>
        <w:rPr>
          <w:rFonts w:ascii="Arial" w:cs="Arial" w:eastAsia="Arial" w:hAnsi="Arial"/>
          <w:sz w:val="14"/>
          <w:szCs w:val="14"/>
          <w:color w:val="auto"/>
        </w:rPr>
        <w:t xml:space="preserve">All common shares issued and outstanding were held by Pfizer Inc. (see </w:t>
      </w:r>
      <w:r>
        <w:rPr>
          <w:rFonts w:ascii="Arial" w:cs="Arial" w:eastAsia="Arial" w:hAnsi="Arial"/>
          <w:sz w:val="14"/>
          <w:szCs w:val="14"/>
          <w:i w:val="1"/>
          <w:iCs w:val="1"/>
          <w:color w:val="auto"/>
        </w:rPr>
        <w:t>Note 1A. Organization and Basis of Presentation: Organization</w:t>
      </w:r>
      <w:r>
        <w:rPr>
          <w:rFonts w:ascii="Arial" w:cs="Arial" w:eastAsia="Arial" w:hAnsi="Arial"/>
          <w:sz w:val="14"/>
          <w:szCs w:val="14"/>
          <w:color w:val="auto"/>
        </w:rPr>
        <w:t xml:space="preserve"> and </w:t>
      </w:r>
      <w:r>
        <w:rPr>
          <w:rFonts w:ascii="Arial" w:cs="Arial" w:eastAsia="Arial" w:hAnsi="Arial"/>
          <w:sz w:val="14"/>
          <w:szCs w:val="14"/>
          <w:i w:val="1"/>
          <w:iCs w:val="1"/>
          <w:color w:val="auto"/>
        </w:rPr>
        <w:t>Note 7. Equity).</w:t>
      </w:r>
    </w:p>
    <w:p>
      <w:pPr>
        <w:spacing w:after="0" w:line="92" w:lineRule="exact"/>
        <w:rPr>
          <w:rFonts w:ascii="Arial" w:cs="Arial" w:eastAsia="Arial" w:hAnsi="Arial"/>
          <w:sz w:val="10"/>
          <w:szCs w:val="10"/>
          <w:color w:val="auto"/>
        </w:rPr>
      </w:pPr>
    </w:p>
    <w:p>
      <w:pPr>
        <w:ind w:left="4"/>
        <w:spacing w:after="0"/>
        <w:rPr>
          <w:rFonts w:ascii="Arial" w:cs="Arial" w:eastAsia="Arial" w:hAnsi="Arial"/>
          <w:sz w:val="10"/>
          <w:szCs w:val="10"/>
          <w:color w:val="auto"/>
        </w:rPr>
      </w:pPr>
      <w:r>
        <w:rPr>
          <w:rFonts w:ascii="Arial" w:cs="Arial" w:eastAsia="Arial" w:hAnsi="Arial"/>
          <w:sz w:val="16"/>
          <w:szCs w:val="16"/>
          <w:color w:val="auto"/>
        </w:rPr>
        <w:t>Amounts may not add due to rounding.</w:t>
      </w:r>
    </w:p>
    <w:p>
      <w:pPr>
        <w:spacing w:after="0" w:line="23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97" w:right="4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t>UPJOHN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Period From</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February 14, 2019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8"/>
                <w:szCs w:val="18"/>
                <w:color w:val="auto"/>
                <w:w w:val="91"/>
              </w:rPr>
              <w:t>Three Months</w:t>
            </w:r>
          </w:p>
        </w:tc>
        <w:tc>
          <w:tcPr>
            <w:tcW w:w="3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Three Months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Nine Months</w:t>
            </w: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Ended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Ended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Ended</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of Incorporation) to</w:t>
            </w:r>
          </w:p>
        </w:tc>
        <w:tc>
          <w:tcPr>
            <w:tcW w:w="0" w:type="dxa"/>
            <w:vAlign w:val="bottom"/>
          </w:tcPr>
          <w:p>
            <w:pPr>
              <w:spacing w:after="0"/>
              <w:rPr>
                <w:sz w:val="1"/>
                <w:szCs w:val="1"/>
                <w:color w:val="auto"/>
              </w:rPr>
            </w:pPr>
          </w:p>
        </w:tc>
      </w:tr>
      <w:tr>
        <w:trPr>
          <w:trHeight w:val="216"/>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(millions of dollars)</w:t>
            </w:r>
          </w:p>
        </w:tc>
        <w:tc>
          <w:tcPr>
            <w:tcW w:w="1420" w:type="dxa"/>
            <w:vAlign w:val="bottom"/>
            <w:gridSpan w:val="4"/>
          </w:tcPr>
          <w:p>
            <w:pPr>
              <w:jc w:val="right"/>
              <w:ind w:right="380"/>
              <w:spacing w:after="0"/>
              <w:rPr>
                <w:sz w:val="20"/>
                <w:szCs w:val="20"/>
                <w:color w:val="auto"/>
              </w:rPr>
            </w:pPr>
            <w:r>
              <w:rPr>
                <w:rFonts w:ascii="Arial" w:cs="Arial" w:eastAsia="Arial" w:hAnsi="Arial"/>
                <w:sz w:val="18"/>
                <w:szCs w:val="18"/>
                <w:color w:val="auto"/>
                <w:w w:val="86"/>
              </w:rPr>
              <w:t>September 27,</w:t>
            </w:r>
          </w:p>
        </w:tc>
        <w:tc>
          <w:tcPr>
            <w:tcW w:w="3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86"/>
              </w:rPr>
              <w:t>September 29,</w:t>
            </w:r>
          </w:p>
        </w:tc>
        <w:tc>
          <w:tcPr>
            <w:tcW w:w="3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September 27,</w:t>
            </w: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30"/>
        </w:trPr>
        <w:tc>
          <w:tcPr>
            <w:tcW w:w="44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3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income/(loss) before tax</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Tax provision/(benefit) on other comprehensive</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income/(loss)</w:t>
            </w:r>
          </w:p>
        </w:tc>
        <w:tc>
          <w:tcPr>
            <w:tcW w:w="34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Comprehensive loss attributable to Upjohn Inc.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8"/>
                <w:szCs w:val="18"/>
                <w:color w:val="auto"/>
              </w:rPr>
              <w:t>Amounts may not add due to rounding.</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301" w:right="49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UPJOHN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CONDENSED CONSOLIDATED BALANCE SHEETS</w:t>
      </w:r>
    </w:p>
    <w:p>
      <w:pPr>
        <w:spacing w:after="0" w:line="124"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ind w:left="860"/>
              <w:spacing w:after="0"/>
              <w:rPr>
                <w:sz w:val="20"/>
                <w:szCs w:val="20"/>
                <w:color w:val="auto"/>
              </w:rPr>
            </w:pPr>
            <w:r>
              <w:rPr>
                <w:rFonts w:ascii="Arial" w:cs="Arial" w:eastAsia="Arial" w:hAnsi="Arial"/>
                <w:sz w:val="18"/>
                <w:szCs w:val="18"/>
                <w:color w:val="auto"/>
              </w:rPr>
              <w:t>As of</w:t>
            </w: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4"/>
        </w:trPr>
        <w:tc>
          <w:tcPr>
            <w:tcW w:w="7200" w:type="dxa"/>
            <w:vAlign w:val="bottom"/>
            <w:gridSpan w:val="5"/>
          </w:tcPr>
          <w:p>
            <w:pPr>
              <w:spacing w:after="0"/>
              <w:rPr>
                <w:sz w:val="20"/>
                <w:szCs w:val="20"/>
                <w:color w:val="auto"/>
              </w:rPr>
            </w:pPr>
            <w:r>
              <w:rPr>
                <w:rFonts w:ascii="Arial" w:cs="Arial" w:eastAsia="Arial" w:hAnsi="Arial"/>
                <w:sz w:val="18"/>
                <w:szCs w:val="18"/>
                <w:color w:val="auto"/>
              </w:rPr>
              <w:t>(millions of dollars, except common share and per common share data)</w:t>
            </w:r>
          </w:p>
        </w:tc>
        <w:tc>
          <w:tcPr>
            <w:tcW w:w="2000" w:type="dxa"/>
            <w:vAlign w:val="bottom"/>
            <w:gridSpan w:val="4"/>
          </w:tcPr>
          <w:p>
            <w:pPr>
              <w:spacing w:after="0"/>
              <w:rPr>
                <w:sz w:val="20"/>
                <w:szCs w:val="20"/>
                <w:color w:val="auto"/>
              </w:rPr>
            </w:pPr>
            <w:r>
              <w:rPr>
                <w:rFonts w:ascii="Arial" w:cs="Arial" w:eastAsia="Arial" w:hAnsi="Arial"/>
                <w:sz w:val="18"/>
                <w:szCs w:val="18"/>
                <w:color w:val="auto"/>
              </w:rPr>
              <w:t>September 27, 2020</w:t>
            </w:r>
          </w:p>
        </w:tc>
        <w:tc>
          <w:tcPr>
            <w:tcW w:w="34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w w:val="92"/>
              </w:rPr>
              <w:t>December 31, 2019</w:t>
            </w:r>
          </w:p>
        </w:tc>
        <w:tc>
          <w:tcPr>
            <w:tcW w:w="0" w:type="dxa"/>
            <w:vAlign w:val="bottom"/>
          </w:tcPr>
          <w:p>
            <w:pPr>
              <w:spacing w:after="0"/>
              <w:rPr>
                <w:sz w:val="1"/>
                <w:szCs w:val="1"/>
                <w:color w:val="auto"/>
              </w:rPr>
            </w:pPr>
          </w:p>
        </w:tc>
      </w:tr>
      <w:tr>
        <w:trPr>
          <w:trHeight w:val="222"/>
        </w:trPr>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8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9"/>
              </w:rPr>
              <w:t>(Unaudited)</w:t>
            </w:r>
          </w:p>
        </w:tc>
        <w:tc>
          <w:tcPr>
            <w:tcW w:w="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200" w:type="dxa"/>
            <w:vAlign w:val="bottom"/>
            <w:gridSpan w:val="5"/>
          </w:tcPr>
          <w:p>
            <w:pPr>
              <w:spacing w:after="0" w:line="190" w:lineRule="exact"/>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200" w:type="dxa"/>
            <w:vAlign w:val="bottom"/>
            <w:gridSpan w:val="5"/>
          </w:tcPr>
          <w:p>
            <w:pPr>
              <w:ind w:left="180"/>
              <w:spacing w:after="0" w:line="276" w:lineRule="exact"/>
              <w:rPr>
                <w:sz w:val="20"/>
                <w:szCs w:val="20"/>
                <w:color w:val="auto"/>
              </w:rPr>
            </w:pPr>
            <w:r>
              <w:rPr>
                <w:rFonts w:ascii="Arial" w:cs="Arial" w:eastAsia="Arial" w:hAnsi="Arial"/>
                <w:sz w:val="18"/>
                <w:szCs w:val="18"/>
                <w:color w:val="auto"/>
              </w:rPr>
              <w:t>Restricted short-term investments</w:t>
            </w:r>
            <w:r>
              <w:rPr>
                <w:rFonts w:ascii="Arial" w:cs="Arial" w:eastAsia="Arial" w:hAnsi="Arial"/>
                <w:sz w:val="25"/>
                <w:szCs w:val="25"/>
                <w:color w:val="auto"/>
                <w:vertAlign w:val="superscript"/>
              </w:rPr>
              <w:t>(a)</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gridSpan w:val="5"/>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0"/>
                <w:szCs w:val="20"/>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00" w:type="dxa"/>
            <w:vAlign w:val="bottom"/>
            <w:gridSpan w:val="5"/>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0" w:type="dxa"/>
            <w:vAlign w:val="bottom"/>
            <w:gridSpan w:val="5"/>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w w:val="93"/>
              </w:rPr>
              <w:t>Liabilities and Equity</w:t>
            </w:r>
          </w:p>
        </w:tc>
        <w:tc>
          <w:tcPr>
            <w:tcW w:w="5640" w:type="dxa"/>
            <w:vAlign w:val="bottom"/>
            <w:gridSpan w:val="3"/>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560" w:type="dxa"/>
            <w:vAlign w:val="bottom"/>
            <w:tcBorders>
              <w:bottom w:val="single" w:sz="8" w:color="auto"/>
            </w:tcBorders>
            <w:gridSpan w:val="2"/>
            <w:vMerge w:val="continue"/>
          </w:tcPr>
          <w:p>
            <w:pPr>
              <w:spacing w:after="0"/>
              <w:rPr>
                <w:sz w:val="17"/>
                <w:szCs w:val="17"/>
                <w:color w:val="auto"/>
              </w:rPr>
            </w:pPr>
          </w:p>
        </w:tc>
        <w:tc>
          <w:tcPr>
            <w:tcW w:w="56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0" w:type="dxa"/>
            <w:vAlign w:val="bottom"/>
            <w:gridSpan w:val="5"/>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0" w:type="dxa"/>
            <w:vAlign w:val="bottom"/>
            <w:gridSpan w:val="5"/>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gridSpan w:val="5"/>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0" w:type="dxa"/>
            <w:vAlign w:val="bottom"/>
            <w:gridSpan w:val="5"/>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0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gridSpan w:val="5"/>
          </w:tcPr>
          <w:p>
            <w:pPr>
              <w:spacing w:after="0"/>
              <w:rPr>
                <w:sz w:val="20"/>
                <w:szCs w:val="20"/>
                <w:color w:val="auto"/>
              </w:rPr>
            </w:pPr>
            <w:r>
              <w:rPr>
                <w:rFonts w:ascii="Arial" w:cs="Arial" w:eastAsia="Arial" w:hAnsi="Arial"/>
                <w:sz w:val="18"/>
                <w:szCs w:val="18"/>
                <w:color w:val="auto"/>
              </w:rPr>
              <w:t>Common stock, $0.01 par value; 1,000 shares authorized; issued: 2020—100 shares;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5"/>
          </w:tcPr>
          <w:p>
            <w:pPr>
              <w:ind w:left="180"/>
              <w:spacing w:after="0"/>
              <w:rPr>
                <w:sz w:val="20"/>
                <w:szCs w:val="20"/>
                <w:color w:val="auto"/>
              </w:rPr>
            </w:pPr>
            <w:r>
              <w:rPr>
                <w:rFonts w:ascii="Arial" w:cs="Arial" w:eastAsia="Arial" w:hAnsi="Arial"/>
                <w:sz w:val="18"/>
                <w:szCs w:val="18"/>
                <w:color w:val="auto"/>
              </w:rPr>
              <w:t>2019—100 shares</w:t>
            </w:r>
          </w:p>
        </w:tc>
        <w:tc>
          <w:tcPr>
            <w:tcW w:w="200" w:type="dxa"/>
            <w:vAlign w:val="bottom"/>
          </w:tcPr>
          <w:p>
            <w:pPr>
              <w:spacing w:after="0"/>
              <w:rPr>
                <w:sz w:val="20"/>
                <w:szCs w:val="20"/>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gridSpan w:val="5"/>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gridSpan w:val="5"/>
          </w:tcPr>
          <w:p>
            <w:pPr>
              <w:spacing w:after="0"/>
              <w:rPr>
                <w:sz w:val="20"/>
                <w:szCs w:val="20"/>
                <w:color w:val="auto"/>
              </w:rPr>
            </w:pPr>
            <w:r>
              <w:rPr>
                <w:rFonts w:ascii="Arial" w:cs="Arial" w:eastAsia="Arial" w:hAnsi="Arial"/>
                <w:sz w:val="18"/>
                <w:szCs w:val="18"/>
                <w:color w:val="auto"/>
              </w:rPr>
              <w:t>Due from shareholder</w:t>
            </w:r>
          </w:p>
        </w:tc>
        <w:tc>
          <w:tcPr>
            <w:tcW w:w="200" w:type="dxa"/>
            <w:vAlign w:val="bottom"/>
          </w:tcPr>
          <w:p>
            <w:pPr>
              <w:spacing w:after="0"/>
              <w:rPr>
                <w:sz w:val="21"/>
                <w:szCs w:val="21"/>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gridSpan w:val="5"/>
          </w:tcPr>
          <w:p>
            <w:pPr>
              <w:spacing w:after="0"/>
              <w:rPr>
                <w:sz w:val="20"/>
                <w:szCs w:val="20"/>
                <w:color w:val="auto"/>
              </w:rPr>
            </w:pPr>
            <w:r>
              <w:rPr>
                <w:rFonts w:ascii="Arial" w:cs="Arial" w:eastAsia="Arial" w:hAnsi="Arial"/>
                <w:sz w:val="18"/>
                <w:szCs w:val="18"/>
                <w:color w:val="auto"/>
              </w:rPr>
              <w:t>Retained earnings/(deficit)</w:t>
            </w:r>
          </w:p>
        </w:tc>
        <w:tc>
          <w:tcPr>
            <w:tcW w:w="20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gridSpan w:val="5"/>
          </w:tcPr>
          <w:p>
            <w:pPr>
              <w:spacing w:after="0"/>
              <w:rPr>
                <w:sz w:val="20"/>
                <w:szCs w:val="20"/>
                <w:color w:val="auto"/>
              </w:rPr>
            </w:pPr>
            <w:r>
              <w:rPr>
                <w:rFonts w:ascii="Arial" w:cs="Arial" w:eastAsia="Arial" w:hAnsi="Arial"/>
                <w:sz w:val="18"/>
                <w:szCs w:val="18"/>
                <w:color w:val="auto"/>
              </w:rPr>
              <w:t>Accumulated other comprehensive income/(loss)</w:t>
            </w:r>
          </w:p>
        </w:tc>
        <w:tc>
          <w:tcPr>
            <w:tcW w:w="200" w:type="dxa"/>
            <w:vAlign w:val="bottom"/>
          </w:tcPr>
          <w:p>
            <w:pPr>
              <w:spacing w:after="0"/>
              <w:rPr>
                <w:sz w:val="21"/>
                <w:szCs w:val="21"/>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gridSpan w:val="5"/>
          </w:tcPr>
          <w:p>
            <w:pPr>
              <w:ind w:left="360"/>
              <w:spacing w:after="0"/>
              <w:rPr>
                <w:sz w:val="20"/>
                <w:szCs w:val="20"/>
                <w:color w:val="auto"/>
              </w:rPr>
            </w:pPr>
            <w:r>
              <w:rPr>
                <w:rFonts w:ascii="Arial" w:cs="Arial" w:eastAsia="Arial" w:hAnsi="Arial"/>
                <w:sz w:val="18"/>
                <w:szCs w:val="18"/>
                <w:color w:val="auto"/>
              </w:rPr>
              <w:t>Total Upjohn Inc. shareholder’s equity/(deficit)</w:t>
            </w:r>
          </w:p>
        </w:tc>
        <w:tc>
          <w:tcPr>
            <w:tcW w:w="20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20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24" w:hanging="224"/>
        <w:spacing w:after="0"/>
        <w:tabs>
          <w:tab w:leader="none" w:pos="224" w:val="left"/>
        </w:tabs>
        <w:numPr>
          <w:ilvl w:val="0"/>
          <w:numId w:val="4"/>
        </w:numPr>
        <w:rPr>
          <w:rFonts w:ascii="Arial" w:cs="Arial" w:eastAsia="Arial" w:hAnsi="Arial"/>
          <w:sz w:val="10"/>
          <w:szCs w:val="10"/>
          <w:color w:val="auto"/>
        </w:rPr>
      </w:pPr>
      <w:r>
        <w:rPr>
          <w:rFonts w:ascii="Arial" w:cs="Arial" w:eastAsia="Arial" w:hAnsi="Arial"/>
          <w:sz w:val="14"/>
          <w:szCs w:val="14"/>
          <w:color w:val="auto"/>
        </w:rPr>
        <w:t xml:space="preserve">Represents proceeds from the Upjohn and Upjohn Finance B.V. debt issuances. For additional information, see </w:t>
      </w:r>
      <w:r>
        <w:rPr>
          <w:rFonts w:ascii="Arial" w:cs="Arial" w:eastAsia="Arial" w:hAnsi="Arial"/>
          <w:sz w:val="14"/>
          <w:szCs w:val="14"/>
          <w:i w:val="1"/>
          <w:iCs w:val="1"/>
          <w:color w:val="auto"/>
        </w:rPr>
        <w:t>Note 5B. Financial Instruments: Long-Term Debt</w:t>
      </w:r>
      <w:r>
        <w:rPr>
          <w:rFonts w:ascii="Arial" w:cs="Arial" w:eastAsia="Arial" w:hAnsi="Arial"/>
          <w:sz w:val="14"/>
          <w:szCs w:val="14"/>
          <w:color w:val="auto"/>
        </w:rPr>
        <w:t>.</w:t>
      </w:r>
    </w:p>
    <w:p>
      <w:pPr>
        <w:spacing w:after="0" w:line="23" w:lineRule="exact"/>
        <w:rPr>
          <w:rFonts w:ascii="Arial" w:cs="Arial" w:eastAsia="Arial" w:hAnsi="Arial"/>
          <w:sz w:val="10"/>
          <w:szCs w:val="10"/>
          <w:color w:val="auto"/>
        </w:rPr>
      </w:pPr>
    </w:p>
    <w:p>
      <w:pPr>
        <w:ind w:left="4"/>
        <w:spacing w:after="0"/>
        <w:rPr>
          <w:rFonts w:ascii="Arial" w:cs="Arial" w:eastAsia="Arial" w:hAnsi="Arial"/>
          <w:sz w:val="10"/>
          <w:szCs w:val="10"/>
          <w:color w:val="auto"/>
        </w:rPr>
      </w:pPr>
      <w:r>
        <w:rPr>
          <w:rFonts w:ascii="Arial" w:cs="Arial" w:eastAsia="Arial" w:hAnsi="Arial"/>
          <w:sz w:val="16"/>
          <w:szCs w:val="16"/>
          <w:color w:val="auto"/>
        </w:rPr>
        <w:t>Amounts may not add due to rounding.</w:t>
      </w:r>
    </w:p>
    <w:p>
      <w:pPr>
        <w:spacing w:after="0" w:line="2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30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UPJOHN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9"/>
          </w:tcPr>
          <w:p>
            <w:pPr>
              <w:jc w:val="right"/>
              <w:ind w:right="280"/>
              <w:spacing w:after="0"/>
              <w:rPr>
                <w:sz w:val="20"/>
                <w:szCs w:val="20"/>
                <w:color w:val="auto"/>
              </w:rPr>
            </w:pPr>
            <w:r>
              <w:rPr>
                <w:rFonts w:ascii="Arial" w:cs="Arial" w:eastAsia="Arial" w:hAnsi="Arial"/>
                <w:sz w:val="16"/>
                <w:szCs w:val="16"/>
                <w:color w:val="auto"/>
                <w:w w:val="98"/>
              </w:rPr>
              <w:t>Common Stock</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6"/>
                <w:szCs w:val="16"/>
                <w:color w:val="auto"/>
              </w:rPr>
              <w:t>Accum. Other</w:t>
            </w:r>
          </w:p>
        </w:tc>
        <w:tc>
          <w:tcPr>
            <w:tcW w:w="1000" w:type="dxa"/>
            <w:vAlign w:val="bottom"/>
            <w:tcBorders>
              <w:top w:val="single" w:sz="8" w:color="auto"/>
            </w:tcBorders>
            <w:gridSpan w:val="5"/>
            <w:vMerge w:val="restart"/>
          </w:tcPr>
          <w:p>
            <w:pPr>
              <w:jc w:val="right"/>
              <w:ind w:right="100"/>
              <w:spacing w:after="0"/>
              <w:rPr>
                <w:sz w:val="20"/>
                <w:szCs w:val="20"/>
                <w:color w:val="auto"/>
              </w:rPr>
            </w:pPr>
            <w:r>
              <w:rPr>
                <w:rFonts w:ascii="Arial" w:cs="Arial" w:eastAsia="Arial" w:hAnsi="Arial"/>
                <w:sz w:val="16"/>
                <w:szCs w:val="16"/>
                <w:color w:val="auto"/>
              </w:rPr>
              <w:t>Upjohn Inc.</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top w:val="single" w:sz="8" w:color="auto"/>
            </w:tcBorders>
            <w:gridSpan w:val="3"/>
            <w:vMerge w:val="continue"/>
          </w:tcPr>
          <w:p>
            <w:pPr>
              <w:spacing w:after="0"/>
              <w:rPr>
                <w:sz w:val="15"/>
                <w:szCs w:val="15"/>
                <w:color w:val="auto"/>
              </w:rPr>
            </w:pPr>
          </w:p>
        </w:tc>
        <w:tc>
          <w:tcPr>
            <w:tcW w:w="1000" w:type="dxa"/>
            <w:vAlign w:val="bottom"/>
            <w:tcBorders>
              <w:top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Arial" w:cs="Arial" w:eastAsia="Arial" w:hAnsi="Arial"/>
                <w:sz w:val="16"/>
                <w:szCs w:val="16"/>
                <w:color w:val="auto"/>
              </w:rPr>
              <w:t>Due from</w:t>
            </w:r>
          </w:p>
        </w:tc>
        <w:tc>
          <w:tcPr>
            <w:tcW w:w="20" w:type="dxa"/>
            <w:vAlign w:val="bottom"/>
          </w:tcPr>
          <w:p>
            <w:pPr>
              <w:spacing w:after="0"/>
              <w:rPr>
                <w:sz w:val="17"/>
                <w:szCs w:val="17"/>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w w:val="93"/>
              </w:rPr>
              <w:t>Retained</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Comp.</w:t>
            </w:r>
          </w:p>
        </w:tc>
        <w:tc>
          <w:tcPr>
            <w:tcW w:w="1000" w:type="dxa"/>
            <w:vAlign w:val="bottom"/>
            <w:gridSpan w:val="5"/>
          </w:tcPr>
          <w:p>
            <w:pPr>
              <w:jc w:val="right"/>
              <w:ind w:right="100"/>
              <w:spacing w:after="0"/>
              <w:rPr>
                <w:sz w:val="20"/>
                <w:szCs w:val="20"/>
                <w:color w:val="auto"/>
              </w:rPr>
            </w:pPr>
            <w:r>
              <w:rPr>
                <w:rFonts w:ascii="Arial" w:cs="Arial" w:eastAsia="Arial" w:hAnsi="Arial"/>
                <w:sz w:val="16"/>
                <w:szCs w:val="16"/>
                <w:color w:val="auto"/>
                <w:w w:val="89"/>
              </w:rPr>
              <w:t>Shareholder’s</w:t>
            </w:r>
          </w:p>
        </w:tc>
        <w:tc>
          <w:tcPr>
            <w:tcW w:w="0" w:type="dxa"/>
            <w:vAlign w:val="bottom"/>
          </w:tcPr>
          <w:p>
            <w:pPr>
              <w:spacing w:after="0"/>
              <w:rPr>
                <w:sz w:val="1"/>
                <w:szCs w:val="1"/>
                <w:color w:val="auto"/>
              </w:rPr>
            </w:pPr>
          </w:p>
        </w:tc>
      </w:tr>
      <w:tr>
        <w:trPr>
          <w:trHeight w:val="203"/>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6"/>
                <w:szCs w:val="16"/>
                <w:color w:val="auto"/>
              </w:rPr>
              <w:t>Par</w:t>
            </w:r>
          </w:p>
        </w:tc>
        <w:tc>
          <w:tcPr>
            <w:tcW w:w="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w w:val="90"/>
              </w:rPr>
              <w:t>Paid-In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6"/>
                <w:szCs w:val="16"/>
                <w:color w:val="auto"/>
                <w:w w:val="90"/>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6"/>
                <w:szCs w:val="16"/>
                <w:color w:val="auto"/>
                <w:w w:val="97"/>
              </w:rPr>
              <w:t>Value</w:t>
            </w:r>
          </w:p>
        </w:tc>
        <w:tc>
          <w:tcPr>
            <w:tcW w:w="8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holder</w:t>
            </w:r>
          </w:p>
        </w:tc>
        <w:tc>
          <w:tcPr>
            <w:tcW w:w="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(Deficit)</w:t>
            </w: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20"/>
        </w:trPr>
        <w:tc>
          <w:tcPr>
            <w:tcW w:w="4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gridSpan w:val="2"/>
          </w:tcPr>
          <w:p>
            <w:pPr>
              <w:spacing w:after="0"/>
              <w:rPr>
                <w:sz w:val="20"/>
                <w:szCs w:val="20"/>
                <w:color w:val="auto"/>
              </w:rPr>
            </w:pPr>
            <w:r>
              <w:rPr>
                <w:rFonts w:ascii="Arial" w:cs="Arial" w:eastAsia="Arial" w:hAnsi="Arial"/>
                <w:sz w:val="16"/>
                <w:szCs w:val="16"/>
                <w:color w:val="auto"/>
              </w:rPr>
              <w:t>Balance, June 28, 2020</w:t>
            </w:r>
          </w:p>
        </w:tc>
        <w:tc>
          <w:tcPr>
            <w:tcW w:w="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continue"/>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520" w:type="dxa"/>
            <w:vAlign w:val="bottom"/>
            <w:gridSpan w:val="2"/>
          </w:tcPr>
          <w:p>
            <w:pPr>
              <w:spacing w:after="0" w:line="212" w:lineRule="exact"/>
              <w:rPr>
                <w:sz w:val="20"/>
                <w:szCs w:val="20"/>
                <w:color w:val="auto"/>
              </w:rPr>
            </w:pPr>
            <w:r>
              <w:rPr>
                <w:rFonts w:ascii="Arial" w:cs="Arial" w:eastAsia="Arial" w:hAnsi="Arial"/>
                <w:sz w:val="16"/>
                <w:szCs w:val="16"/>
                <w:color w:val="auto"/>
              </w:rPr>
              <w:t>Net transfers</w:t>
            </w:r>
            <w:r>
              <w:rPr>
                <w:rFonts w:ascii="Arial" w:cs="Arial" w:eastAsia="Arial" w:hAnsi="Arial"/>
                <w:sz w:val="16"/>
                <w:szCs w:val="16"/>
                <w:i w:val="1"/>
                <w:iCs w:val="1"/>
                <w:color w:val="auto"/>
              </w:rPr>
              <w:t>––</w:t>
            </w:r>
            <w:r>
              <w:rPr>
                <w:rFonts w:ascii="Arial" w:cs="Arial" w:eastAsia="Arial" w:hAnsi="Arial"/>
                <w:sz w:val="16"/>
                <w:szCs w:val="16"/>
                <w:color w:val="auto"/>
              </w:rPr>
              <w:t>Pfizer</w:t>
            </w:r>
            <w:r>
              <w:rPr>
                <w:rFonts w:ascii="Arial" w:cs="Arial" w:eastAsia="Arial" w:hAnsi="Arial"/>
                <w:sz w:val="22"/>
                <w:szCs w:val="22"/>
                <w:color w:val="auto"/>
                <w:vertAlign w:val="superscript"/>
              </w:rPr>
              <w:t>(a)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Balance, September 27, 2020</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(170)</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0"/>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10"/>
          </w:tcPr>
          <w:p>
            <w:pPr>
              <w:jc w:val="right"/>
              <w:ind w:right="40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auto"/>
              </w:rPr>
              <w:t>Accum. Other</w:t>
            </w:r>
          </w:p>
        </w:tc>
        <w:tc>
          <w:tcPr>
            <w:tcW w:w="160" w:type="dxa"/>
            <w:vAlign w:val="bottom"/>
          </w:tcPr>
          <w:p>
            <w:pPr>
              <w:spacing w:after="0"/>
              <w:rPr>
                <w:sz w:val="17"/>
                <w:szCs w:val="17"/>
                <w:color w:val="auto"/>
              </w:rPr>
            </w:pPr>
          </w:p>
        </w:tc>
        <w:tc>
          <w:tcPr>
            <w:tcW w:w="840" w:type="dxa"/>
            <w:vAlign w:val="bottom"/>
            <w:gridSpan w:val="4"/>
            <w:vMerge w:val="restart"/>
          </w:tcPr>
          <w:p>
            <w:pPr>
              <w:jc w:val="right"/>
              <w:ind w:right="40"/>
              <w:spacing w:after="0"/>
              <w:rPr>
                <w:sz w:val="20"/>
                <w:szCs w:val="20"/>
                <w:color w:val="auto"/>
              </w:rPr>
            </w:pPr>
            <w:r>
              <w:rPr>
                <w:rFonts w:ascii="Arial" w:cs="Arial" w:eastAsia="Arial" w:hAnsi="Arial"/>
                <w:sz w:val="16"/>
                <w:szCs w:val="16"/>
                <w:color w:val="auto"/>
                <w:w w:val="96"/>
              </w:rPr>
              <w:t>Upjohn Inc.</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Arial" w:cs="Arial" w:eastAsia="Arial" w:hAnsi="Arial"/>
                <w:sz w:val="16"/>
                <w:szCs w:val="16"/>
                <w:color w:val="auto"/>
              </w:rPr>
              <w:t>Due from</w:t>
            </w:r>
          </w:p>
        </w:tc>
        <w:tc>
          <w:tcPr>
            <w:tcW w:w="2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6"/>
                <w:szCs w:val="16"/>
                <w:color w:val="auto"/>
                <w:w w:val="90"/>
              </w:rPr>
              <w:t>Retained</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Comp.</w:t>
            </w:r>
          </w:p>
        </w:tc>
        <w:tc>
          <w:tcPr>
            <w:tcW w:w="1000" w:type="dxa"/>
            <w:vAlign w:val="bottom"/>
            <w:gridSpan w:val="5"/>
          </w:tcPr>
          <w:p>
            <w:pPr>
              <w:ind w:left="60"/>
              <w:spacing w:after="0"/>
              <w:rPr>
                <w:sz w:val="20"/>
                <w:szCs w:val="20"/>
                <w:color w:val="auto"/>
              </w:rPr>
            </w:pPr>
            <w:r>
              <w:rPr>
                <w:rFonts w:ascii="Arial" w:cs="Arial" w:eastAsia="Arial" w:hAnsi="Arial"/>
                <w:sz w:val="16"/>
                <w:szCs w:val="16"/>
                <w:color w:val="auto"/>
                <w:w w:val="93"/>
              </w:rPr>
              <w:t>Shareholder’s</w:t>
            </w:r>
          </w:p>
        </w:tc>
        <w:tc>
          <w:tcPr>
            <w:tcW w:w="0" w:type="dxa"/>
            <w:vAlign w:val="bottom"/>
          </w:tcPr>
          <w:p>
            <w:pPr>
              <w:spacing w:after="0"/>
              <w:rPr>
                <w:sz w:val="1"/>
                <w:szCs w:val="1"/>
                <w:color w:val="auto"/>
              </w:rPr>
            </w:pPr>
          </w:p>
        </w:tc>
      </w:tr>
      <w:tr>
        <w:trPr>
          <w:trHeight w:val="203"/>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6"/>
                <w:szCs w:val="16"/>
                <w:color w:val="auto"/>
                <w:w w:val="88"/>
              </w:rPr>
              <w:t>Par</w:t>
            </w:r>
          </w:p>
        </w:tc>
        <w:tc>
          <w:tcPr>
            <w:tcW w:w="700" w:type="dxa"/>
            <w:vAlign w:val="bottom"/>
            <w:gridSpan w:val="4"/>
          </w:tcPr>
          <w:p>
            <w:pPr>
              <w:ind w:left="20"/>
              <w:spacing w:after="0"/>
              <w:rPr>
                <w:sz w:val="20"/>
                <w:szCs w:val="20"/>
                <w:color w:val="auto"/>
              </w:rPr>
            </w:pPr>
            <w:r>
              <w:rPr>
                <w:rFonts w:ascii="Arial" w:cs="Arial" w:eastAsia="Arial" w:hAnsi="Arial"/>
                <w:sz w:val="16"/>
                <w:szCs w:val="16"/>
                <w:color w:val="auto"/>
              </w:rPr>
              <w:t>Paid-In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91"/>
              </w:rPr>
              <w:t>Share-</w:t>
            </w:r>
          </w:p>
        </w:tc>
        <w:tc>
          <w:tcPr>
            <w:tcW w:w="940" w:type="dxa"/>
            <w:vAlign w:val="bottom"/>
            <w:gridSpan w:val="4"/>
          </w:tcPr>
          <w:p>
            <w:pPr>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220"/>
              <w:spacing w:after="0"/>
              <w:rPr>
                <w:sz w:val="20"/>
                <w:szCs w:val="20"/>
                <w:color w:val="auto"/>
              </w:rPr>
            </w:pPr>
            <w:r>
              <w:rPr>
                <w:rFonts w:ascii="Arial" w:cs="Arial" w:eastAsia="Arial" w:hAnsi="Arial"/>
                <w:sz w:val="16"/>
                <w:szCs w:val="16"/>
                <w:color w:val="auto"/>
                <w:w w:val="90"/>
              </w:rPr>
              <w:t>Shares</w:t>
            </w:r>
          </w:p>
        </w:tc>
        <w:tc>
          <w:tcPr>
            <w:tcW w:w="80" w:type="dxa"/>
            <w:vAlign w:val="bottom"/>
          </w:tcPr>
          <w:p>
            <w:pPr>
              <w:spacing w:after="0"/>
              <w:rPr>
                <w:sz w:val="18"/>
                <w:szCs w:val="18"/>
                <w:color w:val="auto"/>
              </w:rPr>
            </w:pPr>
          </w:p>
        </w:tc>
        <w:tc>
          <w:tcPr>
            <w:tcW w:w="740" w:type="dxa"/>
            <w:vAlign w:val="bottom"/>
            <w:gridSpan w:val="5"/>
          </w:tcPr>
          <w:p>
            <w:pPr>
              <w:jc w:val="right"/>
              <w:ind w:right="300"/>
              <w:spacing w:after="0"/>
              <w:rPr>
                <w:sz w:val="20"/>
                <w:szCs w:val="20"/>
                <w:color w:val="auto"/>
              </w:rPr>
            </w:pPr>
            <w:r>
              <w:rPr>
                <w:rFonts w:ascii="Arial" w:cs="Arial" w:eastAsia="Arial" w:hAnsi="Arial"/>
                <w:sz w:val="16"/>
                <w:szCs w:val="16"/>
                <w:color w:val="auto"/>
              </w:rPr>
              <w:t>Value</w:t>
            </w:r>
          </w:p>
        </w:tc>
        <w:tc>
          <w:tcPr>
            <w:tcW w:w="700" w:type="dxa"/>
            <w:vAlign w:val="bottom"/>
            <w:gridSpan w:val="4"/>
          </w:tcPr>
          <w:p>
            <w:pPr>
              <w:ind w:left="20"/>
              <w:spacing w:after="0"/>
              <w:rPr>
                <w:sz w:val="20"/>
                <w:szCs w:val="20"/>
                <w:color w:val="auto"/>
              </w:rPr>
            </w:pPr>
            <w:r>
              <w:rPr>
                <w:rFonts w:ascii="Arial" w:cs="Arial" w:eastAsia="Arial" w:hAnsi="Arial"/>
                <w:sz w:val="16"/>
                <w:szCs w:val="16"/>
                <w:color w:val="auto"/>
              </w:rPr>
              <w:t>Capital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98"/>
              </w:rPr>
              <w:t>holder</w:t>
            </w:r>
          </w:p>
        </w:tc>
        <w:tc>
          <w:tcPr>
            <w:tcW w:w="2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6"/>
                <w:szCs w:val="16"/>
                <w:color w:val="auto"/>
              </w:rPr>
              <w:t>(Deficit)</w:t>
            </w: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189"/>
        </w:trPr>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June 30, 2019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6"/>
                <w:szCs w:val="16"/>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520" w:type="dxa"/>
            <w:vAlign w:val="bottom"/>
            <w:gridSpan w:val="2"/>
          </w:tcPr>
          <w:p>
            <w:pPr>
              <w:spacing w:after="0"/>
              <w:rPr>
                <w:sz w:val="20"/>
                <w:szCs w:val="20"/>
                <w:color w:val="auto"/>
              </w:rPr>
            </w:pPr>
            <w:r>
              <w:rPr>
                <w:rFonts w:ascii="Arial" w:cs="Arial" w:eastAsia="Arial" w:hAnsi="Arial"/>
                <w:sz w:val="16"/>
                <w:szCs w:val="16"/>
                <w:color w:val="auto"/>
              </w:rPr>
              <w:t>Net transfers––Pfizer</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Balance, September 29, 2019</w:t>
            </w:r>
          </w:p>
        </w:tc>
        <w:tc>
          <w:tcPr>
            <w:tcW w:w="7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9"/>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9"/>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9"/>
          </w:tcPr>
          <w:p>
            <w:pPr>
              <w:jc w:val="right"/>
              <w:ind w:right="280"/>
              <w:spacing w:after="0"/>
              <w:rPr>
                <w:sz w:val="20"/>
                <w:szCs w:val="20"/>
                <w:color w:val="auto"/>
              </w:rPr>
            </w:pPr>
            <w:r>
              <w:rPr>
                <w:rFonts w:ascii="Arial" w:cs="Arial" w:eastAsia="Arial" w:hAnsi="Arial"/>
                <w:sz w:val="16"/>
                <w:szCs w:val="16"/>
                <w:color w:val="auto"/>
                <w:w w:val="98"/>
              </w:rPr>
              <w:t>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auto"/>
              </w:rPr>
              <w:t>Accum. Other</w:t>
            </w:r>
          </w:p>
        </w:tc>
        <w:tc>
          <w:tcPr>
            <w:tcW w:w="1000" w:type="dxa"/>
            <w:vAlign w:val="bottom"/>
            <w:gridSpan w:val="5"/>
            <w:vMerge w:val="restart"/>
          </w:tcPr>
          <w:p>
            <w:pPr>
              <w:jc w:val="right"/>
              <w:ind w:right="100"/>
              <w:spacing w:after="0"/>
              <w:rPr>
                <w:sz w:val="20"/>
                <w:szCs w:val="20"/>
                <w:color w:val="auto"/>
              </w:rPr>
            </w:pPr>
            <w:r>
              <w:rPr>
                <w:rFonts w:ascii="Arial" w:cs="Arial" w:eastAsia="Arial" w:hAnsi="Arial"/>
                <w:sz w:val="16"/>
                <w:szCs w:val="16"/>
                <w:color w:val="auto"/>
              </w:rPr>
              <w:t>Upjohn Inc.</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Arial" w:cs="Arial" w:eastAsia="Arial" w:hAnsi="Arial"/>
                <w:sz w:val="16"/>
                <w:szCs w:val="16"/>
                <w:color w:val="auto"/>
              </w:rPr>
              <w:t>Due from</w:t>
            </w:r>
          </w:p>
        </w:tc>
        <w:tc>
          <w:tcPr>
            <w:tcW w:w="20" w:type="dxa"/>
            <w:vAlign w:val="bottom"/>
          </w:tcPr>
          <w:p>
            <w:pPr>
              <w:spacing w:after="0"/>
              <w:rPr>
                <w:sz w:val="17"/>
                <w:szCs w:val="17"/>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w w:val="93"/>
              </w:rPr>
              <w:t>Retained</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Comp.</w:t>
            </w:r>
          </w:p>
        </w:tc>
        <w:tc>
          <w:tcPr>
            <w:tcW w:w="1000" w:type="dxa"/>
            <w:vAlign w:val="bottom"/>
            <w:gridSpan w:val="5"/>
          </w:tcPr>
          <w:p>
            <w:pPr>
              <w:jc w:val="right"/>
              <w:ind w:right="100"/>
              <w:spacing w:after="0"/>
              <w:rPr>
                <w:sz w:val="20"/>
                <w:szCs w:val="20"/>
                <w:color w:val="auto"/>
              </w:rPr>
            </w:pPr>
            <w:r>
              <w:rPr>
                <w:rFonts w:ascii="Arial" w:cs="Arial" w:eastAsia="Arial" w:hAnsi="Arial"/>
                <w:sz w:val="16"/>
                <w:szCs w:val="16"/>
                <w:color w:val="auto"/>
                <w:w w:val="89"/>
              </w:rPr>
              <w:t>Shareholder’s</w:t>
            </w:r>
          </w:p>
        </w:tc>
        <w:tc>
          <w:tcPr>
            <w:tcW w:w="0" w:type="dxa"/>
            <w:vAlign w:val="bottom"/>
          </w:tcPr>
          <w:p>
            <w:pPr>
              <w:spacing w:after="0"/>
              <w:rPr>
                <w:sz w:val="1"/>
                <w:szCs w:val="1"/>
                <w:color w:val="auto"/>
              </w:rPr>
            </w:pPr>
          </w:p>
        </w:tc>
      </w:tr>
      <w:tr>
        <w:trPr>
          <w:trHeight w:val="203"/>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6"/>
                <w:szCs w:val="16"/>
                <w:color w:val="auto"/>
              </w:rPr>
              <w:t>Par</w:t>
            </w:r>
          </w:p>
        </w:tc>
        <w:tc>
          <w:tcPr>
            <w:tcW w:w="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w w:val="90"/>
              </w:rPr>
              <w:t>Paid-In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6"/>
                <w:szCs w:val="16"/>
                <w:color w:val="auto"/>
                <w:w w:val="90"/>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6"/>
                <w:szCs w:val="16"/>
                <w:color w:val="auto"/>
                <w:w w:val="97"/>
              </w:rPr>
              <w:t>Value</w:t>
            </w:r>
          </w:p>
        </w:tc>
        <w:tc>
          <w:tcPr>
            <w:tcW w:w="8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holder</w:t>
            </w:r>
          </w:p>
        </w:tc>
        <w:tc>
          <w:tcPr>
            <w:tcW w:w="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(Deficit)</w:t>
            </w: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189"/>
        </w:trPr>
        <w:tc>
          <w:tcPr>
            <w:tcW w:w="45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Balance, January 1, 2020</w:t>
            </w:r>
          </w:p>
        </w:tc>
        <w:tc>
          <w:tcPr>
            <w:tcW w:w="220" w:type="dxa"/>
            <w:vAlign w:val="bottom"/>
            <w:gridSpan w:val="2"/>
          </w:tcPr>
          <w:p>
            <w:pPr>
              <w:spacing w:after="0"/>
              <w:rPr>
                <w:sz w:val="16"/>
                <w:szCs w:val="16"/>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(170)</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520" w:type="dxa"/>
            <w:vAlign w:val="bottom"/>
            <w:gridSpan w:val="2"/>
          </w:tcPr>
          <w:p>
            <w:pPr>
              <w:spacing w:after="0" w:line="212" w:lineRule="exact"/>
              <w:rPr>
                <w:sz w:val="20"/>
                <w:szCs w:val="20"/>
                <w:color w:val="auto"/>
              </w:rPr>
            </w:pPr>
            <w:r>
              <w:rPr>
                <w:rFonts w:ascii="Arial" w:cs="Arial" w:eastAsia="Arial" w:hAnsi="Arial"/>
                <w:sz w:val="16"/>
                <w:szCs w:val="16"/>
                <w:color w:val="auto"/>
              </w:rPr>
              <w:t>Net transfers––Pfizer</w:t>
            </w:r>
            <w:r>
              <w:rPr>
                <w:rFonts w:ascii="Arial" w:cs="Arial" w:eastAsia="Arial" w:hAnsi="Arial"/>
                <w:sz w:val="22"/>
                <w:szCs w:val="22"/>
                <w:color w:val="auto"/>
                <w:vertAlign w:val="superscript"/>
              </w:rPr>
              <w:t>(a)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Balance, September 27, 2020</w:t>
            </w:r>
          </w:p>
        </w:tc>
        <w:tc>
          <w:tcPr>
            <w:tcW w:w="22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(170)</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10"/>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0"/>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10"/>
          </w:tcPr>
          <w:p>
            <w:pPr>
              <w:jc w:val="right"/>
              <w:ind w:right="40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auto"/>
              </w:rPr>
              <w:t>Accum. Other</w:t>
            </w:r>
          </w:p>
        </w:tc>
        <w:tc>
          <w:tcPr>
            <w:tcW w:w="160" w:type="dxa"/>
            <w:vAlign w:val="bottom"/>
          </w:tcPr>
          <w:p>
            <w:pPr>
              <w:spacing w:after="0"/>
              <w:rPr>
                <w:sz w:val="17"/>
                <w:szCs w:val="17"/>
                <w:color w:val="auto"/>
              </w:rPr>
            </w:pPr>
          </w:p>
        </w:tc>
        <w:tc>
          <w:tcPr>
            <w:tcW w:w="840" w:type="dxa"/>
            <w:vAlign w:val="bottom"/>
            <w:gridSpan w:val="4"/>
            <w:vMerge w:val="restart"/>
          </w:tcPr>
          <w:p>
            <w:pPr>
              <w:jc w:val="right"/>
              <w:ind w:right="40"/>
              <w:spacing w:after="0"/>
              <w:rPr>
                <w:sz w:val="20"/>
                <w:szCs w:val="20"/>
                <w:color w:val="auto"/>
              </w:rPr>
            </w:pPr>
            <w:r>
              <w:rPr>
                <w:rFonts w:ascii="Arial" w:cs="Arial" w:eastAsia="Arial" w:hAnsi="Arial"/>
                <w:sz w:val="16"/>
                <w:szCs w:val="16"/>
                <w:color w:val="auto"/>
                <w:w w:val="96"/>
              </w:rPr>
              <w:t>Upjohn Inc.</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Arial" w:cs="Arial" w:eastAsia="Arial" w:hAnsi="Arial"/>
                <w:sz w:val="16"/>
                <w:szCs w:val="16"/>
                <w:color w:val="auto"/>
              </w:rPr>
              <w:t>Due from</w:t>
            </w:r>
          </w:p>
        </w:tc>
        <w:tc>
          <w:tcPr>
            <w:tcW w:w="2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6"/>
                <w:szCs w:val="16"/>
                <w:color w:val="auto"/>
                <w:w w:val="90"/>
              </w:rPr>
              <w:t>Retained</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Comp.</w:t>
            </w:r>
          </w:p>
        </w:tc>
        <w:tc>
          <w:tcPr>
            <w:tcW w:w="1000" w:type="dxa"/>
            <w:vAlign w:val="bottom"/>
            <w:gridSpan w:val="5"/>
          </w:tcPr>
          <w:p>
            <w:pPr>
              <w:ind w:left="60"/>
              <w:spacing w:after="0"/>
              <w:rPr>
                <w:sz w:val="20"/>
                <w:szCs w:val="20"/>
                <w:color w:val="auto"/>
              </w:rPr>
            </w:pPr>
            <w:r>
              <w:rPr>
                <w:rFonts w:ascii="Arial" w:cs="Arial" w:eastAsia="Arial" w:hAnsi="Arial"/>
                <w:sz w:val="16"/>
                <w:szCs w:val="16"/>
                <w:color w:val="auto"/>
                <w:w w:val="93"/>
              </w:rPr>
              <w:t>Shareholder’s</w:t>
            </w:r>
          </w:p>
        </w:tc>
        <w:tc>
          <w:tcPr>
            <w:tcW w:w="0" w:type="dxa"/>
            <w:vAlign w:val="bottom"/>
          </w:tcPr>
          <w:p>
            <w:pPr>
              <w:spacing w:after="0"/>
              <w:rPr>
                <w:sz w:val="1"/>
                <w:szCs w:val="1"/>
                <w:color w:val="auto"/>
              </w:rPr>
            </w:pPr>
          </w:p>
        </w:tc>
      </w:tr>
      <w:tr>
        <w:trPr>
          <w:trHeight w:val="203"/>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6"/>
                <w:szCs w:val="16"/>
                <w:color w:val="auto"/>
                <w:w w:val="88"/>
              </w:rPr>
              <w:t>Par</w:t>
            </w:r>
          </w:p>
        </w:tc>
        <w:tc>
          <w:tcPr>
            <w:tcW w:w="700" w:type="dxa"/>
            <w:vAlign w:val="bottom"/>
            <w:gridSpan w:val="4"/>
          </w:tcPr>
          <w:p>
            <w:pPr>
              <w:ind w:left="20"/>
              <w:spacing w:after="0"/>
              <w:rPr>
                <w:sz w:val="20"/>
                <w:szCs w:val="20"/>
                <w:color w:val="auto"/>
              </w:rPr>
            </w:pPr>
            <w:r>
              <w:rPr>
                <w:rFonts w:ascii="Arial" w:cs="Arial" w:eastAsia="Arial" w:hAnsi="Arial"/>
                <w:sz w:val="16"/>
                <w:szCs w:val="16"/>
                <w:color w:val="auto"/>
              </w:rPr>
              <w:t>Paid-In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91"/>
              </w:rPr>
              <w:t>Share-</w:t>
            </w:r>
          </w:p>
        </w:tc>
        <w:tc>
          <w:tcPr>
            <w:tcW w:w="940" w:type="dxa"/>
            <w:vAlign w:val="bottom"/>
            <w:gridSpan w:val="4"/>
          </w:tcPr>
          <w:p>
            <w:pPr>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220"/>
              <w:spacing w:after="0"/>
              <w:rPr>
                <w:sz w:val="20"/>
                <w:szCs w:val="20"/>
                <w:color w:val="auto"/>
              </w:rPr>
            </w:pPr>
            <w:r>
              <w:rPr>
                <w:rFonts w:ascii="Arial" w:cs="Arial" w:eastAsia="Arial" w:hAnsi="Arial"/>
                <w:sz w:val="16"/>
                <w:szCs w:val="16"/>
                <w:color w:val="auto"/>
                <w:w w:val="90"/>
              </w:rPr>
              <w:t>Shares</w:t>
            </w:r>
          </w:p>
        </w:tc>
        <w:tc>
          <w:tcPr>
            <w:tcW w:w="80" w:type="dxa"/>
            <w:vAlign w:val="bottom"/>
          </w:tcPr>
          <w:p>
            <w:pPr>
              <w:spacing w:after="0"/>
              <w:rPr>
                <w:sz w:val="18"/>
                <w:szCs w:val="18"/>
                <w:color w:val="auto"/>
              </w:rPr>
            </w:pPr>
          </w:p>
        </w:tc>
        <w:tc>
          <w:tcPr>
            <w:tcW w:w="740" w:type="dxa"/>
            <w:vAlign w:val="bottom"/>
            <w:gridSpan w:val="5"/>
          </w:tcPr>
          <w:p>
            <w:pPr>
              <w:jc w:val="right"/>
              <w:ind w:right="300"/>
              <w:spacing w:after="0"/>
              <w:rPr>
                <w:sz w:val="20"/>
                <w:szCs w:val="20"/>
                <w:color w:val="auto"/>
              </w:rPr>
            </w:pPr>
            <w:r>
              <w:rPr>
                <w:rFonts w:ascii="Arial" w:cs="Arial" w:eastAsia="Arial" w:hAnsi="Arial"/>
                <w:sz w:val="16"/>
                <w:szCs w:val="16"/>
                <w:color w:val="auto"/>
              </w:rPr>
              <w:t>Value</w:t>
            </w:r>
          </w:p>
        </w:tc>
        <w:tc>
          <w:tcPr>
            <w:tcW w:w="700" w:type="dxa"/>
            <w:vAlign w:val="bottom"/>
            <w:gridSpan w:val="4"/>
          </w:tcPr>
          <w:p>
            <w:pPr>
              <w:ind w:left="20"/>
              <w:spacing w:after="0"/>
              <w:rPr>
                <w:sz w:val="20"/>
                <w:szCs w:val="20"/>
                <w:color w:val="auto"/>
              </w:rPr>
            </w:pPr>
            <w:r>
              <w:rPr>
                <w:rFonts w:ascii="Arial" w:cs="Arial" w:eastAsia="Arial" w:hAnsi="Arial"/>
                <w:sz w:val="16"/>
                <w:szCs w:val="16"/>
                <w:color w:val="auto"/>
              </w:rPr>
              <w:t>Capital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98"/>
              </w:rPr>
              <w:t>holder</w:t>
            </w:r>
          </w:p>
        </w:tc>
        <w:tc>
          <w:tcPr>
            <w:tcW w:w="2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6"/>
                <w:szCs w:val="16"/>
                <w:color w:val="auto"/>
              </w:rPr>
              <w:t>(Deficit)</w:t>
            </w: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189"/>
        </w:trPr>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8"/>
              </w:rPr>
              <w:t>Initial capitalization, February 14, 2019 (date of incorporation)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6"/>
                <w:szCs w:val="16"/>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520" w:type="dxa"/>
            <w:vAlign w:val="bottom"/>
            <w:gridSpan w:val="2"/>
          </w:tcPr>
          <w:p>
            <w:pPr>
              <w:spacing w:after="0"/>
              <w:rPr>
                <w:sz w:val="20"/>
                <w:szCs w:val="20"/>
                <w:color w:val="auto"/>
              </w:rPr>
            </w:pPr>
            <w:r>
              <w:rPr>
                <w:rFonts w:ascii="Arial" w:cs="Arial" w:eastAsia="Arial" w:hAnsi="Arial"/>
                <w:sz w:val="16"/>
                <w:szCs w:val="16"/>
                <w:color w:val="auto"/>
              </w:rPr>
              <w:t>Net transfers––Pfizer</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Balance, September 29, 2019</w:t>
            </w:r>
          </w:p>
        </w:tc>
        <w:tc>
          <w:tcPr>
            <w:tcW w:w="7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tabs>
          <w:tab w:leader="none" w:pos="200" w:val="left"/>
        </w:tabs>
        <w:rPr>
          <w:sz w:val="20"/>
          <w:szCs w:val="20"/>
          <w:color w:val="auto"/>
        </w:rPr>
      </w:pPr>
      <w:r>
        <w:rPr>
          <w:rFonts w:ascii="Arial" w:cs="Arial" w:eastAsia="Arial" w:hAnsi="Arial"/>
          <w:sz w:val="10"/>
          <w:szCs w:val="10"/>
          <w:color w:val="auto"/>
        </w:rPr>
        <w:t>(a)</w:t>
      </w:r>
      <w:r>
        <w:rPr>
          <w:sz w:val="20"/>
          <w:szCs w:val="20"/>
          <w:color w:val="auto"/>
        </w:rPr>
        <w:tab/>
      </w:r>
      <w:r>
        <w:rPr>
          <w:rFonts w:ascii="Arial" w:cs="Arial" w:eastAsia="Arial" w:hAnsi="Arial"/>
          <w:sz w:val="14"/>
          <w:szCs w:val="14"/>
          <w:color w:val="auto"/>
        </w:rPr>
        <w:t xml:space="preserve">See </w:t>
      </w:r>
      <w:r>
        <w:rPr>
          <w:rFonts w:ascii="Arial" w:cs="Arial" w:eastAsia="Arial" w:hAnsi="Arial"/>
          <w:sz w:val="14"/>
          <w:szCs w:val="14"/>
          <w:i w:val="1"/>
          <w:iCs w:val="1"/>
          <w:color w:val="auto"/>
        </w:rPr>
        <w:t>Note 4. Tax Matters</w:t>
      </w:r>
      <w:r>
        <w:rPr>
          <w:rFonts w:ascii="Arial" w:cs="Arial" w:eastAsia="Arial" w:hAnsi="Arial"/>
          <w:sz w:val="14"/>
          <w:szCs w:val="14"/>
          <w:color w:val="auto"/>
        </w:rPr>
        <w:t xml:space="preserve"> and </w:t>
      </w:r>
      <w:r>
        <w:rPr>
          <w:rFonts w:ascii="Arial" w:cs="Arial" w:eastAsia="Arial" w:hAnsi="Arial"/>
          <w:sz w:val="14"/>
          <w:szCs w:val="14"/>
          <w:i w:val="1"/>
          <w:iCs w:val="1"/>
          <w:color w:val="auto"/>
        </w:rPr>
        <w:t>Note 8. Related Party Transactions.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Amounts may not add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301" w:right="4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t>UPJOHN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1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Period From</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w w:val="92"/>
              </w:rPr>
              <w:t>February 14, 2019 (Date</w:t>
            </w:r>
          </w:p>
        </w:tc>
        <w:tc>
          <w:tcPr>
            <w:tcW w:w="0" w:type="dxa"/>
            <w:vAlign w:val="bottom"/>
          </w:tcPr>
          <w:p>
            <w:pPr>
              <w:spacing w:after="0"/>
              <w:rPr>
                <w:sz w:val="1"/>
                <w:szCs w:val="1"/>
                <w:color w:val="auto"/>
              </w:rPr>
            </w:pPr>
          </w:p>
        </w:tc>
      </w:tr>
      <w:tr>
        <w:trPr>
          <w:trHeight w:val="216"/>
        </w:trPr>
        <w:tc>
          <w:tcPr>
            <w:tcW w:w="6560" w:type="dxa"/>
            <w:vAlign w:val="bottom"/>
            <w:gridSpan w:val="5"/>
            <w:vMerge w:val="restart"/>
          </w:tcPr>
          <w:p>
            <w:pPr>
              <w:spacing w:after="0"/>
              <w:rPr>
                <w:sz w:val="20"/>
                <w:szCs w:val="20"/>
                <w:color w:val="auto"/>
              </w:rPr>
            </w:pPr>
            <w:r>
              <w:rPr>
                <w:rFonts w:ascii="Arial" w:cs="Arial" w:eastAsia="Arial" w:hAnsi="Arial"/>
                <w:sz w:val="18"/>
                <w:szCs w:val="18"/>
                <w:color w:val="auto"/>
              </w:rPr>
              <w:t>(millions of dollars)</w:t>
            </w:r>
          </w:p>
        </w:tc>
        <w:tc>
          <w:tcPr>
            <w:tcW w:w="2620" w:type="dxa"/>
            <w:vAlign w:val="bottom"/>
            <w:gridSpan w:val="4"/>
          </w:tcPr>
          <w:p>
            <w:pPr>
              <w:spacing w:after="0"/>
              <w:rPr>
                <w:sz w:val="20"/>
                <w:szCs w:val="20"/>
                <w:color w:val="auto"/>
              </w:rPr>
            </w:pPr>
            <w:r>
              <w:rPr>
                <w:rFonts w:ascii="Arial" w:cs="Arial" w:eastAsia="Arial" w:hAnsi="Arial"/>
                <w:sz w:val="18"/>
                <w:szCs w:val="18"/>
                <w:color w:val="auto"/>
              </w:rPr>
              <w:t>Nine Months Ended</w:t>
            </w:r>
          </w:p>
        </w:tc>
        <w:tc>
          <w:tcPr>
            <w:tcW w:w="2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of Incorporation) to</w:t>
            </w:r>
          </w:p>
        </w:tc>
        <w:tc>
          <w:tcPr>
            <w:tcW w:w="0" w:type="dxa"/>
            <w:vAlign w:val="bottom"/>
          </w:tcPr>
          <w:p>
            <w:pPr>
              <w:spacing w:after="0"/>
              <w:rPr>
                <w:sz w:val="1"/>
                <w:szCs w:val="1"/>
                <w:color w:val="auto"/>
              </w:rPr>
            </w:pPr>
          </w:p>
        </w:tc>
      </w:tr>
      <w:tr>
        <w:trPr>
          <w:trHeight w:val="230"/>
        </w:trPr>
        <w:tc>
          <w:tcPr>
            <w:tcW w:w="6560" w:type="dxa"/>
            <w:vAlign w:val="bottom"/>
            <w:gridSpan w:val="5"/>
            <w:vMerge w:val="continue"/>
          </w:tcPr>
          <w:p>
            <w:pPr>
              <w:spacing w:after="0"/>
              <w:rPr>
                <w:sz w:val="20"/>
                <w:szCs w:val="20"/>
                <w:color w:val="auto"/>
              </w:rPr>
            </w:pPr>
          </w:p>
        </w:tc>
        <w:tc>
          <w:tcPr>
            <w:tcW w:w="2620" w:type="dxa"/>
            <w:vAlign w:val="bottom"/>
            <w:gridSpan w:val="4"/>
          </w:tcPr>
          <w:p>
            <w:pPr>
              <w:ind w:left="20"/>
              <w:spacing w:after="0"/>
              <w:rPr>
                <w:sz w:val="20"/>
                <w:szCs w:val="20"/>
                <w:color w:val="auto"/>
              </w:rPr>
            </w:pPr>
            <w:r>
              <w:rPr>
                <w:rFonts w:ascii="Arial" w:cs="Arial" w:eastAsia="Arial" w:hAnsi="Arial"/>
                <w:sz w:val="18"/>
                <w:szCs w:val="18"/>
                <w:color w:val="auto"/>
              </w:rPr>
              <w:t>September 27, 2020</w:t>
            </w:r>
          </w:p>
        </w:tc>
        <w:tc>
          <w:tcPr>
            <w:tcW w:w="22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September 29, 2019</w:t>
            </w:r>
          </w:p>
        </w:tc>
        <w:tc>
          <w:tcPr>
            <w:tcW w:w="0" w:type="dxa"/>
            <w:vAlign w:val="bottom"/>
          </w:tcPr>
          <w:p>
            <w:pPr>
              <w:spacing w:after="0"/>
              <w:rPr>
                <w:sz w:val="1"/>
                <w:szCs w:val="1"/>
                <w:color w:val="auto"/>
              </w:rPr>
            </w:pPr>
          </w:p>
        </w:tc>
      </w:tr>
      <w:tr>
        <w:trPr>
          <w:trHeight w:val="169"/>
        </w:trPr>
        <w:tc>
          <w:tcPr>
            <w:tcW w:w="146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8"/>
                <w:szCs w:val="18"/>
                <w:color w:val="auto"/>
                <w:w w:val="92"/>
              </w:rPr>
              <w:t>Operating Activities</w:t>
            </w:r>
          </w:p>
        </w:tc>
        <w:tc>
          <w:tcPr>
            <w:tcW w:w="4040" w:type="dxa"/>
            <w:vAlign w:val="bottom"/>
            <w:tcBorders>
              <w:top w:val="single" w:sz="8" w:color="auto"/>
            </w:tcBorders>
            <w:gridSpan w:val="2"/>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560" w:type="dxa"/>
            <w:vAlign w:val="bottom"/>
            <w:gridSpan w:val="5"/>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110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5"/>
          </w:tcPr>
          <w:p>
            <w:pPr>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5"/>
          </w:tcPr>
          <w:p>
            <w:pPr>
              <w:ind w:left="180"/>
              <w:spacing w:after="0"/>
              <w:rPr>
                <w:sz w:val="20"/>
                <w:szCs w:val="20"/>
                <w:color w:val="auto"/>
              </w:rPr>
            </w:pPr>
            <w:r>
              <w:rPr>
                <w:rFonts w:ascii="Arial" w:cs="Arial" w:eastAsia="Arial" w:hAnsi="Arial"/>
                <w:sz w:val="18"/>
                <w:szCs w:val="18"/>
                <w:color w:val="auto"/>
              </w:rPr>
              <w:t>activities: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5"/>
          </w:tcPr>
          <w:p>
            <w:pPr>
              <w:ind w:left="180"/>
              <w:spacing w:after="0"/>
              <w:rPr>
                <w:sz w:val="20"/>
                <w:szCs w:val="20"/>
                <w:color w:val="auto"/>
              </w:rPr>
            </w:pPr>
            <w:r>
              <w:rPr>
                <w:rFonts w:ascii="Arial" w:cs="Arial" w:eastAsia="Arial" w:hAnsi="Arial"/>
                <w:sz w:val="18"/>
                <w:szCs w:val="18"/>
                <w:color w:val="auto"/>
              </w:rPr>
              <w:t>Amortization of bond discount and issuance costs</w:t>
            </w:r>
          </w:p>
        </w:tc>
        <w:tc>
          <w:tcPr>
            <w:tcW w:w="500" w:type="dxa"/>
            <w:vAlign w:val="bottom"/>
          </w:tcPr>
          <w:p>
            <w:pPr>
              <w:spacing w:after="0"/>
              <w:rPr>
                <w:sz w:val="18"/>
                <w:szCs w:val="18"/>
                <w:color w:val="auto"/>
              </w:rPr>
            </w:pPr>
          </w:p>
        </w:tc>
        <w:tc>
          <w:tcPr>
            <w:tcW w:w="2120" w:type="dxa"/>
            <w:vAlign w:val="bottom"/>
            <w:gridSpan w:val="3"/>
          </w:tcPr>
          <w:p>
            <w:pPr>
              <w:jc w:val="right"/>
              <w:ind w:right="1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560" w:type="dxa"/>
            <w:vAlign w:val="bottom"/>
            <w:gridSpan w:val="5"/>
          </w:tcPr>
          <w:p>
            <w:pPr>
              <w:ind w:left="180"/>
              <w:spacing w:after="0"/>
              <w:rPr>
                <w:sz w:val="20"/>
                <w:szCs w:val="20"/>
                <w:color w:val="auto"/>
              </w:rPr>
            </w:pPr>
            <w:r>
              <w:rPr>
                <w:rFonts w:ascii="Arial" w:cs="Arial" w:eastAsia="Arial" w:hAnsi="Arial"/>
                <w:sz w:val="18"/>
                <w:szCs w:val="18"/>
                <w:color w:val="auto"/>
              </w:rPr>
              <w:t>Currency remeasurement loss on euro notes</w:t>
            </w:r>
          </w:p>
        </w:tc>
        <w:tc>
          <w:tcPr>
            <w:tcW w:w="500" w:type="dxa"/>
            <w:vAlign w:val="bottom"/>
          </w:tcPr>
          <w:p>
            <w:pPr>
              <w:spacing w:after="0"/>
              <w:rPr>
                <w:sz w:val="18"/>
                <w:szCs w:val="18"/>
                <w:color w:val="auto"/>
              </w:rPr>
            </w:pPr>
          </w:p>
        </w:tc>
        <w:tc>
          <w:tcPr>
            <w:tcW w:w="2120" w:type="dxa"/>
            <w:vAlign w:val="bottom"/>
            <w:gridSpan w:val="3"/>
          </w:tcPr>
          <w:p>
            <w:pPr>
              <w:jc w:val="right"/>
              <w:ind w:right="116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60" w:type="dxa"/>
            <w:vAlign w:val="bottom"/>
            <w:gridSpan w:val="5"/>
          </w:tcPr>
          <w:p>
            <w:pPr>
              <w:ind w:left="180"/>
              <w:spacing w:after="0" w:line="228" w:lineRule="exact"/>
              <w:rPr>
                <w:sz w:val="20"/>
                <w:szCs w:val="20"/>
                <w:color w:val="auto"/>
              </w:rPr>
            </w:pPr>
            <w:r>
              <w:rPr>
                <w:rFonts w:ascii="Arial" w:cs="Arial" w:eastAsia="Arial" w:hAnsi="Arial"/>
                <w:sz w:val="18"/>
                <w:szCs w:val="18"/>
                <w:color w:val="auto"/>
              </w:rPr>
              <w:t>Benefit for taxes on income</w:t>
            </w:r>
            <w:r>
              <w:rPr>
                <w:rFonts w:ascii="Arial" w:cs="Arial" w:eastAsia="Arial" w:hAnsi="Arial"/>
                <w:sz w:val="24"/>
                <w:szCs w:val="24"/>
                <w:color w:val="auto"/>
                <w:vertAlign w:val="superscript"/>
              </w:rPr>
              <w:t>(a)</w:t>
            </w:r>
          </w:p>
        </w:tc>
        <w:tc>
          <w:tcPr>
            <w:tcW w:w="500" w:type="dxa"/>
            <w:vAlign w:val="bottom"/>
          </w:tcPr>
          <w:p>
            <w:pPr>
              <w:spacing w:after="0"/>
              <w:rPr>
                <w:sz w:val="19"/>
                <w:szCs w:val="19"/>
                <w:color w:val="auto"/>
              </w:rPr>
            </w:pPr>
          </w:p>
        </w:tc>
        <w:tc>
          <w:tcPr>
            <w:tcW w:w="2120" w:type="dxa"/>
            <w:vAlign w:val="bottom"/>
            <w:gridSpan w:val="3"/>
          </w:tcPr>
          <w:p>
            <w:pPr>
              <w:jc w:val="right"/>
              <w:ind w:right="110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5"/>
          </w:tcPr>
          <w:p>
            <w:pPr>
              <w:ind w:left="180"/>
              <w:spacing w:after="0"/>
              <w:rPr>
                <w:sz w:val="20"/>
                <w:szCs w:val="20"/>
                <w:color w:val="auto"/>
              </w:rPr>
            </w:pPr>
            <w:r>
              <w:rPr>
                <w:rFonts w:ascii="Arial" w:cs="Arial" w:eastAsia="Arial" w:hAnsi="Arial"/>
                <w:sz w:val="18"/>
                <w:szCs w:val="18"/>
                <w:color w:val="auto"/>
              </w:rPr>
              <w:t>Other changes in assets and liabilities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60" w:type="dxa"/>
            <w:vAlign w:val="bottom"/>
            <w:gridSpan w:val="5"/>
          </w:tcPr>
          <w:p>
            <w:pPr>
              <w:ind w:left="360"/>
              <w:spacing w:after="0" w:line="236" w:lineRule="exact"/>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24"/>
                <w:szCs w:val="24"/>
                <w:color w:val="auto"/>
                <w:vertAlign w:val="superscript"/>
              </w:rPr>
              <w:t>(b)</w:t>
            </w:r>
          </w:p>
        </w:tc>
        <w:tc>
          <w:tcPr>
            <w:tcW w:w="500" w:type="dxa"/>
            <w:vAlign w:val="bottom"/>
          </w:tcPr>
          <w:p>
            <w:pPr>
              <w:spacing w:after="0"/>
              <w:rPr>
                <w:sz w:val="20"/>
                <w:szCs w:val="20"/>
                <w:color w:val="auto"/>
              </w:rPr>
            </w:pPr>
          </w:p>
        </w:tc>
        <w:tc>
          <w:tcPr>
            <w:tcW w:w="2120" w:type="dxa"/>
            <w:vAlign w:val="bottom"/>
            <w:gridSpan w:val="3"/>
          </w:tcPr>
          <w:p>
            <w:pPr>
              <w:jc w:val="right"/>
              <w:ind w:right="1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4"/>
              </w:rPr>
              <w:t>Investing Activities</w:t>
            </w:r>
          </w:p>
        </w:tc>
        <w:tc>
          <w:tcPr>
            <w:tcW w:w="5140" w:type="dxa"/>
            <w:vAlign w:val="bottom"/>
            <w:gridSpan w:val="4"/>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60" w:type="dxa"/>
            <w:vAlign w:val="bottom"/>
            <w:gridSpan w:val="5"/>
          </w:tcPr>
          <w:p>
            <w:pPr>
              <w:spacing w:after="0"/>
              <w:rPr>
                <w:sz w:val="20"/>
                <w:szCs w:val="20"/>
                <w:color w:val="auto"/>
              </w:rPr>
            </w:pPr>
            <w:r>
              <w:rPr>
                <w:rFonts w:ascii="Arial" w:cs="Arial" w:eastAsia="Arial" w:hAnsi="Arial"/>
                <w:sz w:val="18"/>
                <w:szCs w:val="18"/>
                <w:color w:val="auto"/>
              </w:rPr>
              <w:t>Net (purchases of)/proceeds from redemptions/sales of short-term</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560" w:type="dxa"/>
            <w:vAlign w:val="bottom"/>
            <w:gridSpan w:val="5"/>
          </w:tcPr>
          <w:p>
            <w:pPr>
              <w:ind w:left="180"/>
              <w:spacing w:after="0" w:line="242" w:lineRule="exact"/>
              <w:rPr>
                <w:sz w:val="20"/>
                <w:szCs w:val="20"/>
                <w:color w:val="auto"/>
              </w:rPr>
            </w:pPr>
            <w:r>
              <w:rPr>
                <w:rFonts w:ascii="Arial" w:cs="Arial" w:eastAsia="Arial" w:hAnsi="Arial"/>
                <w:sz w:val="18"/>
                <w:szCs w:val="18"/>
                <w:color w:val="auto"/>
              </w:rPr>
              <w:t>investments</w:t>
            </w:r>
            <w:r>
              <w:rPr>
                <w:rFonts w:ascii="Arial" w:cs="Arial" w:eastAsia="Arial" w:hAnsi="Arial"/>
                <w:sz w:val="24"/>
                <w:szCs w:val="24"/>
                <w:color w:val="auto"/>
                <w:vertAlign w:val="superscript"/>
              </w:rPr>
              <w:t>(c)</w:t>
            </w:r>
          </w:p>
        </w:tc>
        <w:tc>
          <w:tcPr>
            <w:tcW w:w="500" w:type="dxa"/>
            <w:vAlign w:val="bottom"/>
          </w:tcPr>
          <w:p>
            <w:pPr>
              <w:spacing w:after="0"/>
              <w:rPr>
                <w:sz w:val="21"/>
                <w:szCs w:val="21"/>
                <w:color w:val="auto"/>
              </w:rPr>
            </w:pPr>
          </w:p>
        </w:tc>
        <w:tc>
          <w:tcPr>
            <w:tcW w:w="2120" w:type="dxa"/>
            <w:vAlign w:val="bottom"/>
            <w:gridSpan w:val="3"/>
          </w:tcPr>
          <w:p>
            <w:pPr>
              <w:jc w:val="right"/>
              <w:ind w:right="1100"/>
              <w:spacing w:after="0"/>
              <w:rPr>
                <w:sz w:val="20"/>
                <w:szCs w:val="20"/>
                <w:color w:val="auto"/>
              </w:rPr>
            </w:pPr>
            <w:r>
              <w:rPr>
                <w:rFonts w:ascii="Arial" w:cs="Arial" w:eastAsia="Arial" w:hAnsi="Arial"/>
                <w:sz w:val="18"/>
                <w:szCs w:val="18"/>
                <w:color w:val="auto"/>
              </w:rPr>
              <w:t>(11,413)</w:t>
            </w:r>
          </w:p>
        </w:tc>
        <w:tc>
          <w:tcPr>
            <w:tcW w:w="220" w:type="dxa"/>
            <w:vAlign w:val="bottom"/>
          </w:tcPr>
          <w:p>
            <w:pPr>
              <w:spacing w:after="0"/>
              <w:rPr>
                <w:sz w:val="21"/>
                <w:szCs w:val="21"/>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5"/>
          </w:tcPr>
          <w:p>
            <w:pPr>
              <w:ind w:left="36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16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560" w:type="dxa"/>
            <w:vAlign w:val="bottom"/>
            <w:gridSpan w:val="5"/>
          </w:tcPr>
          <w:p>
            <w:pPr>
              <w:spacing w:after="0" w:line="182" w:lineRule="exact"/>
              <w:rPr>
                <w:sz w:val="20"/>
                <w:szCs w:val="20"/>
                <w:color w:val="auto"/>
              </w:rPr>
            </w:pPr>
            <w:r>
              <w:rPr>
                <w:rFonts w:ascii="Arial" w:cs="Arial" w:eastAsia="Arial" w:hAnsi="Arial"/>
                <w:sz w:val="18"/>
                <w:szCs w:val="18"/>
                <w:color w:val="auto"/>
              </w:rPr>
              <w:t>Financing Activities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gridSpan w:val="5"/>
          </w:tcPr>
          <w:p>
            <w:pPr>
              <w:spacing w:after="0" w:line="237" w:lineRule="exact"/>
              <w:rPr>
                <w:sz w:val="20"/>
                <w:szCs w:val="20"/>
                <w:color w:val="auto"/>
              </w:rPr>
            </w:pPr>
            <w:r>
              <w:rPr>
                <w:rFonts w:ascii="Arial" w:cs="Arial" w:eastAsia="Arial" w:hAnsi="Arial"/>
                <w:sz w:val="18"/>
                <w:szCs w:val="18"/>
                <w:color w:val="auto"/>
              </w:rPr>
              <w:t>Proceeds from issuance of long-term debt</w:t>
            </w:r>
            <w:r>
              <w:rPr>
                <w:rFonts w:ascii="Arial" w:cs="Arial" w:eastAsia="Arial" w:hAnsi="Arial"/>
                <w:sz w:val="24"/>
                <w:szCs w:val="24"/>
                <w:color w:val="auto"/>
                <w:vertAlign w:val="superscript"/>
              </w:rPr>
              <w:t>(c)</w:t>
            </w:r>
          </w:p>
        </w:tc>
        <w:tc>
          <w:tcPr>
            <w:tcW w:w="5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11,478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5"/>
          </w:tcPr>
          <w:p>
            <w:pPr>
              <w:spacing w:after="0" w:line="229" w:lineRule="exact"/>
              <w:rPr>
                <w:sz w:val="20"/>
                <w:szCs w:val="20"/>
                <w:color w:val="auto"/>
              </w:rPr>
            </w:pPr>
            <w:r>
              <w:rPr>
                <w:rFonts w:ascii="Arial" w:cs="Arial" w:eastAsia="Arial" w:hAnsi="Arial"/>
                <w:sz w:val="18"/>
                <w:szCs w:val="18"/>
                <w:color w:val="auto"/>
              </w:rPr>
              <w:t>Long-term debt issuance costs paid</w:t>
            </w:r>
            <w:r>
              <w:rPr>
                <w:rFonts w:ascii="Arial" w:cs="Arial" w:eastAsia="Arial" w:hAnsi="Arial"/>
                <w:sz w:val="24"/>
                <w:szCs w:val="24"/>
                <w:color w:val="auto"/>
                <w:vertAlign w:val="superscript"/>
              </w:rPr>
              <w:t>(c)</w:t>
            </w:r>
          </w:p>
        </w:tc>
        <w:tc>
          <w:tcPr>
            <w:tcW w:w="500" w:type="dxa"/>
            <w:vAlign w:val="bottom"/>
          </w:tcPr>
          <w:p>
            <w:pPr>
              <w:spacing w:after="0"/>
              <w:rPr>
                <w:sz w:val="19"/>
                <w:szCs w:val="19"/>
                <w:color w:val="auto"/>
              </w:rPr>
            </w:pPr>
          </w:p>
        </w:tc>
        <w:tc>
          <w:tcPr>
            <w:tcW w:w="2120" w:type="dxa"/>
            <w:vAlign w:val="bottom"/>
            <w:gridSpan w:val="3"/>
          </w:tcPr>
          <w:p>
            <w:pPr>
              <w:jc w:val="right"/>
              <w:ind w:right="110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560" w:type="dxa"/>
            <w:vAlign w:val="bottom"/>
            <w:gridSpan w:val="5"/>
          </w:tcPr>
          <w:p>
            <w:pPr>
              <w:spacing w:after="0" w:line="242" w:lineRule="exact"/>
              <w:rPr>
                <w:sz w:val="20"/>
                <w:szCs w:val="20"/>
                <w:color w:val="auto"/>
              </w:rPr>
            </w:pPr>
            <w:r>
              <w:rPr>
                <w:rFonts w:ascii="Arial" w:cs="Arial" w:eastAsia="Arial" w:hAnsi="Arial"/>
                <w:sz w:val="18"/>
                <w:szCs w:val="18"/>
                <w:color w:val="auto"/>
              </w:rPr>
              <w:t>Financing activities with Pfizer</w:t>
            </w:r>
            <w:r>
              <w:rPr>
                <w:rFonts w:ascii="Arial" w:cs="Arial" w:eastAsia="Arial" w:hAnsi="Arial"/>
                <w:sz w:val="24"/>
                <w:szCs w:val="24"/>
                <w:color w:val="auto"/>
                <w:vertAlign w:val="superscript"/>
              </w:rPr>
              <w:t>(d)</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60" w:type="dxa"/>
            <w:vAlign w:val="bottom"/>
            <w:gridSpan w:val="5"/>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11,412</w:t>
            </w: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5"/>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gridSpan w:val="5"/>
          </w:tcPr>
          <w:p>
            <w:pPr>
              <w:ind w:left="360"/>
              <w:spacing w:after="0"/>
              <w:rPr>
                <w:sz w:val="20"/>
                <w:szCs w:val="20"/>
                <w:color w:val="auto"/>
              </w:rPr>
            </w:pPr>
            <w:r>
              <w:rPr>
                <w:rFonts w:ascii="Arial" w:cs="Arial" w:eastAsia="Arial" w:hAnsi="Arial"/>
                <w:sz w:val="18"/>
                <w:szCs w:val="18"/>
                <w:color w:val="auto"/>
              </w:rPr>
              <w:t>Net increase/(decrease) in cash and cash equivalents</w:t>
            </w:r>
          </w:p>
        </w:tc>
        <w:tc>
          <w:tcPr>
            <w:tcW w:w="5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5"/>
          </w:tcPr>
          <w:p>
            <w:pPr>
              <w:ind w:left="360"/>
              <w:spacing w:after="0"/>
              <w:rPr>
                <w:sz w:val="20"/>
                <w:szCs w:val="20"/>
                <w:color w:val="auto"/>
              </w:rPr>
            </w:pPr>
            <w:r>
              <w:rPr>
                <w:rFonts w:ascii="Arial" w:cs="Arial" w:eastAsia="Arial" w:hAnsi="Arial"/>
                <w:sz w:val="18"/>
                <w:szCs w:val="18"/>
                <w:color w:val="auto"/>
              </w:rPr>
              <w:t>Cash and cash equivalents, beginning</w:t>
            </w:r>
          </w:p>
        </w:tc>
        <w:tc>
          <w:tcPr>
            <w:tcW w:w="500" w:type="dxa"/>
            <w:vAlign w:val="bottom"/>
          </w:tcPr>
          <w:p>
            <w:pPr>
              <w:spacing w:after="0"/>
              <w:rPr>
                <w:sz w:val="20"/>
                <w:szCs w:val="20"/>
                <w:color w:val="auto"/>
              </w:rPr>
            </w:pPr>
          </w:p>
        </w:tc>
        <w:tc>
          <w:tcPr>
            <w:tcW w:w="21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5"/>
          </w:tcPr>
          <w:p>
            <w:pPr>
              <w:ind w:left="360"/>
              <w:spacing w:after="0"/>
              <w:rPr>
                <w:sz w:val="20"/>
                <w:szCs w:val="20"/>
                <w:color w:val="auto"/>
              </w:rPr>
            </w:pPr>
            <w:r>
              <w:rPr>
                <w:rFonts w:ascii="Arial" w:cs="Arial" w:eastAsia="Arial" w:hAnsi="Arial"/>
                <w:sz w:val="18"/>
                <w:szCs w:val="18"/>
                <w:color w:val="auto"/>
              </w:rPr>
              <w:t>Cash and cash equivalents, end</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5"/>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6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Cash paid during the period for:</w:t>
            </w:r>
          </w:p>
        </w:tc>
        <w:tc>
          <w:tcPr>
            <w:tcW w:w="386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5"/>
          </w:tcPr>
          <w:p>
            <w:pPr>
              <w:ind w:left="180"/>
              <w:spacing w:after="0"/>
              <w:rPr>
                <w:sz w:val="20"/>
                <w:szCs w:val="20"/>
                <w:color w:val="auto"/>
              </w:rPr>
            </w:pPr>
            <w:r>
              <w:rPr>
                <w:rFonts w:ascii="Arial" w:cs="Arial" w:eastAsia="Arial" w:hAnsi="Arial"/>
                <w:sz w:val="18"/>
                <w:szCs w:val="18"/>
                <w:color w:val="auto"/>
              </w:rPr>
              <w:t>Income taxes</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Interest</w:t>
            </w:r>
          </w:p>
        </w:tc>
        <w:tc>
          <w:tcPr>
            <w:tcW w:w="5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24" w:hanging="224"/>
        <w:spacing w:after="0"/>
        <w:tabs>
          <w:tab w:leader="none" w:pos="224" w:val="left"/>
        </w:tabs>
        <w:numPr>
          <w:ilvl w:val="0"/>
          <w:numId w:val="5"/>
        </w:numPr>
        <w:rPr>
          <w:rFonts w:ascii="Arial" w:cs="Arial" w:eastAsia="Arial" w:hAnsi="Arial"/>
          <w:sz w:val="10"/>
          <w:szCs w:val="1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4. Tax Matters</w:t>
      </w:r>
      <w:r>
        <w:rPr>
          <w:rFonts w:ascii="Arial" w:cs="Arial" w:eastAsia="Arial" w:hAnsi="Arial"/>
          <w:sz w:val="14"/>
          <w:szCs w:val="14"/>
          <w:color w:val="auto"/>
        </w:rPr>
        <w:t xml:space="preserve"> and </w:t>
      </w:r>
      <w:r>
        <w:rPr>
          <w:rFonts w:ascii="Arial" w:cs="Arial" w:eastAsia="Arial" w:hAnsi="Arial"/>
          <w:sz w:val="14"/>
          <w:szCs w:val="14"/>
          <w:i w:val="1"/>
          <w:iCs w:val="1"/>
          <w:color w:val="auto"/>
        </w:rPr>
        <w:t>Note 8. Related Party Transactions.</w:t>
      </w:r>
    </w:p>
    <w:p>
      <w:pPr>
        <w:ind w:left="224" w:hanging="224"/>
        <w:spacing w:after="0" w:line="221" w:lineRule="auto"/>
        <w:tabs>
          <w:tab w:leader="none" w:pos="224" w:val="left"/>
        </w:tabs>
        <w:numPr>
          <w:ilvl w:val="0"/>
          <w:numId w:val="5"/>
        </w:numPr>
        <w:rPr>
          <w:rFonts w:ascii="Arial" w:cs="Arial" w:eastAsia="Arial" w:hAnsi="Arial"/>
          <w:sz w:val="10"/>
          <w:szCs w:val="10"/>
          <w:color w:val="auto"/>
        </w:rPr>
      </w:pPr>
      <w:r>
        <w:rPr>
          <w:rFonts w:ascii="Arial" w:cs="Arial" w:eastAsia="Arial" w:hAnsi="Arial"/>
          <w:sz w:val="14"/>
          <w:szCs w:val="14"/>
          <w:color w:val="auto"/>
        </w:rPr>
        <w:t>Represents interest income received on short term investments.</w:t>
      </w:r>
    </w:p>
    <w:p>
      <w:pPr>
        <w:ind w:left="224" w:right="720" w:hanging="224"/>
        <w:spacing w:after="0" w:line="258" w:lineRule="auto"/>
        <w:tabs>
          <w:tab w:leader="none" w:pos="224" w:val="left"/>
        </w:tabs>
        <w:numPr>
          <w:ilvl w:val="0"/>
          <w:numId w:val="5"/>
        </w:numPr>
        <w:rPr>
          <w:rFonts w:ascii="Arial" w:cs="Arial" w:eastAsia="Arial" w:hAnsi="Arial"/>
          <w:sz w:val="9"/>
          <w:szCs w:val="9"/>
          <w:color w:val="auto"/>
        </w:rPr>
      </w:pPr>
      <w:r>
        <w:rPr>
          <w:rFonts w:ascii="Arial" w:cs="Arial" w:eastAsia="Arial" w:hAnsi="Arial"/>
          <w:sz w:val="12"/>
          <w:szCs w:val="12"/>
          <w:color w:val="auto"/>
        </w:rPr>
        <w:t xml:space="preserve">Represents $11.4 billion of proceeds from the long-term debt issuances in the second quarter of 2020, which are included in </w:t>
      </w:r>
      <w:r>
        <w:rPr>
          <w:rFonts w:ascii="Arial" w:cs="Arial" w:eastAsia="Arial" w:hAnsi="Arial"/>
          <w:sz w:val="12"/>
          <w:szCs w:val="12"/>
          <w:i w:val="1"/>
          <w:iCs w:val="1"/>
          <w:color w:val="auto"/>
        </w:rPr>
        <w:t>Restricted short-term investments</w:t>
      </w:r>
      <w:r>
        <w:rPr>
          <w:rFonts w:ascii="Arial" w:cs="Arial" w:eastAsia="Arial" w:hAnsi="Arial"/>
          <w:sz w:val="12"/>
          <w:szCs w:val="12"/>
          <w:color w:val="auto"/>
        </w:rPr>
        <w:t xml:space="preserve"> in the condensed consolidated balance sheet. For additional information, see </w:t>
      </w:r>
      <w:r>
        <w:rPr>
          <w:rFonts w:ascii="Arial" w:cs="Arial" w:eastAsia="Arial" w:hAnsi="Arial"/>
          <w:sz w:val="12"/>
          <w:szCs w:val="12"/>
          <w:i w:val="1"/>
          <w:iCs w:val="1"/>
          <w:color w:val="auto"/>
        </w:rPr>
        <w:t>Notes 5A. Financial Instruments: Fair Value Measurements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5B. Financial Instruments: Long-Term Debt.</w:t>
      </w:r>
    </w:p>
    <w:p>
      <w:pPr>
        <w:ind w:left="224" w:hanging="224"/>
        <w:spacing w:after="0"/>
        <w:tabs>
          <w:tab w:leader="none" w:pos="224" w:val="left"/>
        </w:tabs>
        <w:numPr>
          <w:ilvl w:val="0"/>
          <w:numId w:val="5"/>
        </w:numPr>
        <w:rPr>
          <w:rFonts w:ascii="Arial" w:cs="Arial" w:eastAsia="Arial" w:hAnsi="Arial"/>
          <w:sz w:val="10"/>
          <w:szCs w:val="1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8. Related Party Transactions.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4"/>
          <w:szCs w:val="14"/>
          <w:color w:val="auto"/>
        </w:rPr>
        <w:t>Amounts may not add due to rounding.</w:t>
      </w: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301"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UPJOHN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Organization and Basis of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Organization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Upjohn Inc. (the “Company” or “Upjohn”), a Delaware corporation, was formed on February 14, 2019, and is currently a wholly-owned subsidiary of Pfizer Inc. (“Pfizer”). The Company has three wholly-owned subsidiaries: (i) Utah Acquisition Holdco Inc., a Delaware corporation formed on July 25, 2019; (ii) Utah Acquisition Sub Inc., a Delaware corporation formed on July 25, 2019; and (iii) Upjohn Finance B.V. (“Finco”), a Netherlands private limited liability company formed on May 8, 2020. The Company and its subsidiaries have not commenced operations, have no significant operating assets or liabilities and from February 14, 2019, its date of incorporation, through September 27, 2020 have not conducted any material activities other than those incidental to its formation and those undertaken in connection with the definitive agreement to combine the Company with Mylan N.V. (“Mylan”), such as the financing activities described in </w:t>
      </w:r>
      <w:r>
        <w:rPr>
          <w:rFonts w:ascii="Arial" w:cs="Arial" w:eastAsia="Arial" w:hAnsi="Arial"/>
          <w:sz w:val="17"/>
          <w:szCs w:val="17"/>
          <w:i w:val="1"/>
          <w:iCs w:val="1"/>
          <w:color w:val="auto"/>
        </w:rPr>
        <w:t>Note 5B.</w:t>
      </w:r>
    </w:p>
    <w:p>
      <w:pPr>
        <w:spacing w:after="0" w:line="1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February 13, 2020, the United States Securities and Exchange Commission (the “SEC”) declared effective the Registration Statement on Form S-4, as amended (the “S-4 Registration Statement”) of the Company to register shares of its common stock, par value $0.01 per share, that will be issued and distributed in connection with a series of agreements entered into by Pfizer, the Company, Mylan and certain of their affiliates to combine Pfizer’s global, primarily off-patent branded and generic established medicines business (the “Upjohn Business”) with Mylan in an all-stock Reverse Morris Trust transaction (the “Transaction”), creating a new global pharmaceutical company. On June 30, 2020, the SEC declared effective the Registration Statement on Form 10, which includes an information statement (the “Form 10 Registration Statement” and, together with the S-4 Registration Statement, the “Registration Statements”), relating to the planned Distribution (as defined below) by Pfizer, on a pro rata basis (based on the number of shares of Pfizer common stock held by holders of Pfizer common stock as of the record date), of all of the Company common stock held by Pfizer to Pfizer stockholders as of the record date. On August 6, 2020, the Company filed the final information statement, dated August 6, 2020 (the “Information Statement”), which is attached as Exhibit 99.1 to the Company’s Current Report on Form 8-K filed on August 6, 2020.</w:t>
      </w:r>
    </w:p>
    <w:p>
      <w:pPr>
        <w:spacing w:after="0" w:line="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July 29, 2019, Pfizer announced it had entered into a definitive agreement to combine the Company with Mylan. Under the terms of the Transaction, Pfizer will contribute the Upjohn Business, a business unit of Pfizer, to the Company and distribute its ownership interest in the Company to Pfizer stockholders via either a spin-off or a split-off (the “Distribution”). Pfizer intends to effect the Distribution by way of a spin-off. Immediately after the Distribution, the Company and Mylan will engage in a strategic combination transaction in which Mylan shareholders will receive shares of the Company’s common stock (the “Combination”). Pfizer stockholders would own 57% of the combined company and former Mylan shareholders would own 43% of the combined company on a fully diluted basis. The Transaction is generally expected to be tax free to Pfizer and Pfizer stockholders. The name of the new company to be formed by the planned combination of the Upjohn Business and Mylan will be “Viatris.” The voting common stock of the Company will be listed for trading on the NASDAQ under the symbol “VTRS.” The Company will make a cash payment to Pfizer equal to</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$12 billion as partial consideration for the contribution of the Upjohn Business from Pfizer to the Company. In October 2020, Pfizer and Mylan announced that the U.S. Federal Trade Commission (the “FTC”) accepted a proposed consent order, which concluded the FTC’s review of the proposed combination of Mylan and the Upjohn Business, and that the parties have now obtained all required antitrust clearances for the proposed Transaction. Also, in October 2020, Pfizer announced that it had set the close of business on November 13, 2020 as the record date for the proposed spin-off and that the Transaction is expected to close on November 16, 2020, subject to customary closing conditions.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Basis of Presentation</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prepared the accompanying condensed consolidated financial statements following the requirements of the SEC for interim reporting. As permitted under those rules, certain footnotes or other financial information that are normally required by accounting principles generally accepted in the United States of America (“U.S. GAAP”) can be condensed or omitted.</w:t>
      </w:r>
    </w:p>
    <w:p>
      <w:pPr>
        <w:spacing w:after="0" w:line="2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financial information included in the Company’s condensed consolidated financial statements is its condensed consolidated balance sheet as of September 27, 2020, the related condensed consolidated statements of operations, comprehensive loss and equity for the three-month and nine-month periods ended September 27, 2020, the three-month period ended September 29, 2019, and the period from February 14, 2019 (date of incorporation) to September 29, 2019, and the related condensed consolidated statements of cash flows for the nine-month period ended September 27, 2020 and the period from February 14, 2019 (date of incorporation) to September 29, 2019.</w:t>
      </w:r>
    </w:p>
    <w:p>
      <w:pPr>
        <w:spacing w:after="0" w:line="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w:t>
      </w:r>
    </w:p>
    <w:p>
      <w:pPr>
        <w:spacing w:after="0" w:line="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responsible for the unaudited financial statements included in this Quarterly Report on Form 10-Q. The interim financial statements include all normal and recurring adjustments that are considered necessary for the fair statement of results for the interim periods presented. The information included in this Quarterly Report on Form 10-Q should be read in conjunction with the consolidated financial statements and accompanying notes included in the Company’s 2019 Special Financial Report on Form 10-K.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301" w:right="459" w:bottom="1440" w:gutter="0" w:footer="0" w:header="0"/>
        </w:sectPr>
      </w:pPr>
    </w:p>
    <w:bookmarkStart w:id="9" w:name="page10"/>
    <w:bookmarkEnd w:id="9"/>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UPJOHN INC.</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amounts in the condensed consolidated financial statements and associated notes may not add due to rounding.</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2. Significant Accounting Policies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Estimates and Assumptions</w:t>
      </w:r>
    </w:p>
    <w:p>
      <w:pPr>
        <w:spacing w:after="0" w:line="63"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In preparing the condensed consolidated financial statements, the Company uses certain estimates and assumptions that affect reported amounts and disclosures. These estimates and underlying assumptions can impact all elements of the Company’s financial statements. For example, in the condensed consolidated statements of operations, estimates are used when allocating bond issuance costs in the form of amortization and determining provisions for taxes on income. In the condensed consolidated balance sheets, estimates are used in determining the valuation of assets, such as investments, which also impact the condensed consolidated statements of operations.</w:t>
      </w:r>
    </w:p>
    <w:p>
      <w:pPr>
        <w:spacing w:after="0" w:line="26" w:lineRule="exact"/>
        <w:rPr>
          <w:sz w:val="20"/>
          <w:szCs w:val="20"/>
          <w:color w:val="auto"/>
        </w:rPr>
      </w:pPr>
    </w:p>
    <w:p>
      <w:pPr>
        <w:ind w:left="4" w:right="120"/>
        <w:spacing w:after="0" w:line="316" w:lineRule="auto"/>
        <w:rPr>
          <w:sz w:val="20"/>
          <w:szCs w:val="20"/>
          <w:color w:val="auto"/>
        </w:rPr>
      </w:pPr>
      <w:r>
        <w:rPr>
          <w:rFonts w:ascii="Arial" w:cs="Arial" w:eastAsia="Arial" w:hAnsi="Arial"/>
          <w:sz w:val="16"/>
          <w:szCs w:val="16"/>
          <w:color w:val="auto"/>
        </w:rPr>
        <w:t>The Company’s estimates are often based on complex judgments and assumptions that it believes to be reasonable, but that can be inherently uncertain and unpredictable. If the Company’s estimates and assumptions are not representative of actual outcomes, its results could be materially impacted.</w:t>
      </w:r>
    </w:p>
    <w:p>
      <w:pPr>
        <w:spacing w:after="0" w:line="2"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As future events and their effects cannot be determined with precision, the Company’s estimates and assumptions may prove to be incomplete or inaccurate, or unanticipated events and circumstances may occur that might cause the Company to change those estimates and assumptions. The Company is subject to risks and uncertainties that may cause actual results to differ from estimated amounts. The Company regularly evaluates its estimates and assumptions using historical experience and expectations about the future. The Company adjusts its estimates and assumptions when facts and circumstances indicate the need for change.</w:t>
      </w:r>
    </w:p>
    <w:p>
      <w:pPr>
        <w:spacing w:after="0" w:line="5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Fair Value</w:t>
      </w:r>
    </w:p>
    <w:p>
      <w:pPr>
        <w:spacing w:after="0" w:line="104"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Company is often required to measure certain assets and liabilities at fair value, either upon initial recognition or for subsequent accounting or reporting. For example, the Company uses fair value when accounting for and reporting of certain financial instruments, such as short-term investments. The Company estimates fair value using an exit price approach, which requires, among other things, that it determine the price that would be received to sell an asset or paid to transfer a liability in an orderly market. The determination of an exit price is considered from the perspective of market participants, considering the highest and best use of non-financial assets and, for liabilities, assuming that the risk of non-performance will be the same before and after the transfer.</w:t>
      </w:r>
    </w:p>
    <w:p>
      <w:pPr>
        <w:spacing w:after="0" w:line="71" w:lineRule="exact"/>
        <w:rPr>
          <w:sz w:val="20"/>
          <w:szCs w:val="20"/>
          <w:color w:val="auto"/>
        </w:rPr>
      </w:pPr>
    </w:p>
    <w:p>
      <w:pPr>
        <w:ind w:left="4" w:right="780"/>
        <w:spacing w:after="0" w:line="277" w:lineRule="auto"/>
        <w:rPr>
          <w:sz w:val="20"/>
          <w:szCs w:val="20"/>
          <w:color w:val="auto"/>
        </w:rPr>
      </w:pPr>
      <w:r>
        <w:rPr>
          <w:rFonts w:ascii="Arial" w:cs="Arial" w:eastAsia="Arial" w:hAnsi="Arial"/>
          <w:sz w:val="18"/>
          <w:szCs w:val="18"/>
          <w:color w:val="auto"/>
        </w:rPr>
        <w:t>When estimating fair value, depending on the nature and complexity of the asset or liability, the Company may use one or all of the following techniques:</w:t>
      </w:r>
    </w:p>
    <w:p>
      <w:pPr>
        <w:spacing w:after="0" w:line="49"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approach, which is based on the present value of a future stream of net cash flows.</w:t>
      </w:r>
    </w:p>
    <w:p>
      <w:pPr>
        <w:spacing w:after="0" w:line="130" w:lineRule="exact"/>
        <w:rPr>
          <w:rFonts w:ascii="Arial" w:cs="Arial" w:eastAsia="Arial" w:hAnsi="Arial"/>
          <w:sz w:val="18"/>
          <w:szCs w:val="18"/>
          <w:color w:val="auto"/>
        </w:rPr>
      </w:pPr>
    </w:p>
    <w:p>
      <w:pPr>
        <w:ind w:left="224" w:right="56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approach, which is based on market prices and other information from market transactions involving identical or comparable assets or liabilities.</w:t>
      </w:r>
    </w:p>
    <w:p>
      <w:pPr>
        <w:spacing w:after="0" w:line="75" w:lineRule="exact"/>
        <w:rPr>
          <w:rFonts w:ascii="Arial" w:cs="Arial" w:eastAsia="Arial" w:hAnsi="Arial"/>
          <w:sz w:val="18"/>
          <w:szCs w:val="18"/>
          <w:color w:val="auto"/>
        </w:rPr>
      </w:pPr>
    </w:p>
    <w:p>
      <w:pPr>
        <w:ind w:left="4" w:right="80" w:hanging="4"/>
        <w:spacing w:after="0" w:line="32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approach, which is based on the cost to acquire or construct comparable assets, less an allowance for functional and/or economic obsolescence. The Company’s fair value methodologies depend on the following types of inputs:</w:t>
      </w:r>
    </w:p>
    <w:p>
      <w:pPr>
        <w:spacing w:after="0" w:line="1" w:lineRule="exact"/>
        <w:rPr>
          <w:rFonts w:ascii="Arial" w:cs="Arial" w:eastAsia="Arial" w:hAnsi="Arial"/>
          <w:sz w:val="18"/>
          <w:szCs w:val="18"/>
          <w:color w:val="auto"/>
        </w:rPr>
      </w:pPr>
    </w:p>
    <w:p>
      <w:pPr>
        <w:ind w:left="224" w:hanging="224"/>
        <w:spacing w:after="0"/>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assets or liabilities in active markets (Level 1 inputs).</w:t>
      </w:r>
    </w:p>
    <w:p>
      <w:pPr>
        <w:spacing w:after="0" w:line="103" w:lineRule="exact"/>
        <w:rPr>
          <w:rFonts w:ascii="Arial" w:cs="Arial" w:eastAsia="Arial" w:hAnsi="Arial"/>
          <w:sz w:val="18"/>
          <w:szCs w:val="18"/>
          <w:color w:val="auto"/>
        </w:rPr>
      </w:pPr>
    </w:p>
    <w:p>
      <w:pPr>
        <w:jc w:val="both"/>
        <w:ind w:left="224" w:right="340" w:hanging="224"/>
        <w:spacing w:after="0" w:line="263"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 or quoted prices for identical or similar assets or liabilities in markets that are not active, or inputs other than quoted prices that are directly or indirectly observable, or inputs that are derived principally from, or corroborated by, observable market data by correlation or other means (Level 2 inputs).</w:t>
      </w:r>
    </w:p>
    <w:p>
      <w:pPr>
        <w:spacing w:after="0" w:line="62" w:lineRule="exact"/>
        <w:rPr>
          <w:rFonts w:ascii="Arial" w:cs="Arial" w:eastAsia="Arial" w:hAnsi="Arial"/>
          <w:sz w:val="18"/>
          <w:szCs w:val="18"/>
          <w:color w:val="auto"/>
        </w:rPr>
      </w:pPr>
    </w:p>
    <w:p>
      <w:pPr>
        <w:ind w:left="224" w:hanging="224"/>
        <w:spacing w:after="0"/>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Unobservable inputs that reflect estimates and assumptions (Level 3 inputs).</w:t>
      </w:r>
    </w:p>
    <w:p>
      <w:pPr>
        <w:spacing w:after="0" w:line="9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A single estimate of fair value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2A.</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Foreign Currency Translation</w:t>
      </w:r>
    </w:p>
    <w:p>
      <w:pPr>
        <w:spacing w:after="0" w:line="63"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 xml:space="preserve">The Company and Finco are U.S. dollar functional entities. The effects of converting non-functional currency monetary assets and liabilities into the functional currency are recorded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see </w:t>
      </w:r>
      <w:r>
        <w:rPr>
          <w:rFonts w:ascii="Arial" w:cs="Arial" w:eastAsia="Arial" w:hAnsi="Arial"/>
          <w:sz w:val="18"/>
          <w:szCs w:val="18"/>
          <w:i w:val="1"/>
          <w:iCs w:val="1"/>
          <w:color w:val="auto"/>
        </w:rPr>
        <w:t>Note 3</w:t>
      </w:r>
      <w:r>
        <w:rPr>
          <w:rFonts w:ascii="Arial" w:cs="Arial" w:eastAsia="Arial" w:hAnsi="Arial"/>
          <w:sz w:val="18"/>
          <w:szCs w:val="18"/>
          <w:color w:val="auto"/>
        </w:rPr>
        <w:t>.</w:t>
      </w:r>
    </w:p>
    <w:p>
      <w:pPr>
        <w:spacing w:after="0" w:line="4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 Investments</w:t>
      </w:r>
    </w:p>
    <w:p>
      <w:pPr>
        <w:spacing w:after="0" w:line="63"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 xml:space="preserve">The Company’s short-term investments are comprised of equity securities with readily determinable fair values, which include money market funds primarily invested in U.S. Treasury and government debt. Equity securities with readily determinable fair values are carried at fair value, with changes in fair value reported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Realized gains or losses on sales of investments are determined by using the specific identification cost method. The Company regularly evaluates its financial assets for impairment.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301" w:right="47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UPJOHN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4" w:right="340"/>
        <w:spacing w:after="0" w:line="308" w:lineRule="auto"/>
        <w:rPr>
          <w:sz w:val="20"/>
          <w:szCs w:val="20"/>
          <w:color w:val="auto"/>
        </w:rPr>
      </w:pPr>
      <w:r>
        <w:rPr>
          <w:rFonts w:ascii="Arial" w:cs="Arial" w:eastAsia="Arial" w:hAnsi="Arial"/>
          <w:sz w:val="17"/>
          <w:szCs w:val="17"/>
          <w:color w:val="auto"/>
        </w:rPr>
        <w:t xml:space="preserve">A single estimate of fair value and impairment reviews can involve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2A.</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 Tax</w:t>
      </w:r>
    </w:p>
    <w:p>
      <w:pPr>
        <w:spacing w:after="0" w:line="117"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The Company did not generally file separate tax returns, as it was generally included in the tax grouping of other Pfizer entities within the respective entity’s tax jurisdiction. The income tax benefit included in these condensed consolidated financial statements has been calculated using the separate return basis, as if the Company filed a separate tax return.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3. Other (Income)/Deductions—Net</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w:t>
      </w:r>
    </w:p>
    <w:p>
      <w:pPr>
        <w:spacing w:after="0" w:line="23"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4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Period From</w:t>
            </w:r>
          </w:p>
        </w:tc>
      </w:tr>
      <w:tr>
        <w:trPr>
          <w:trHeight w:val="203"/>
        </w:trPr>
        <w:tc>
          <w:tcPr>
            <w:tcW w:w="4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6"/>
                <w:szCs w:val="16"/>
                <w:color w:val="auto"/>
                <w:w w:val="93"/>
              </w:rPr>
              <w:t>Three Months</w:t>
            </w:r>
          </w:p>
        </w:tc>
        <w:tc>
          <w:tcPr>
            <w:tcW w:w="1280" w:type="dxa"/>
            <w:vAlign w:val="bottom"/>
            <w:gridSpan w:val="3"/>
          </w:tcPr>
          <w:p>
            <w:pPr>
              <w:jc w:val="right"/>
              <w:ind w:right="340"/>
              <w:spacing w:after="0"/>
              <w:rPr>
                <w:sz w:val="20"/>
                <w:szCs w:val="20"/>
                <w:color w:val="auto"/>
              </w:rPr>
            </w:pPr>
            <w:r>
              <w:rPr>
                <w:rFonts w:ascii="Arial" w:cs="Arial" w:eastAsia="Arial" w:hAnsi="Arial"/>
                <w:sz w:val="16"/>
                <w:szCs w:val="16"/>
                <w:color w:val="auto"/>
                <w:w w:val="93"/>
              </w:rPr>
              <w:t>Three Months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w w:val="93"/>
              </w:rPr>
              <w:t>Nine Months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w w:val="91"/>
              </w:rPr>
              <w:t>February 14, 2019</w:t>
            </w:r>
          </w:p>
        </w:tc>
      </w:tr>
      <w:tr>
        <w:trPr>
          <w:trHeight w:val="203"/>
        </w:trPr>
        <w:tc>
          <w:tcPr>
            <w:tcW w:w="4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6"/>
                <w:szCs w:val="16"/>
                <w:color w:val="auto"/>
              </w:rPr>
              <w:t>Ended</w:t>
            </w:r>
          </w:p>
        </w:tc>
        <w:tc>
          <w:tcPr>
            <w:tcW w:w="3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Ended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Ended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(Date</w:t>
            </w:r>
          </w:p>
        </w:tc>
      </w:tr>
      <w:tr>
        <w:trPr>
          <w:trHeight w:val="203"/>
        </w:trPr>
        <w:tc>
          <w:tcPr>
            <w:tcW w:w="4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6"/>
                <w:szCs w:val="16"/>
                <w:color w:val="auto"/>
                <w:w w:val="87"/>
              </w:rPr>
              <w:t>September 27,</w:t>
            </w:r>
          </w:p>
        </w:tc>
        <w:tc>
          <w:tcPr>
            <w:tcW w:w="1280" w:type="dxa"/>
            <w:vAlign w:val="bottom"/>
            <w:gridSpan w:val="3"/>
          </w:tcPr>
          <w:p>
            <w:pPr>
              <w:jc w:val="right"/>
              <w:ind w:right="340"/>
              <w:spacing w:after="0"/>
              <w:rPr>
                <w:sz w:val="20"/>
                <w:szCs w:val="20"/>
                <w:color w:val="auto"/>
              </w:rPr>
            </w:pPr>
            <w:r>
              <w:rPr>
                <w:rFonts w:ascii="Arial" w:cs="Arial" w:eastAsia="Arial" w:hAnsi="Arial"/>
                <w:sz w:val="16"/>
                <w:szCs w:val="16"/>
                <w:color w:val="auto"/>
                <w:w w:val="87"/>
              </w:rPr>
              <w:t>September 29,</w:t>
            </w:r>
          </w:p>
        </w:tc>
        <w:tc>
          <w:tcPr>
            <w:tcW w:w="320" w:type="dxa"/>
            <w:vAlign w:val="bottom"/>
          </w:tcPr>
          <w:p>
            <w:pPr>
              <w:spacing w:after="0"/>
              <w:rPr>
                <w:sz w:val="17"/>
                <w:szCs w:val="17"/>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w w:val="87"/>
              </w:rPr>
              <w:t>September 27,</w:t>
            </w:r>
          </w:p>
        </w:tc>
        <w:tc>
          <w:tcPr>
            <w:tcW w:w="32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w w:val="96"/>
              </w:rPr>
              <w:t>of Incorporation) to</w:t>
            </w:r>
          </w:p>
        </w:tc>
      </w:tr>
      <w:tr>
        <w:trPr>
          <w:trHeight w:val="212"/>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(millions of dollars)</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September 29, 2019</w:t>
            </w:r>
          </w:p>
        </w:tc>
        <w:tc>
          <w:tcPr>
            <w:tcW w:w="60" w:type="dxa"/>
            <w:vAlign w:val="bottom"/>
          </w:tcPr>
          <w:p>
            <w:pPr>
              <w:spacing w:after="0"/>
              <w:rPr>
                <w:sz w:val="18"/>
                <w:szCs w:val="18"/>
                <w:color w:val="auto"/>
              </w:rPr>
            </w:pPr>
          </w:p>
        </w:tc>
      </w:tr>
      <w:tr>
        <w:trPr>
          <w:trHeight w:val="186"/>
        </w:trPr>
        <w:tc>
          <w:tcPr>
            <w:tcW w:w="4140" w:type="dxa"/>
            <w:vAlign w:val="bottom"/>
          </w:tcPr>
          <w:p>
            <w:pPr>
              <w:spacing w:after="0" w:line="187" w:lineRule="exact"/>
              <w:rPr>
                <w:sz w:val="20"/>
                <w:szCs w:val="20"/>
                <w:color w:val="auto"/>
              </w:rPr>
            </w:pPr>
            <w:r>
              <w:rPr>
                <w:rFonts w:ascii="Arial" w:cs="Arial" w:eastAsia="Arial" w:hAnsi="Arial"/>
                <w:sz w:val="16"/>
                <w:szCs w:val="16"/>
                <w:color w:val="auto"/>
              </w:rPr>
              <w:t>Interest income</w:t>
            </w:r>
            <w:r>
              <w:rPr>
                <w:rFonts w:ascii="Arial" w:cs="Arial" w:eastAsia="Arial" w:hAnsi="Arial"/>
                <w:sz w:val="21"/>
                <w:szCs w:val="21"/>
                <w:color w:val="auto"/>
                <w:vertAlign w:val="superscript"/>
              </w:rPr>
              <w:t>(a)</w:t>
            </w:r>
          </w:p>
        </w:tc>
        <w:tc>
          <w:tcPr>
            <w:tcW w:w="620" w:type="dxa"/>
            <w:vAlign w:val="bottom"/>
          </w:tcPr>
          <w:p>
            <w:pPr>
              <w:spacing w:after="0"/>
              <w:rPr>
                <w:sz w:val="16"/>
                <w:szCs w:val="16"/>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212"/>
        </w:trPr>
        <w:tc>
          <w:tcPr>
            <w:tcW w:w="4140" w:type="dxa"/>
            <w:vAlign w:val="bottom"/>
          </w:tcPr>
          <w:p>
            <w:pPr>
              <w:spacing w:after="0" w:line="212" w:lineRule="exact"/>
              <w:rPr>
                <w:sz w:val="20"/>
                <w:szCs w:val="20"/>
                <w:color w:val="auto"/>
              </w:rPr>
            </w:pPr>
            <w:r>
              <w:rPr>
                <w:rFonts w:ascii="Arial" w:cs="Arial" w:eastAsia="Arial" w:hAnsi="Arial"/>
                <w:sz w:val="16"/>
                <w:szCs w:val="16"/>
                <w:color w:val="auto"/>
              </w:rPr>
              <w:t>Interest expense</w:t>
            </w:r>
            <w:r>
              <w:rPr>
                <w:rFonts w:ascii="Arial" w:cs="Arial" w:eastAsia="Arial" w:hAnsi="Arial"/>
                <w:sz w:val="22"/>
                <w:szCs w:val="22"/>
                <w:color w:val="auto"/>
                <w:vertAlign w:val="superscript"/>
              </w:rPr>
              <w:t>(b)</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0"/>
        </w:trPr>
        <w:tc>
          <w:tcPr>
            <w:tcW w:w="4140" w:type="dxa"/>
            <w:vAlign w:val="bottom"/>
          </w:tcPr>
          <w:p>
            <w:pPr>
              <w:ind w:left="160"/>
              <w:spacing w:after="0"/>
              <w:rPr>
                <w:sz w:val="20"/>
                <w:szCs w:val="20"/>
                <w:color w:val="auto"/>
              </w:rPr>
            </w:pPr>
            <w:r>
              <w:rPr>
                <w:rFonts w:ascii="Arial" w:cs="Arial" w:eastAsia="Arial" w:hAnsi="Arial"/>
                <w:sz w:val="16"/>
                <w:szCs w:val="16"/>
                <w:color w:val="auto"/>
              </w:rPr>
              <w:t>Net interest expense</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2"/>
        </w:trPr>
        <w:tc>
          <w:tcPr>
            <w:tcW w:w="4140" w:type="dxa"/>
            <w:vAlign w:val="bottom"/>
          </w:tcPr>
          <w:p>
            <w:pPr>
              <w:spacing w:after="0" w:line="203" w:lineRule="exact"/>
              <w:rPr>
                <w:sz w:val="20"/>
                <w:szCs w:val="20"/>
                <w:color w:val="auto"/>
              </w:rPr>
            </w:pPr>
            <w:r>
              <w:rPr>
                <w:rFonts w:ascii="Arial" w:cs="Arial" w:eastAsia="Arial" w:hAnsi="Arial"/>
                <w:sz w:val="16"/>
                <w:szCs w:val="16"/>
                <w:color w:val="auto"/>
              </w:rPr>
              <w:t>Foreign exchange (gain)/loss, net</w:t>
            </w:r>
            <w:r>
              <w:rPr>
                <w:rFonts w:ascii="Arial" w:cs="Arial" w:eastAsia="Arial" w:hAnsi="Arial"/>
                <w:sz w:val="22"/>
                <w:szCs w:val="22"/>
                <w:color w:val="auto"/>
                <w:vertAlign w:val="superscript"/>
              </w:rPr>
              <w:t>(c)</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2"/>
        </w:trPr>
        <w:tc>
          <w:tcPr>
            <w:tcW w:w="4140" w:type="dxa"/>
            <w:vAlign w:val="bottom"/>
          </w:tcPr>
          <w:p>
            <w:pPr>
              <w:spacing w:after="0" w:line="212" w:lineRule="exact"/>
              <w:rPr>
                <w:sz w:val="20"/>
                <w:szCs w:val="20"/>
                <w:color w:val="auto"/>
              </w:rPr>
            </w:pPr>
            <w:r>
              <w:rPr>
                <w:rFonts w:ascii="Arial" w:cs="Arial" w:eastAsia="Arial" w:hAnsi="Arial"/>
                <w:sz w:val="16"/>
                <w:szCs w:val="16"/>
                <w:color w:val="auto"/>
              </w:rPr>
              <w:t>Other, net</w:t>
            </w:r>
            <w:r>
              <w:rPr>
                <w:rFonts w:ascii="Arial" w:cs="Arial" w:eastAsia="Arial" w:hAnsi="Arial"/>
                <w:sz w:val="22"/>
                <w:szCs w:val="22"/>
                <w:color w:val="auto"/>
                <w:vertAlign w:val="superscript"/>
              </w:rPr>
              <w:t>(d)</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6"/>
                <w:szCs w:val="16"/>
                <w:i w:val="1"/>
                <w:iCs w:val="1"/>
                <w:color w:val="auto"/>
              </w:rPr>
              <w:t>Other (income)/deductions––net</w:t>
            </w:r>
          </w:p>
        </w:tc>
        <w:tc>
          <w:tcPr>
            <w:tcW w:w="92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221</w:t>
            </w:r>
          </w:p>
        </w:tc>
        <w:tc>
          <w:tcPr>
            <w:tcW w:w="70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222</w:t>
            </w:r>
          </w:p>
        </w:tc>
        <w:tc>
          <w:tcPr>
            <w:tcW w:w="3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4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224" w:right="300" w:hanging="224"/>
        <w:spacing w:after="0" w:line="230" w:lineRule="auto"/>
        <w:tabs>
          <w:tab w:leader="none" w:pos="224" w:val="left"/>
        </w:tabs>
        <w:numPr>
          <w:ilvl w:val="0"/>
          <w:numId w:val="7"/>
        </w:numPr>
        <w:rPr>
          <w:rFonts w:ascii="Arial" w:cs="Arial" w:eastAsia="Arial" w:hAnsi="Arial"/>
          <w:sz w:val="10"/>
          <w:szCs w:val="10"/>
          <w:color w:val="auto"/>
        </w:rPr>
      </w:pPr>
      <w:r>
        <w:rPr>
          <w:rFonts w:ascii="Arial" w:cs="Arial" w:eastAsia="Arial" w:hAnsi="Arial"/>
          <w:sz w:val="14"/>
          <w:szCs w:val="14"/>
          <w:color w:val="auto"/>
        </w:rPr>
        <w:t xml:space="preserve">Represents interest income earned on $11.4 billion of proceeds from the debt issuances completed in June 2020 (see </w:t>
      </w:r>
      <w:r>
        <w:rPr>
          <w:rFonts w:ascii="Arial" w:cs="Arial" w:eastAsia="Arial" w:hAnsi="Arial"/>
          <w:sz w:val="14"/>
          <w:szCs w:val="14"/>
          <w:i w:val="1"/>
          <w:iCs w:val="1"/>
          <w:color w:val="auto"/>
        </w:rPr>
        <w:t>Note 5B</w:t>
      </w:r>
      <w:r>
        <w:rPr>
          <w:rFonts w:ascii="Arial" w:cs="Arial" w:eastAsia="Arial" w:hAnsi="Arial"/>
          <w:sz w:val="14"/>
          <w:szCs w:val="14"/>
          <w:color w:val="auto"/>
        </w:rPr>
        <w:t xml:space="preserve">) that are invested in money market funds and included in </w:t>
      </w:r>
      <w:r>
        <w:rPr>
          <w:rFonts w:ascii="Arial" w:cs="Arial" w:eastAsia="Arial" w:hAnsi="Arial"/>
          <w:sz w:val="14"/>
          <w:szCs w:val="14"/>
          <w:i w:val="1"/>
          <w:iCs w:val="1"/>
          <w:color w:val="auto"/>
        </w:rPr>
        <w:t xml:space="preserve">Restricted short-term investments </w:t>
      </w:r>
      <w:r>
        <w:rPr>
          <w:rFonts w:ascii="Arial" w:cs="Arial" w:eastAsia="Arial" w:hAnsi="Arial"/>
          <w:sz w:val="14"/>
          <w:szCs w:val="14"/>
          <w:color w:val="auto"/>
        </w:rPr>
        <w:t>(see</w:t>
      </w:r>
      <w:r>
        <w:rPr>
          <w:rFonts w:ascii="Arial" w:cs="Arial" w:eastAsia="Arial" w:hAnsi="Arial"/>
          <w:sz w:val="14"/>
          <w:szCs w:val="14"/>
          <w:i w:val="1"/>
          <w:iCs w:val="1"/>
          <w:color w:val="auto"/>
        </w:rPr>
        <w:t xml:space="preserve"> Note 5A</w:t>
      </w:r>
      <w:r>
        <w:rPr>
          <w:rFonts w:ascii="Arial" w:cs="Arial" w:eastAsia="Arial" w:hAnsi="Arial"/>
          <w:sz w:val="14"/>
          <w:szCs w:val="14"/>
          <w:color w:val="auto"/>
        </w:rPr>
        <w:t>) in the condensed consolidated balance sheet as of September 27, 2020.</w:t>
      </w:r>
    </w:p>
    <w:p>
      <w:pPr>
        <w:ind w:left="224" w:right="280" w:hanging="224"/>
        <w:spacing w:after="0" w:line="221" w:lineRule="auto"/>
        <w:tabs>
          <w:tab w:leader="none" w:pos="224" w:val="left"/>
        </w:tabs>
        <w:numPr>
          <w:ilvl w:val="0"/>
          <w:numId w:val="7"/>
        </w:numPr>
        <w:rPr>
          <w:rFonts w:ascii="Arial" w:cs="Arial" w:eastAsia="Arial" w:hAnsi="Arial"/>
          <w:sz w:val="10"/>
          <w:szCs w:val="10"/>
          <w:color w:val="auto"/>
        </w:rPr>
      </w:pPr>
      <w:r>
        <w:rPr>
          <w:rFonts w:ascii="Arial" w:cs="Arial" w:eastAsia="Arial" w:hAnsi="Arial"/>
          <w:sz w:val="14"/>
          <w:szCs w:val="14"/>
          <w:color w:val="auto"/>
        </w:rPr>
        <w:t xml:space="preserve">Represents interest expense associated with the $11.4 billion of senior unsecured notes issued in June 2020, which includes the stated interest expense on the notes and amortization of bond discount and issuance costs (see </w:t>
      </w:r>
      <w:r>
        <w:rPr>
          <w:rFonts w:ascii="Arial" w:cs="Arial" w:eastAsia="Arial" w:hAnsi="Arial"/>
          <w:sz w:val="14"/>
          <w:szCs w:val="14"/>
          <w:i w:val="1"/>
          <w:iCs w:val="1"/>
          <w:color w:val="auto"/>
        </w:rPr>
        <w:t>Note 5B</w:t>
      </w:r>
      <w:r>
        <w:rPr>
          <w:rFonts w:ascii="Arial" w:cs="Arial" w:eastAsia="Arial" w:hAnsi="Arial"/>
          <w:sz w:val="14"/>
          <w:szCs w:val="14"/>
          <w:color w:val="auto"/>
        </w:rPr>
        <w:t>).</w:t>
      </w:r>
    </w:p>
    <w:p>
      <w:pPr>
        <w:ind w:left="224" w:hanging="224"/>
        <w:spacing w:after="0" w:line="221" w:lineRule="auto"/>
        <w:tabs>
          <w:tab w:leader="none" w:pos="224" w:val="left"/>
        </w:tabs>
        <w:numPr>
          <w:ilvl w:val="0"/>
          <w:numId w:val="7"/>
        </w:numPr>
        <w:rPr>
          <w:rFonts w:ascii="Arial" w:cs="Arial" w:eastAsia="Arial" w:hAnsi="Arial"/>
          <w:sz w:val="10"/>
          <w:szCs w:val="10"/>
          <w:color w:val="auto"/>
        </w:rPr>
      </w:pPr>
      <w:r>
        <w:rPr>
          <w:rFonts w:ascii="Arial" w:cs="Arial" w:eastAsia="Arial" w:hAnsi="Arial"/>
          <w:sz w:val="14"/>
          <w:szCs w:val="14"/>
          <w:color w:val="auto"/>
        </w:rPr>
        <w:t xml:space="preserve">Represents net currency exchange losses related to the remeasurement of Euro denominated senior unsecured notes issued in June 2020 (see </w:t>
      </w:r>
      <w:r>
        <w:rPr>
          <w:rFonts w:ascii="Arial" w:cs="Arial" w:eastAsia="Arial" w:hAnsi="Arial"/>
          <w:sz w:val="14"/>
          <w:szCs w:val="14"/>
          <w:i w:val="1"/>
          <w:iCs w:val="1"/>
          <w:color w:val="auto"/>
        </w:rPr>
        <w:t>Note 5B)</w:t>
      </w:r>
      <w:r>
        <w:rPr>
          <w:rFonts w:ascii="Arial" w:cs="Arial" w:eastAsia="Arial" w:hAnsi="Arial"/>
          <w:sz w:val="14"/>
          <w:szCs w:val="14"/>
          <w:color w:val="auto"/>
        </w:rPr>
        <w:t>.</w:t>
      </w:r>
    </w:p>
    <w:p>
      <w:pPr>
        <w:ind w:left="224" w:hanging="224"/>
        <w:spacing w:after="0"/>
        <w:tabs>
          <w:tab w:leader="none" w:pos="224" w:val="left"/>
        </w:tabs>
        <w:numPr>
          <w:ilvl w:val="0"/>
          <w:numId w:val="7"/>
        </w:numPr>
        <w:rPr>
          <w:rFonts w:ascii="Arial" w:cs="Arial" w:eastAsia="Arial" w:hAnsi="Arial"/>
          <w:sz w:val="10"/>
          <w:szCs w:val="10"/>
          <w:color w:val="auto"/>
        </w:rPr>
      </w:pPr>
      <w:r>
        <w:rPr>
          <w:rFonts w:ascii="Arial" w:cs="Arial" w:eastAsia="Arial" w:hAnsi="Arial"/>
          <w:sz w:val="14"/>
          <w:szCs w:val="14"/>
          <w:color w:val="auto"/>
        </w:rPr>
        <w:t xml:space="preserve">Primarily represents fees associated with financing arrangements (see </w:t>
      </w:r>
      <w:r>
        <w:rPr>
          <w:rFonts w:ascii="Arial" w:cs="Arial" w:eastAsia="Arial" w:hAnsi="Arial"/>
          <w:sz w:val="14"/>
          <w:szCs w:val="14"/>
          <w:i w:val="1"/>
          <w:iCs w:val="1"/>
          <w:color w:val="auto"/>
        </w:rPr>
        <w:t>Note 5B</w:t>
      </w:r>
      <w:r>
        <w:rPr>
          <w:rFonts w:ascii="Arial" w:cs="Arial" w:eastAsia="Arial" w:hAnsi="Arial"/>
          <w:sz w:val="14"/>
          <w:szCs w:val="14"/>
          <w:color w:val="auto"/>
        </w:rPr>
        <w:t>).</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4. Tax Matters</w:t>
      </w:r>
    </w:p>
    <w:p>
      <w:pPr>
        <w:spacing w:after="0" w:line="121"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 xml:space="preserve">The Company recorded an income tax benefit of approximately $52 million in the three months and nine months ended September 27, 2020, which reflects the jurisdictional mix of income and associated tax rates related to the debt issuances completed in June 2020 (see </w:t>
      </w:r>
      <w:r>
        <w:rPr>
          <w:rFonts w:ascii="Arial" w:cs="Arial" w:eastAsia="Arial" w:hAnsi="Arial"/>
          <w:sz w:val="18"/>
          <w:szCs w:val="18"/>
          <w:i w:val="1"/>
          <w:iCs w:val="1"/>
          <w:color w:val="auto"/>
        </w:rPr>
        <w:t>Note 2E</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5B</w:t>
      </w:r>
      <w:r>
        <w:rPr>
          <w:rFonts w:ascii="Arial" w:cs="Arial" w:eastAsia="Arial" w:hAnsi="Arial"/>
          <w:sz w:val="18"/>
          <w:szCs w:val="18"/>
          <w:color w:val="auto"/>
        </w:rPr>
        <w:t xml:space="preserve">). This amount is included in </w:t>
      </w:r>
      <w:r>
        <w:rPr>
          <w:rFonts w:ascii="Arial" w:cs="Arial" w:eastAsia="Arial" w:hAnsi="Arial"/>
          <w:sz w:val="18"/>
          <w:szCs w:val="18"/>
          <w:i w:val="1"/>
          <w:iCs w:val="1"/>
          <w:color w:val="auto"/>
        </w:rPr>
        <w:t>Net transfers––Pfizer</w:t>
      </w:r>
      <w:r>
        <w:rPr>
          <w:rFonts w:ascii="Arial" w:cs="Arial" w:eastAsia="Arial" w:hAnsi="Arial"/>
          <w:sz w:val="18"/>
          <w:szCs w:val="18"/>
          <w:color w:val="auto"/>
        </w:rPr>
        <w:t xml:space="preserve"> in the condensed consolidated statements of equity to reflect the benefit Pfizer will receive from the losses generated by the Company.</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5. Financial Instruments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Fair Value Measurements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Financial Assets and Liabilities Measured at Fair Value on a Recurring Basis</w:t>
      </w:r>
    </w:p>
    <w:p>
      <w:pPr>
        <w:spacing w:after="0" w:line="252" w:lineRule="exact"/>
        <w:rPr>
          <w:sz w:val="20"/>
          <w:szCs w:val="20"/>
          <w:color w:val="auto"/>
        </w:rPr>
      </w:pPr>
    </w:p>
    <w:p>
      <w:pPr>
        <w:ind w:left="4" w:right="2660"/>
        <w:spacing w:after="0" w:line="270" w:lineRule="auto"/>
        <w:rPr>
          <w:sz w:val="20"/>
          <w:szCs w:val="20"/>
          <w:color w:val="auto"/>
        </w:rPr>
      </w:pPr>
      <w:r>
        <w:rPr>
          <w:rFonts w:ascii="Arial" w:cs="Arial" w:eastAsia="Arial" w:hAnsi="Arial"/>
          <w:sz w:val="18"/>
          <w:szCs w:val="18"/>
          <w:color w:val="auto"/>
        </w:rPr>
        <w:t xml:space="preserve">The following table presents the financial assets measured at fair value using a market approach on a recurring basis by balance sheet categories and fair value hierarchy level as defined in </w:t>
      </w:r>
      <w:r>
        <w:rPr>
          <w:rFonts w:ascii="Arial" w:cs="Arial" w:eastAsia="Arial" w:hAnsi="Arial"/>
          <w:sz w:val="18"/>
          <w:szCs w:val="18"/>
          <w:i w:val="1"/>
          <w:iCs w:val="1"/>
          <w:color w:val="auto"/>
        </w:rPr>
        <w:t>Note 2B:</w:t>
      </w:r>
    </w:p>
    <w:tbl>
      <w:tblPr>
        <w:tblLayout w:type="fixed"/>
        <w:tblInd w:w="4" w:type="dxa"/>
        <w:tblCellMar>
          <w:top w:w="0" w:type="dxa"/>
          <w:left w:w="0" w:type="dxa"/>
          <w:bottom w:w="0" w:type="dxa"/>
          <w:right w:w="0" w:type="dxa"/>
        </w:tblCellMar>
      </w:tblPr>
      <w:tr>
        <w:trPr>
          <w:trHeight w:val="167"/>
        </w:trPr>
        <w:tc>
          <w:tcPr>
            <w:tcW w:w="8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4"/>
          </w:tcPr>
          <w:p>
            <w:pPr>
              <w:jc w:val="center"/>
              <w:ind w:right="260"/>
              <w:spacing w:after="0" w:line="167" w:lineRule="exact"/>
              <w:rPr>
                <w:sz w:val="20"/>
                <w:szCs w:val="20"/>
                <w:color w:val="auto"/>
              </w:rPr>
            </w:pPr>
            <w:r>
              <w:rPr>
                <w:rFonts w:ascii="Arial" w:cs="Arial" w:eastAsia="Arial" w:hAnsi="Arial"/>
                <w:sz w:val="16"/>
                <w:szCs w:val="16"/>
                <w:color w:val="auto"/>
                <w:w w:val="89"/>
              </w:rPr>
              <w:t>September 27,</w:t>
            </w: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4"/>
          </w:tcPr>
          <w:p>
            <w:pPr>
              <w:jc w:val="right"/>
              <w:ind w:right="19"/>
              <w:spacing w:after="0" w:line="167" w:lineRule="exact"/>
              <w:rPr>
                <w:sz w:val="20"/>
                <w:szCs w:val="20"/>
                <w:color w:val="auto"/>
              </w:rPr>
            </w:pPr>
            <w:r>
              <w:rPr>
                <w:rFonts w:ascii="Arial" w:cs="Arial" w:eastAsia="Arial" w:hAnsi="Arial"/>
                <w:sz w:val="16"/>
                <w:szCs w:val="16"/>
                <w:color w:val="auto"/>
                <w:w w:val="89"/>
              </w:rPr>
              <w:t>December 31,</w:t>
            </w: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100" w:type="dxa"/>
            <w:vAlign w:val="bottom"/>
          </w:tcPr>
          <w:p>
            <w:pPr>
              <w:spacing w:after="0"/>
              <w:rPr>
                <w:sz w:val="17"/>
                <w:szCs w:val="17"/>
                <w:color w:val="auto"/>
              </w:rPr>
            </w:pPr>
          </w:p>
        </w:tc>
        <w:tc>
          <w:tcPr>
            <w:tcW w:w="1520" w:type="dxa"/>
            <w:vAlign w:val="bottom"/>
            <w:gridSpan w:val="4"/>
          </w:tcPr>
          <w:p>
            <w:pPr>
              <w:jc w:val="right"/>
              <w:ind w:right="419"/>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w w:val="95"/>
              </w:rPr>
              <w:t>2019</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(millions of dollars)</w:t>
            </w:r>
          </w:p>
        </w:tc>
        <w:tc>
          <w:tcPr>
            <w:tcW w:w="2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5"/>
              </w:rPr>
              <w:t>Total</w:t>
            </w:r>
          </w:p>
        </w:tc>
        <w:tc>
          <w:tcPr>
            <w:tcW w:w="26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2"/>
              </w:rPr>
              <w:t>Level 2</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w w:val="89"/>
              </w:rPr>
              <w:t>Total</w:t>
            </w: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Level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00" w:type="dxa"/>
            <w:vAlign w:val="bottom"/>
          </w:tcPr>
          <w:p>
            <w:pPr>
              <w:spacing w:after="0"/>
              <w:rPr>
                <w:sz w:val="20"/>
                <w:szCs w:val="20"/>
                <w:color w:val="auto"/>
              </w:rPr>
            </w:pPr>
            <w:r>
              <w:rPr>
                <w:rFonts w:ascii="Arial" w:cs="Arial" w:eastAsia="Arial" w:hAnsi="Arial"/>
                <w:sz w:val="16"/>
                <w:szCs w:val="16"/>
                <w:b w:val="1"/>
                <w:bCs w:val="1"/>
                <w:color w:val="auto"/>
              </w:rPr>
              <w:t>Financial assets measured at fair value on a recurring basis: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Arial" w:cs="Arial" w:eastAsia="Arial" w:hAnsi="Arial"/>
                <w:sz w:val="16"/>
                <w:szCs w:val="16"/>
                <w:b w:val="1"/>
                <w:bCs w:val="1"/>
                <w:color w:val="auto"/>
              </w:rPr>
              <w:t>Short-term investments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Classified as equity securities with readily determinable fair values: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00" w:type="dxa"/>
            <w:vAlign w:val="bottom"/>
          </w:tcPr>
          <w:p>
            <w:pPr>
              <w:spacing w:after="0" w:line="212" w:lineRule="exact"/>
              <w:rPr>
                <w:sz w:val="20"/>
                <w:szCs w:val="20"/>
                <w:color w:val="auto"/>
              </w:rPr>
            </w:pPr>
            <w:r>
              <w:rPr>
                <w:rFonts w:ascii="Arial" w:cs="Arial" w:eastAsia="Arial" w:hAnsi="Arial"/>
                <w:sz w:val="16"/>
                <w:szCs w:val="16"/>
                <w:color w:val="auto"/>
              </w:rPr>
              <w:t>Money market funds</w:t>
            </w:r>
            <w:r>
              <w:rPr>
                <w:rFonts w:ascii="Arial" w:cs="Arial" w:eastAsia="Arial" w:hAnsi="Arial"/>
                <w:sz w:val="22"/>
                <w:szCs w:val="22"/>
                <w:color w:val="auto"/>
                <w:vertAlign w:val="superscript"/>
              </w:rPr>
              <w:t>(a)</w:t>
            </w:r>
          </w:p>
        </w:tc>
        <w:tc>
          <w:tcPr>
            <w:tcW w:w="740" w:type="dxa"/>
            <w:vAlign w:val="bottom"/>
            <w:gridSpan w:val="2"/>
          </w:tcPr>
          <w:p>
            <w:pPr>
              <w:jc w:val="center"/>
              <w:ind w:left="139"/>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11,413</w:t>
            </w:r>
          </w:p>
        </w:tc>
        <w:tc>
          <w:tcPr>
            <w:tcW w:w="1040" w:type="dxa"/>
            <w:vAlign w:val="bottom"/>
            <w:gridSpan w:val="3"/>
          </w:tcPr>
          <w:p>
            <w:pPr>
              <w:ind w:left="2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11,413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100"/>
              <w:spacing w:after="0"/>
              <w:rPr>
                <w:sz w:val="20"/>
                <w:szCs w:val="20"/>
                <w:color w:val="auto"/>
              </w:rPr>
            </w:pPr>
            <w:r>
              <w:rPr>
                <w:rFonts w:ascii="Arial" w:cs="Arial" w:eastAsia="Arial" w:hAnsi="Arial"/>
                <w:sz w:val="16"/>
                <w:szCs w:val="16"/>
                <w:color w:val="auto"/>
                <w:w w:val="87"/>
              </w:rPr>
              <w:t>—</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color w:val="auto"/>
              </w:rPr>
              <w:t>Total short-term investments</w:t>
            </w: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color w:val="auto"/>
                <w:w w:val="89"/>
              </w:rPr>
              <w:t>$11,413</w:t>
            </w:r>
          </w:p>
        </w:tc>
        <w:tc>
          <w:tcPr>
            <w:tcW w:w="104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color w:val="auto"/>
              </w:rPr>
              <w:t>$11,413</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87"/>
              </w:rPr>
              <w:t>—</w:t>
            </w:r>
          </w:p>
        </w:tc>
        <w:tc>
          <w:tcPr>
            <w:tcW w:w="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24" w:right="120" w:hanging="224"/>
        <w:spacing w:after="0" w:line="238" w:lineRule="auto"/>
        <w:tabs>
          <w:tab w:leader="none" w:pos="224" w:val="left"/>
        </w:tabs>
        <w:numPr>
          <w:ilvl w:val="0"/>
          <w:numId w:val="8"/>
        </w:numPr>
        <w:rPr>
          <w:rFonts w:ascii="Arial" w:cs="Arial" w:eastAsia="Arial" w:hAnsi="Arial"/>
          <w:sz w:val="10"/>
          <w:szCs w:val="10"/>
          <w:color w:val="auto"/>
        </w:rPr>
      </w:pPr>
      <w:r>
        <w:rPr>
          <w:rFonts w:ascii="Arial" w:cs="Arial" w:eastAsia="Arial" w:hAnsi="Arial"/>
          <w:sz w:val="14"/>
          <w:szCs w:val="14"/>
          <w:color w:val="auto"/>
        </w:rPr>
        <w:t xml:space="preserve">As of September 27, 2020, $11.4 billion of proceeds from the debt issuances completed in June 2020 (see </w:t>
      </w:r>
      <w:r>
        <w:rPr>
          <w:rFonts w:ascii="Arial" w:cs="Arial" w:eastAsia="Arial" w:hAnsi="Arial"/>
          <w:sz w:val="14"/>
          <w:szCs w:val="14"/>
          <w:i w:val="1"/>
          <w:iCs w:val="1"/>
          <w:color w:val="auto"/>
        </w:rPr>
        <w:t>Note 5B</w:t>
      </w:r>
      <w:r>
        <w:rPr>
          <w:rFonts w:ascii="Arial" w:cs="Arial" w:eastAsia="Arial" w:hAnsi="Arial"/>
          <w:sz w:val="14"/>
          <w:szCs w:val="14"/>
          <w:color w:val="auto"/>
        </w:rPr>
        <w:t xml:space="preserve">) are invested in money market funds and are included in </w:t>
      </w:r>
      <w:r>
        <w:rPr>
          <w:rFonts w:ascii="Arial" w:cs="Arial" w:eastAsia="Arial" w:hAnsi="Arial"/>
          <w:sz w:val="14"/>
          <w:szCs w:val="14"/>
          <w:i w:val="1"/>
          <w:iCs w:val="1"/>
          <w:color w:val="auto"/>
        </w:rPr>
        <w:t>Restricted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short-term investments </w:t>
      </w:r>
      <w:r>
        <w:rPr>
          <w:rFonts w:ascii="Arial" w:cs="Arial" w:eastAsia="Arial" w:hAnsi="Arial"/>
          <w:sz w:val="14"/>
          <w:szCs w:val="14"/>
          <w:color w:val="auto"/>
        </w:rPr>
        <w:t>in the condensed consolidated balance sheet, pursuant to the terms of the transaction agreements. The money market funds are primarily invested in U.S. Treasury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and government debt with readily determinable fair values (see </w:t>
      </w:r>
      <w:r>
        <w:rPr>
          <w:rFonts w:ascii="Arial" w:cs="Arial" w:eastAsia="Arial" w:hAnsi="Arial"/>
          <w:sz w:val="14"/>
          <w:szCs w:val="14"/>
          <w:i w:val="1"/>
          <w:iCs w:val="1"/>
          <w:color w:val="auto"/>
        </w:rPr>
        <w:t>Note 3</w:t>
      </w:r>
      <w:r>
        <w:rPr>
          <w:rFonts w:ascii="Arial" w:cs="Arial" w:eastAsia="Arial" w:hAnsi="Arial"/>
          <w:sz w:val="14"/>
          <w:szCs w:val="14"/>
          <w:color w:val="auto"/>
        </w:rPr>
        <w:t xml:space="preserve"> and </w:t>
      </w:r>
      <w:r>
        <w:rPr>
          <w:rFonts w:ascii="Arial" w:cs="Arial" w:eastAsia="Arial" w:hAnsi="Arial"/>
          <w:sz w:val="14"/>
          <w:szCs w:val="14"/>
          <w:i w:val="1"/>
          <w:iCs w:val="1"/>
          <w:color w:val="auto"/>
        </w:rPr>
        <w:t>Note 6</w:t>
      </w:r>
      <w:r>
        <w:rPr>
          <w:rFonts w:ascii="Arial" w:cs="Arial" w:eastAsia="Arial" w:hAnsi="Arial"/>
          <w:sz w:val="14"/>
          <w:szCs w:val="14"/>
          <w:color w:val="auto"/>
        </w:rPr>
        <w: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301"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UPJOHN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Financial Assets and Liabilities Not Measured at Fair Value on a Recurring Basis</w:t>
      </w:r>
    </w:p>
    <w:p>
      <w:pPr>
        <w:spacing w:after="0" w:line="131" w:lineRule="exact"/>
        <w:rPr>
          <w:sz w:val="20"/>
          <w:szCs w:val="20"/>
          <w:color w:val="auto"/>
        </w:rPr>
      </w:pPr>
    </w:p>
    <w:p>
      <w:pPr>
        <w:ind w:left="4" w:right="420"/>
        <w:spacing w:after="0" w:line="270" w:lineRule="auto"/>
        <w:rPr>
          <w:sz w:val="20"/>
          <w:szCs w:val="20"/>
          <w:color w:val="auto"/>
        </w:rPr>
      </w:pPr>
      <w:r>
        <w:rPr>
          <w:rFonts w:ascii="Arial" w:cs="Arial" w:eastAsia="Arial" w:hAnsi="Arial"/>
          <w:sz w:val="18"/>
          <w:szCs w:val="18"/>
          <w:color w:val="auto"/>
        </w:rPr>
        <w:t>The following table presents the financial liabilities not measured at fair value on a recurring basis, including the carrying values and estimated fair values using a market approach:</w:t>
      </w:r>
    </w:p>
    <w:tbl>
      <w:tblPr>
        <w:tblLayout w:type="fixed"/>
        <w:tblInd w:w="4" w:type="dxa"/>
        <w:tblCellMar>
          <w:top w:w="0" w:type="dxa"/>
          <w:left w:w="0" w:type="dxa"/>
          <w:bottom w:w="0" w:type="dxa"/>
          <w:right w:w="0" w:type="dxa"/>
        </w:tblCellMar>
      </w:tblPr>
      <w:tr>
        <w:trPr>
          <w:trHeight w:val="177"/>
        </w:trPr>
        <w:tc>
          <w:tcPr>
            <w:tcW w:w="6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gridSpan w:val="6"/>
          </w:tcPr>
          <w:p>
            <w:pPr>
              <w:ind w:left="420"/>
              <w:spacing w:after="0" w:line="177" w:lineRule="exact"/>
              <w:rPr>
                <w:sz w:val="20"/>
                <w:szCs w:val="20"/>
                <w:color w:val="auto"/>
              </w:rPr>
            </w:pPr>
            <w:r>
              <w:rPr>
                <w:rFonts w:ascii="Arial" w:cs="Arial" w:eastAsia="Arial" w:hAnsi="Arial"/>
                <w:sz w:val="16"/>
                <w:szCs w:val="16"/>
                <w:color w:val="auto"/>
              </w:rPr>
              <w:t>September 27, 2020</w:t>
            </w:r>
          </w:p>
        </w:tc>
        <w:tc>
          <w:tcPr>
            <w:tcW w:w="1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6"/>
          </w:tcPr>
          <w:p>
            <w:pPr>
              <w:ind w:left="180"/>
              <w:spacing w:after="0" w:line="177" w:lineRule="exact"/>
              <w:rPr>
                <w:sz w:val="20"/>
                <w:szCs w:val="20"/>
                <w:color w:val="auto"/>
              </w:rPr>
            </w:pPr>
            <w:r>
              <w:rPr>
                <w:rFonts w:ascii="Arial" w:cs="Arial" w:eastAsia="Arial" w:hAnsi="Arial"/>
                <w:sz w:val="16"/>
                <w:szCs w:val="16"/>
                <w:color w:val="auto"/>
              </w:rPr>
              <w:t>December 31, 2019</w:t>
            </w:r>
          </w:p>
        </w:tc>
      </w:tr>
      <w:tr>
        <w:trPr>
          <w:trHeight w:val="186"/>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5"/>
              </w:rPr>
              <w:t>Carrying</w:t>
            </w:r>
          </w:p>
        </w:tc>
        <w:tc>
          <w:tcPr>
            <w:tcW w:w="130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3"/>
              </w:rPr>
              <w:t>Estimated Fair</w:t>
            </w:r>
          </w:p>
        </w:tc>
        <w:tc>
          <w:tcPr>
            <w:tcW w:w="24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89"/>
              </w:rPr>
              <w:t>Carrying</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color w:val="auto"/>
              </w:rPr>
              <w:t>Estimated</w:t>
            </w:r>
          </w:p>
        </w:tc>
        <w:tc>
          <w:tcPr>
            <w:tcW w:w="60" w:type="dxa"/>
            <w:vAlign w:val="bottom"/>
          </w:tcPr>
          <w:p>
            <w:pPr>
              <w:spacing w:after="0"/>
              <w:rPr>
                <w:sz w:val="16"/>
                <w:szCs w:val="16"/>
                <w:color w:val="auto"/>
              </w:rPr>
            </w:pPr>
          </w:p>
        </w:tc>
      </w:tr>
      <w:tr>
        <w:trPr>
          <w:trHeight w:val="206"/>
        </w:trPr>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Value</w:t>
            </w:r>
          </w:p>
        </w:tc>
        <w:tc>
          <w:tcPr>
            <w:tcW w:w="1540" w:type="dxa"/>
            <w:vAlign w:val="bottom"/>
            <w:gridSpan w:val="4"/>
          </w:tcPr>
          <w:p>
            <w:pPr>
              <w:jc w:val="center"/>
              <w:ind w:right="220"/>
              <w:spacing w:after="0"/>
              <w:rPr>
                <w:sz w:val="20"/>
                <w:szCs w:val="20"/>
                <w:color w:val="auto"/>
              </w:rPr>
            </w:pPr>
            <w:r>
              <w:rPr>
                <w:rFonts w:ascii="Arial" w:cs="Arial" w:eastAsia="Arial" w:hAnsi="Arial"/>
                <w:sz w:val="16"/>
                <w:szCs w:val="16"/>
                <w:color w:val="auto"/>
                <w:w w:val="87"/>
              </w:rPr>
              <w:t>Value</w:t>
            </w:r>
          </w:p>
        </w:tc>
        <w:tc>
          <w:tcPr>
            <w:tcW w:w="10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Value</w:t>
            </w:r>
          </w:p>
        </w:tc>
        <w:tc>
          <w:tcPr>
            <w:tcW w:w="260" w:type="dxa"/>
            <w:vAlign w:val="bottom"/>
          </w:tcPr>
          <w:p>
            <w:pPr>
              <w:spacing w:after="0"/>
              <w:rPr>
                <w:sz w:val="17"/>
                <w:szCs w:val="17"/>
                <w:color w:val="auto"/>
              </w:rPr>
            </w:pPr>
          </w:p>
        </w:tc>
        <w:tc>
          <w:tcPr>
            <w:tcW w:w="1040" w:type="dxa"/>
            <w:vAlign w:val="bottom"/>
            <w:gridSpan w:val="4"/>
          </w:tcPr>
          <w:p>
            <w:pPr>
              <w:ind w:left="160"/>
              <w:spacing w:after="0"/>
              <w:rPr>
                <w:sz w:val="20"/>
                <w:szCs w:val="20"/>
                <w:color w:val="auto"/>
              </w:rPr>
            </w:pPr>
            <w:r>
              <w:rPr>
                <w:rFonts w:ascii="Arial" w:cs="Arial" w:eastAsia="Arial" w:hAnsi="Arial"/>
                <w:sz w:val="16"/>
                <w:szCs w:val="16"/>
                <w:color w:val="auto"/>
              </w:rPr>
              <w:t>Fair Value</w:t>
            </w:r>
          </w:p>
        </w:tc>
      </w:tr>
      <w:tr>
        <w:trPr>
          <w:trHeight w:val="141"/>
        </w:trPr>
        <w:tc>
          <w:tcPr>
            <w:tcW w:w="65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rPr>
              <w:t>(millions of dollars)</w:t>
            </w: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Total</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Level 2</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83"/>
              </w:rPr>
              <w:t>Total</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2"/>
              </w:rPr>
              <w:t>Level 2</w:t>
            </w:r>
          </w:p>
        </w:tc>
        <w:tc>
          <w:tcPr>
            <w:tcW w:w="60" w:type="dxa"/>
            <w:vAlign w:val="bottom"/>
          </w:tcPr>
          <w:p>
            <w:pPr>
              <w:spacing w:after="0"/>
              <w:rPr>
                <w:sz w:val="12"/>
                <w:szCs w:val="12"/>
                <w:color w:val="auto"/>
              </w:rPr>
            </w:pPr>
          </w:p>
        </w:tc>
      </w:tr>
      <w:tr>
        <w:trPr>
          <w:trHeight w:val="193"/>
        </w:trPr>
        <w:tc>
          <w:tcPr>
            <w:tcW w:w="6580" w:type="dxa"/>
            <w:vAlign w:val="bottom"/>
          </w:tcPr>
          <w:p>
            <w:pPr>
              <w:spacing w:after="0"/>
              <w:rPr>
                <w:sz w:val="20"/>
                <w:szCs w:val="20"/>
                <w:color w:val="auto"/>
              </w:rPr>
            </w:pPr>
            <w:r>
              <w:rPr>
                <w:rFonts w:ascii="Arial" w:cs="Arial" w:eastAsia="Arial" w:hAnsi="Arial"/>
                <w:sz w:val="16"/>
                <w:szCs w:val="16"/>
                <w:b w:val="1"/>
                <w:bCs w:val="1"/>
                <w:color w:val="auto"/>
              </w:rPr>
              <w:t>Financial Liabilities:</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6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Long-term debt</w:t>
            </w:r>
          </w:p>
        </w:tc>
        <w:tc>
          <w:tcPr>
            <w:tcW w:w="10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3"/>
              </w:rPr>
              <w:t>$ 11,535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$13,244</w:t>
            </w: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$13,244</w:t>
            </w: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w w:val="87"/>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   —</w:t>
            </w:r>
          </w:p>
        </w:tc>
      </w:tr>
      <w:tr>
        <w:trPr>
          <w:trHeight w:val="24"/>
        </w:trPr>
        <w:tc>
          <w:tcPr>
            <w:tcW w:w="6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Long-Term Debt</w:t>
      </w:r>
    </w:p>
    <w:p>
      <w:pPr>
        <w:spacing w:after="0" w:line="117" w:lineRule="exact"/>
        <w:rPr>
          <w:sz w:val="20"/>
          <w:szCs w:val="20"/>
          <w:color w:val="auto"/>
        </w:rPr>
      </w:pPr>
    </w:p>
    <w:p>
      <w:pPr>
        <w:ind w:left="4" w:right="340"/>
        <w:spacing w:after="0" w:line="286" w:lineRule="auto"/>
        <w:rPr>
          <w:sz w:val="20"/>
          <w:szCs w:val="20"/>
          <w:color w:val="auto"/>
        </w:rPr>
      </w:pPr>
      <w:r>
        <w:rPr>
          <w:rFonts w:ascii="Arial" w:cs="Arial" w:eastAsia="Arial" w:hAnsi="Arial"/>
          <w:sz w:val="17"/>
          <w:szCs w:val="17"/>
          <w:color w:val="auto"/>
        </w:rPr>
        <w:t>In connection with the Transaction, in June 2020, Upjohn and Finco completed privately placed debt offerings of $7.45 billion and €3.60 billion aggregate principal amount of senior unsecured notes, respectively (the “Upjohn Debt Transactions”), and entered into other financing arrangements described below. The following table provides information about the senior unsecured notes issued in June 2020:</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83"/>
              </w:rPr>
              <w:t>Issue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Arial" w:cs="Arial" w:eastAsia="Arial" w:hAnsi="Arial"/>
                <w:sz w:val="16"/>
                <w:szCs w:val="16"/>
                <w:color w:val="auto"/>
              </w:rPr>
              <w:t>Principal</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As of</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580" w:type="dxa"/>
            <w:vAlign w:val="bottom"/>
            <w:gridSpan w:val="5"/>
          </w:tcPr>
          <w:p>
            <w:pPr>
              <w:spacing w:after="0"/>
              <w:rPr>
                <w:sz w:val="20"/>
                <w:szCs w:val="20"/>
                <w:color w:val="auto"/>
              </w:rPr>
            </w:pPr>
            <w:r>
              <w:rPr>
                <w:rFonts w:ascii="Arial" w:cs="Arial" w:eastAsia="Arial" w:hAnsi="Arial"/>
                <w:sz w:val="14"/>
                <w:szCs w:val="14"/>
                <w:color w:val="auto"/>
              </w:rPr>
              <w:t>(millions of dollars/euros)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Maturity Date</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Currency</w:t>
            </w:r>
          </w:p>
        </w:tc>
        <w:tc>
          <w:tcPr>
            <w:tcW w:w="400" w:type="dxa"/>
            <w:vAlign w:val="bottom"/>
          </w:tcPr>
          <w:p>
            <w:pPr>
              <w:spacing w:after="0"/>
              <w:rPr>
                <w:sz w:val="19"/>
                <w:szCs w:val="19"/>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6"/>
                <w:szCs w:val="16"/>
                <w:color w:val="auto"/>
                <w:w w:val="89"/>
              </w:rPr>
              <w:t>September 27, 2020</w:t>
            </w:r>
          </w:p>
        </w:tc>
        <w:tc>
          <w:tcPr>
            <w:tcW w:w="0" w:type="dxa"/>
            <w:vAlign w:val="bottom"/>
          </w:tcPr>
          <w:p>
            <w:pPr>
              <w:spacing w:after="0"/>
              <w:rPr>
                <w:sz w:val="1"/>
                <w:szCs w:val="1"/>
                <w:color w:val="auto"/>
              </w:rPr>
            </w:pPr>
          </w:p>
        </w:tc>
      </w:tr>
      <w:tr>
        <w:trPr>
          <w:trHeight w:val="169"/>
        </w:trPr>
        <w:tc>
          <w:tcPr>
            <w:tcW w:w="616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4"/>
                <w:szCs w:val="14"/>
                <w:color w:val="auto"/>
              </w:rPr>
              <w:t xml:space="preserve">Upjohn Inc. (Upjohn) </w:t>
            </w:r>
            <w:r>
              <w:rPr>
                <w:rFonts w:ascii="Arial" w:cs="Arial" w:eastAsia="Arial" w:hAnsi="Arial"/>
                <w:sz w:val="19"/>
                <w:szCs w:val="19"/>
                <w:color w:val="auto"/>
                <w:vertAlign w:val="superscript"/>
              </w:rPr>
              <w:t>(a)</w:t>
            </w:r>
          </w:p>
        </w:tc>
        <w:tc>
          <w:tcPr>
            <w:tcW w:w="4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0" w:type="dxa"/>
            <w:vAlign w:val="bottom"/>
          </w:tcPr>
          <w:p>
            <w:pPr>
              <w:spacing w:after="0"/>
              <w:rPr>
                <w:sz w:val="20"/>
                <w:szCs w:val="20"/>
                <w:color w:val="auto"/>
              </w:rPr>
            </w:pPr>
            <w:r>
              <w:rPr>
                <w:rFonts w:ascii="Arial" w:cs="Arial" w:eastAsia="Arial" w:hAnsi="Arial"/>
                <w:sz w:val="16"/>
                <w:szCs w:val="16"/>
                <w:color w:val="auto"/>
                <w:w w:val="92"/>
              </w:rPr>
              <w:t>1.125%</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U.S. dollar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22, 2022</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U.S. dollar</w:t>
            </w: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w w:val="92"/>
              </w:rPr>
              <w:t>1.650%</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U.S. dollar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22, 2025</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U.S. dollar</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w w:val="92"/>
              </w:rPr>
              <w:t>2.300%</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U.S. dollar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22, 2027</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U.S. dollar</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w w:val="92"/>
              </w:rPr>
              <w:t>2.700%</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U.S. dollar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22, 2030</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U.S. dollar</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1,450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w w:val="92"/>
              </w:rPr>
              <w:t>3.850%</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U.S. dollar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22, 2040</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U.S. dollar</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20"/>
                <w:szCs w:val="20"/>
                <w:color w:val="auto"/>
              </w:rPr>
            </w:pPr>
            <w:r>
              <w:rPr>
                <w:rFonts w:ascii="Arial" w:cs="Arial" w:eastAsia="Arial" w:hAnsi="Arial"/>
                <w:sz w:val="16"/>
                <w:szCs w:val="16"/>
                <w:color w:val="auto"/>
                <w:w w:val="92"/>
              </w:rPr>
              <w:t>4.000%</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U.S. dollar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22, 2050</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U.S. dollar</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80" w:type="dxa"/>
            <w:vAlign w:val="bottom"/>
            <w:gridSpan w:val="5"/>
          </w:tcPr>
          <w:p>
            <w:pPr>
              <w:ind w:left="160"/>
              <w:spacing w:after="0"/>
              <w:rPr>
                <w:sz w:val="20"/>
                <w:szCs w:val="20"/>
                <w:color w:val="auto"/>
              </w:rPr>
            </w:pPr>
            <w:r>
              <w:rPr>
                <w:rFonts w:ascii="Arial" w:cs="Arial" w:eastAsia="Arial" w:hAnsi="Arial"/>
                <w:sz w:val="16"/>
                <w:szCs w:val="16"/>
                <w:color w:val="auto"/>
              </w:rPr>
              <w:t>Total U.S. dollar notes issued in the second quarter of 2020</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5"/>
            <w:vMerge w:val="restart"/>
          </w:tcPr>
          <w:p>
            <w:pPr>
              <w:spacing w:after="0" w:line="216" w:lineRule="exact"/>
              <w:rPr>
                <w:sz w:val="20"/>
                <w:szCs w:val="20"/>
                <w:color w:val="auto"/>
              </w:rPr>
            </w:pPr>
            <w:r>
              <w:rPr>
                <w:rFonts w:ascii="Arial" w:cs="Arial" w:eastAsia="Arial" w:hAnsi="Arial"/>
                <w:sz w:val="16"/>
                <w:szCs w:val="16"/>
                <w:color w:val="auto"/>
              </w:rPr>
              <w:t xml:space="preserve">Upjohn Finance B.V. (Finco) </w:t>
            </w:r>
            <w:r>
              <w:rPr>
                <w:rFonts w:ascii="Arial" w:cs="Arial" w:eastAsia="Arial" w:hAnsi="Arial"/>
                <w:sz w:val="22"/>
                <w:szCs w:val="22"/>
                <w:color w:val="auto"/>
                <w:vertAlign w:val="superscript"/>
              </w:rPr>
              <w:t>(a)</w:t>
            </w: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80" w:type="dxa"/>
            <w:vAlign w:val="bottom"/>
            <w:gridSpan w:val="5"/>
            <w:vMerge w:val="continue"/>
          </w:tcPr>
          <w:p>
            <w:pPr>
              <w:spacing w:after="0"/>
              <w:rPr>
                <w:sz w:val="15"/>
                <w:szCs w:val="15"/>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6"/>
                <w:szCs w:val="16"/>
                <w:color w:val="auto"/>
              </w:rPr>
              <w:t>June 23, 2022</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4"/>
              </w:rPr>
              <w:t>Euro</w:t>
            </w:r>
          </w:p>
        </w:tc>
        <w:tc>
          <w:tcPr>
            <w:tcW w:w="64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2"/>
              </w:rPr>
              <w:t>0.816%</w:t>
            </w: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Euro notes</w:t>
            </w:r>
          </w:p>
        </w:tc>
        <w:tc>
          <w:tcPr>
            <w:tcW w:w="4700" w:type="dxa"/>
            <w:vAlign w:val="bottom"/>
            <w:gridSpan w:val="2"/>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w w:val="92"/>
              </w:rPr>
              <w:t>1.023%</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Euro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23, 2024</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Euro</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w w:val="92"/>
              </w:rPr>
              <w:t>1.362%</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Euro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23, 2027</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Euro</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6"/>
                <w:szCs w:val="16"/>
                <w:color w:val="auto"/>
                <w:w w:val="92"/>
              </w:rPr>
              <w:t>1.908%</w:t>
            </w:r>
          </w:p>
        </w:tc>
        <w:tc>
          <w:tcPr>
            <w:tcW w:w="6060" w:type="dxa"/>
            <w:vAlign w:val="bottom"/>
            <w:gridSpan w:val="4"/>
          </w:tcPr>
          <w:p>
            <w:pPr>
              <w:ind w:left="20"/>
              <w:spacing w:after="0"/>
              <w:rPr>
                <w:sz w:val="20"/>
                <w:szCs w:val="20"/>
                <w:color w:val="auto"/>
              </w:rPr>
            </w:pPr>
            <w:r>
              <w:rPr>
                <w:rFonts w:ascii="Arial" w:cs="Arial" w:eastAsia="Arial" w:hAnsi="Arial"/>
                <w:sz w:val="16"/>
                <w:szCs w:val="16"/>
                <w:color w:val="auto"/>
              </w:rPr>
              <w:t>Euro notes</w:t>
            </w: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23, 2032</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Euro</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80" w:type="dxa"/>
            <w:vAlign w:val="bottom"/>
            <w:gridSpan w:val="5"/>
          </w:tcPr>
          <w:p>
            <w:pPr>
              <w:ind w:left="160"/>
              <w:spacing w:after="0"/>
              <w:rPr>
                <w:sz w:val="20"/>
                <w:szCs w:val="20"/>
                <w:color w:val="auto"/>
              </w:rPr>
            </w:pPr>
            <w:r>
              <w:rPr>
                <w:rFonts w:ascii="Arial" w:cs="Arial" w:eastAsia="Arial" w:hAnsi="Arial"/>
                <w:sz w:val="16"/>
                <w:szCs w:val="16"/>
                <w:color w:val="auto"/>
              </w:rPr>
              <w:t>Total Euro notes issued in the second quarter of 2020</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224" w:right="20" w:hanging="224"/>
        <w:spacing w:after="0" w:line="231" w:lineRule="auto"/>
        <w:tabs>
          <w:tab w:leader="none" w:pos="224" w:val="left"/>
        </w:tabs>
        <w:numPr>
          <w:ilvl w:val="0"/>
          <w:numId w:val="9"/>
        </w:numPr>
        <w:rPr>
          <w:rFonts w:ascii="Arial" w:cs="Arial" w:eastAsia="Arial" w:hAnsi="Arial"/>
          <w:sz w:val="10"/>
          <w:szCs w:val="10"/>
          <w:color w:val="auto"/>
        </w:rPr>
      </w:pPr>
      <w:r>
        <w:rPr>
          <w:rFonts w:ascii="Arial" w:cs="Arial" w:eastAsia="Arial" w:hAnsi="Arial"/>
          <w:sz w:val="14"/>
          <w:szCs w:val="14"/>
          <w:color w:val="auto"/>
        </w:rPr>
        <w:t>The notes may be redeemed by the Company at any time, in whole, or in part, at varying redemption prices plus accrued and unpaid interest. The weighted-average effective interest rates at issuance were 2.95% for the $7.45 billion notes and 1.37% for the €3.60 billion notes. If the Transaction does not close on or prior to February 1, 2021, or if, prior to such date, Upjohn Inc. and Mylan notify the trustee for the U.S. dollar notes or Euro notes, as applicable, that (i) the business combination agreement entered into by Pfizer, the Company, Mylan and certain of their affiliates to combine the Upjohn Business with Mylan is terminated, or (ii) the Transaction will not otherwise be pursued, the notes must be redeemed at redemption prices equal to 101% of their respective principal amounts, plus accrued and unpaid interest.</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senior unsecured notes were offered in connection with the Transaction. The U.S. dollar notes were issued at a discount of approximately</w:t>
      </w:r>
    </w:p>
    <w:p>
      <w:pPr>
        <w:spacing w:after="0" w:line="35" w:lineRule="exact"/>
        <w:rPr>
          <w:sz w:val="20"/>
          <w:szCs w:val="20"/>
          <w:color w:val="auto"/>
        </w:rPr>
      </w:pPr>
    </w:p>
    <w:p>
      <w:pPr>
        <w:ind w:left="4" w:right="240"/>
        <w:spacing w:after="0" w:line="253" w:lineRule="auto"/>
        <w:rPr>
          <w:sz w:val="20"/>
          <w:szCs w:val="20"/>
          <w:color w:val="auto"/>
        </w:rPr>
      </w:pPr>
      <w:r>
        <w:rPr>
          <w:rFonts w:ascii="Arial" w:cs="Arial" w:eastAsia="Arial" w:hAnsi="Arial"/>
          <w:sz w:val="18"/>
          <w:szCs w:val="18"/>
          <w:color w:val="auto"/>
        </w:rPr>
        <w:t xml:space="preserve">$15 million, which will be amortized as interest expense over the life of the U.S. dollar notes. The Company incurred issuance costs of approximately $89 million associated with the U.S. dollar notes and the euro notes, which will be amortized as interest expense over the life of the notes. The unamortized discount and issuance costs are presented in the condensed consolidated balance sheet as a deduction to the carrying value of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8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The euro notes are exposed to changes in foreign exchange rates and there are no derivatives in place to mitigate that risk (see </w:t>
      </w:r>
      <w:r>
        <w:rPr>
          <w:rFonts w:ascii="Arial" w:cs="Arial" w:eastAsia="Arial" w:hAnsi="Arial"/>
          <w:sz w:val="18"/>
          <w:szCs w:val="18"/>
          <w:i w:val="1"/>
          <w:iCs w:val="1"/>
          <w:color w:val="auto"/>
        </w:rPr>
        <w:t>Note 3</w:t>
      </w:r>
      <w:r>
        <w:rPr>
          <w:rFonts w:ascii="Arial" w:cs="Arial" w:eastAsia="Arial" w:hAnsi="Arial"/>
          <w:sz w:val="18"/>
          <w:szCs w:val="18"/>
          <w:color w:val="auto"/>
        </w:rPr>
        <w:t>). The proceeds of the euro notes were converted to U.S. dollars at the time of issuance.</w:t>
      </w:r>
    </w:p>
    <w:p>
      <w:pPr>
        <w:spacing w:after="0" w:line="62"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In June 2020, the Company (i) entered into a $600 million delayed draw term loan agreement and (ii) entered into a revolving credit facility agreement for up to $4 billion, $1.5 billion of which will be available in a single draw at or around the closing of the Combination for the purpose of funding the $12 billion cash payment by the Company to Pfizer as partial consideration for Pfizer’s contribution of the Upjohn Business to the Company (the “Cash Distribution”). The Company intends to use the net proceeds from the Upjohn Debt Transactions, together with the proceeds from the $600 million term loan agreement and the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301"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UPJOHN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revolving credit agreement to fund in full the Cash Distribution and related transaction fees and expenses. The Company intends to use any remaining balance of net proceeds from these financing transactions after the Cash Distribution for general corporate purposes.</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commitments under the Company’s senior unsecured $12 billion bridge facility were fully terminated upon completion of the Upjohn Debt Transactions on June 23, 2020.</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U.S. dollar notes are senior unsecured obligations of the Company. The euro notes are senior unsecured obligations of Finco. The U.S. dollar notes and euro notes are initially guaranteed on a senior unsecured basis by Pfizer. The guarantee by Pfizer will be automatically and unconditionally terminated and released without the consent of the holders of the notes upon the consummation of the Distribution. The Company has guaranteed the notes issued by Finco, and the Company will remain a guarantor of such notes following the Distribution. Following the Distribution and the Combination, the Company and Finco, as applicable, will remain the obligor with respect to such notes. Upon the consummation of the Combination, the Mylan entities (which will be subsidiaries of the Company following the Combination) that are issuers or guarantors of the outstanding senior unsecured notes issued by Mylan or Mylan Inc. will become guarantors of the U.S. dollar notes and euro notes, substantially concurrent with the Company’s becoming a guarantor of the existing Mylan notes.</w:t>
      </w:r>
    </w:p>
    <w:p>
      <w:pPr>
        <w:spacing w:after="0" w:line="20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The following table provides the components of the Company’s senior unsecured long-term debt, including the weighted-average annual stated interest rate by maturity:</w:t>
      </w:r>
    </w:p>
    <w:tbl>
      <w:tblPr>
        <w:tblLayout w:type="fixed"/>
        <w:tblInd w:w="0" w:type="dxa"/>
        <w:tblCellMar>
          <w:top w:w="0" w:type="dxa"/>
          <w:left w:w="0" w:type="dxa"/>
          <w:bottom w:w="0" w:type="dxa"/>
          <w:right w:w="0" w:type="dxa"/>
        </w:tblCellMar>
      </w:tblPr>
      <w:tr>
        <w:trPr>
          <w:trHeight w:val="167"/>
        </w:trPr>
        <w:tc>
          <w:tcPr>
            <w:tcW w:w="86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100"/>
              <w:spacing w:after="0" w:line="167" w:lineRule="exact"/>
              <w:rPr>
                <w:sz w:val="20"/>
                <w:szCs w:val="20"/>
                <w:color w:val="auto"/>
              </w:rPr>
            </w:pPr>
            <w:r>
              <w:rPr>
                <w:rFonts w:ascii="Arial" w:cs="Arial" w:eastAsia="Arial" w:hAnsi="Arial"/>
                <w:sz w:val="16"/>
                <w:szCs w:val="16"/>
                <w:color w:val="auto"/>
              </w:rPr>
              <w:t>As of</w:t>
            </w:r>
          </w:p>
        </w:tc>
      </w:tr>
      <w:tr>
        <w:trPr>
          <w:trHeight w:val="212"/>
        </w:trPr>
        <w:tc>
          <w:tcPr>
            <w:tcW w:w="9600" w:type="dxa"/>
            <w:vAlign w:val="bottom"/>
            <w:gridSpan w:val="2"/>
          </w:tcPr>
          <w:p>
            <w:pPr>
              <w:spacing w:after="0"/>
              <w:rPr>
                <w:sz w:val="20"/>
                <w:szCs w:val="20"/>
                <w:color w:val="auto"/>
              </w:rPr>
            </w:pPr>
            <w:r>
              <w:rPr>
                <w:rFonts w:ascii="Arial" w:cs="Arial" w:eastAsia="Arial" w:hAnsi="Arial"/>
                <w:sz w:val="14"/>
                <w:szCs w:val="14"/>
                <w:color w:val="auto"/>
              </w:rPr>
              <w:t>(millions of dollars)</w:t>
            </w:r>
          </w:p>
        </w:tc>
        <w:tc>
          <w:tcPr>
            <w:tcW w:w="1420" w:type="dxa"/>
            <w:vAlign w:val="bottom"/>
            <w:gridSpan w:val="3"/>
          </w:tcPr>
          <w:p>
            <w:pPr>
              <w:ind w:left="20"/>
              <w:spacing w:after="0"/>
              <w:rPr>
                <w:sz w:val="20"/>
                <w:szCs w:val="20"/>
                <w:color w:val="auto"/>
              </w:rPr>
            </w:pPr>
            <w:r>
              <w:rPr>
                <w:rFonts w:ascii="Arial" w:cs="Arial" w:eastAsia="Arial" w:hAnsi="Arial"/>
                <w:sz w:val="16"/>
                <w:szCs w:val="16"/>
                <w:color w:val="auto"/>
                <w:w w:val="95"/>
              </w:rPr>
              <w:t>September 27, 2020</w:t>
            </w:r>
          </w:p>
        </w:tc>
      </w:tr>
      <w:tr>
        <w:trPr>
          <w:trHeight w:val="186"/>
        </w:trPr>
        <w:tc>
          <w:tcPr>
            <w:tcW w:w="8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Notes due 2022 (0.981%)</w:t>
            </w:r>
          </w:p>
        </w:tc>
        <w:tc>
          <w:tcPr>
            <w:tcW w:w="1000" w:type="dxa"/>
            <w:vAlign w:val="bottom"/>
          </w:tcPr>
          <w:p>
            <w:pPr>
              <w:spacing w:after="0"/>
              <w:rPr>
                <w:sz w:val="16"/>
                <w:szCs w:val="16"/>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16"/>
                <w:szCs w:val="16"/>
                <w:color w:val="auto"/>
              </w:rPr>
            </w:pPr>
          </w:p>
        </w:tc>
      </w:tr>
      <w:tr>
        <w:trPr>
          <w:trHeight w:val="203"/>
        </w:trPr>
        <w:tc>
          <w:tcPr>
            <w:tcW w:w="9600" w:type="dxa"/>
            <w:vAlign w:val="bottom"/>
            <w:gridSpan w:val="2"/>
          </w:tcPr>
          <w:p>
            <w:pPr>
              <w:spacing w:after="0"/>
              <w:rPr>
                <w:sz w:val="20"/>
                <w:szCs w:val="20"/>
                <w:color w:val="auto"/>
              </w:rPr>
            </w:pPr>
            <w:r>
              <w:rPr>
                <w:rFonts w:ascii="Arial" w:cs="Arial" w:eastAsia="Arial" w:hAnsi="Arial"/>
                <w:sz w:val="16"/>
                <w:szCs w:val="16"/>
                <w:color w:val="auto"/>
              </w:rPr>
              <w:t>Notes due 2024 (1.023%)</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7"/>
                <w:szCs w:val="17"/>
                <w:color w:val="auto"/>
              </w:rPr>
            </w:pPr>
          </w:p>
        </w:tc>
      </w:tr>
      <w:tr>
        <w:trPr>
          <w:trHeight w:val="203"/>
        </w:trPr>
        <w:tc>
          <w:tcPr>
            <w:tcW w:w="9600" w:type="dxa"/>
            <w:vAlign w:val="bottom"/>
            <w:gridSpan w:val="2"/>
          </w:tcPr>
          <w:p>
            <w:pPr>
              <w:spacing w:after="0"/>
              <w:rPr>
                <w:sz w:val="20"/>
                <w:szCs w:val="20"/>
                <w:color w:val="auto"/>
              </w:rPr>
            </w:pPr>
            <w:r>
              <w:rPr>
                <w:rFonts w:ascii="Arial" w:cs="Arial" w:eastAsia="Arial" w:hAnsi="Arial"/>
                <w:sz w:val="16"/>
                <w:szCs w:val="16"/>
                <w:color w:val="auto"/>
              </w:rPr>
              <w:t>Notes due 2025 (1.650%)</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r>
      <w:tr>
        <w:trPr>
          <w:trHeight w:val="203"/>
        </w:trPr>
        <w:tc>
          <w:tcPr>
            <w:tcW w:w="9600" w:type="dxa"/>
            <w:vAlign w:val="bottom"/>
            <w:gridSpan w:val="2"/>
          </w:tcPr>
          <w:p>
            <w:pPr>
              <w:spacing w:after="0"/>
              <w:rPr>
                <w:sz w:val="20"/>
                <w:szCs w:val="20"/>
                <w:color w:val="auto"/>
              </w:rPr>
            </w:pPr>
            <w:r>
              <w:rPr>
                <w:rFonts w:ascii="Arial" w:cs="Arial" w:eastAsia="Arial" w:hAnsi="Arial"/>
                <w:sz w:val="16"/>
                <w:szCs w:val="16"/>
                <w:color w:val="auto"/>
              </w:rPr>
              <w:t>Notes due 2027 (1.767%)</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7"/>
                <w:szCs w:val="17"/>
                <w:color w:val="auto"/>
              </w:rPr>
            </w:pPr>
          </w:p>
        </w:tc>
      </w:tr>
      <w:tr>
        <w:trPr>
          <w:trHeight w:val="203"/>
        </w:trPr>
        <w:tc>
          <w:tcPr>
            <w:tcW w:w="9600" w:type="dxa"/>
            <w:vAlign w:val="bottom"/>
            <w:gridSpan w:val="2"/>
          </w:tcPr>
          <w:p>
            <w:pPr>
              <w:spacing w:after="0"/>
              <w:rPr>
                <w:sz w:val="20"/>
                <w:szCs w:val="20"/>
                <w:color w:val="auto"/>
              </w:rPr>
            </w:pPr>
            <w:r>
              <w:rPr>
                <w:rFonts w:ascii="Arial" w:cs="Arial" w:eastAsia="Arial" w:hAnsi="Arial"/>
                <w:sz w:val="16"/>
                <w:szCs w:val="16"/>
                <w:color w:val="auto"/>
              </w:rPr>
              <w:t>Notes due 2030 (2.700%)</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7"/>
                <w:szCs w:val="17"/>
                <w:color w:val="auto"/>
              </w:rPr>
            </w:pPr>
          </w:p>
        </w:tc>
      </w:tr>
      <w:tr>
        <w:trPr>
          <w:trHeight w:val="202"/>
        </w:trPr>
        <w:tc>
          <w:tcPr>
            <w:tcW w:w="9600" w:type="dxa"/>
            <w:vAlign w:val="bottom"/>
            <w:gridSpan w:val="2"/>
          </w:tcPr>
          <w:p>
            <w:pPr>
              <w:spacing w:after="0"/>
              <w:rPr>
                <w:sz w:val="20"/>
                <w:szCs w:val="20"/>
                <w:color w:val="auto"/>
              </w:rPr>
            </w:pPr>
            <w:r>
              <w:rPr>
                <w:rFonts w:ascii="Arial" w:cs="Arial" w:eastAsia="Arial" w:hAnsi="Arial"/>
                <w:sz w:val="16"/>
                <w:szCs w:val="16"/>
                <w:color w:val="auto"/>
              </w:rPr>
              <w:t>Notes due 2032 (1.908%)</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Pr>
          <w:p>
            <w:pPr>
              <w:spacing w:after="0"/>
              <w:rPr>
                <w:sz w:val="17"/>
                <w:szCs w:val="17"/>
                <w:color w:val="auto"/>
              </w:rPr>
            </w:pPr>
          </w:p>
        </w:tc>
      </w:tr>
      <w:tr>
        <w:trPr>
          <w:trHeight w:val="203"/>
        </w:trPr>
        <w:tc>
          <w:tcPr>
            <w:tcW w:w="9600" w:type="dxa"/>
            <w:vAlign w:val="bottom"/>
            <w:gridSpan w:val="2"/>
          </w:tcPr>
          <w:p>
            <w:pPr>
              <w:spacing w:after="0"/>
              <w:rPr>
                <w:sz w:val="20"/>
                <w:szCs w:val="20"/>
                <w:color w:val="auto"/>
              </w:rPr>
            </w:pPr>
            <w:r>
              <w:rPr>
                <w:rFonts w:ascii="Arial" w:cs="Arial" w:eastAsia="Arial" w:hAnsi="Arial"/>
                <w:sz w:val="16"/>
                <w:szCs w:val="16"/>
                <w:color w:val="auto"/>
              </w:rPr>
              <w:t>Notes due 2040 (3.850%)</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7"/>
                <w:szCs w:val="17"/>
                <w:color w:val="auto"/>
              </w:rPr>
            </w:pPr>
          </w:p>
        </w:tc>
      </w:tr>
      <w:tr>
        <w:trPr>
          <w:trHeight w:val="206"/>
        </w:trPr>
        <w:tc>
          <w:tcPr>
            <w:tcW w:w="9600" w:type="dxa"/>
            <w:vAlign w:val="bottom"/>
            <w:gridSpan w:val="2"/>
          </w:tcPr>
          <w:p>
            <w:pPr>
              <w:spacing w:after="0"/>
              <w:rPr>
                <w:sz w:val="20"/>
                <w:szCs w:val="20"/>
                <w:color w:val="auto"/>
              </w:rPr>
            </w:pPr>
            <w:r>
              <w:rPr>
                <w:rFonts w:ascii="Arial" w:cs="Arial" w:eastAsia="Arial" w:hAnsi="Arial"/>
                <w:sz w:val="16"/>
                <w:szCs w:val="16"/>
                <w:color w:val="auto"/>
              </w:rPr>
              <w:t>Notes due 2050 (4.000%)</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r>
      <w:tr>
        <w:trPr>
          <w:trHeight w:val="206"/>
        </w:trPr>
        <w:tc>
          <w:tcPr>
            <w:tcW w:w="9600" w:type="dxa"/>
            <w:vAlign w:val="bottom"/>
            <w:gridSpan w:val="2"/>
          </w:tcPr>
          <w:p>
            <w:pPr>
              <w:spacing w:after="0"/>
              <w:rPr>
                <w:sz w:val="20"/>
                <w:szCs w:val="20"/>
                <w:color w:val="auto"/>
              </w:rPr>
            </w:pPr>
            <w:r>
              <w:rPr>
                <w:rFonts w:ascii="Arial" w:cs="Arial" w:eastAsia="Arial" w:hAnsi="Arial"/>
                <w:sz w:val="16"/>
                <w:szCs w:val="16"/>
                <w:color w:val="auto"/>
              </w:rPr>
              <w:t>Total long-term debt, principal amount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11,638</w:t>
            </w:r>
          </w:p>
        </w:tc>
        <w:tc>
          <w:tcPr>
            <w:tcW w:w="100" w:type="dxa"/>
            <w:vAlign w:val="bottom"/>
          </w:tcPr>
          <w:p>
            <w:pPr>
              <w:spacing w:after="0"/>
              <w:rPr>
                <w:sz w:val="17"/>
                <w:szCs w:val="17"/>
                <w:color w:val="auto"/>
              </w:rPr>
            </w:pPr>
          </w:p>
        </w:tc>
      </w:tr>
      <w:tr>
        <w:trPr>
          <w:trHeight w:val="206"/>
        </w:trPr>
        <w:tc>
          <w:tcPr>
            <w:tcW w:w="9600" w:type="dxa"/>
            <w:vAlign w:val="bottom"/>
            <w:gridSpan w:val="2"/>
          </w:tcPr>
          <w:p>
            <w:pPr>
              <w:spacing w:after="0"/>
              <w:rPr>
                <w:sz w:val="20"/>
                <w:szCs w:val="20"/>
                <w:color w:val="auto"/>
              </w:rPr>
            </w:pPr>
            <w:r>
              <w:rPr>
                <w:rFonts w:ascii="Arial" w:cs="Arial" w:eastAsia="Arial" w:hAnsi="Arial"/>
                <w:sz w:val="16"/>
                <w:szCs w:val="16"/>
                <w:color w:val="auto"/>
              </w:rPr>
              <w:t>Net unamortized discounts and debt issuance costs</w:t>
            </w:r>
          </w:p>
        </w:tc>
        <w:tc>
          <w:tcPr>
            <w:tcW w:w="4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(103)</w:t>
            </w:r>
          </w:p>
        </w:tc>
      </w:tr>
      <w:tr>
        <w:trPr>
          <w:trHeight w:val="212"/>
        </w:trPr>
        <w:tc>
          <w:tcPr>
            <w:tcW w:w="9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long-term debt, carried at historical proceeds, as adjusted</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11,535</w:t>
            </w:r>
          </w:p>
        </w:tc>
        <w:tc>
          <w:tcPr>
            <w:tcW w:w="100" w:type="dxa"/>
            <w:vAlign w:val="bottom"/>
          </w:tcPr>
          <w:p>
            <w:pPr>
              <w:spacing w:after="0"/>
              <w:rPr>
                <w:sz w:val="18"/>
                <w:szCs w:val="18"/>
                <w:color w:val="auto"/>
              </w:rPr>
            </w:pP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Other Assets and Liabilities</w:t>
      </w:r>
    </w:p>
    <w:p>
      <w:pPr>
        <w:spacing w:after="0" w:line="121"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 xml:space="preserve">As of September 27, 2020,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of approximately $0.3 million consist of an accrued interest receivable of $0.3 million for income earned on the $11.4 billion of proceeds from the debt issuances completed in June 2020 (see </w:t>
      </w:r>
      <w:r>
        <w:rPr>
          <w:rFonts w:ascii="Arial" w:cs="Arial" w:eastAsia="Arial" w:hAnsi="Arial"/>
          <w:sz w:val="16"/>
          <w:szCs w:val="16"/>
          <w:i w:val="1"/>
          <w:iCs w:val="1"/>
          <w:color w:val="auto"/>
        </w:rPr>
        <w:t>Note 5B</w:t>
      </w:r>
      <w:r>
        <w:rPr>
          <w:rFonts w:ascii="Arial" w:cs="Arial" w:eastAsia="Arial" w:hAnsi="Arial"/>
          <w:sz w:val="16"/>
          <w:szCs w:val="16"/>
          <w:color w:val="auto"/>
        </w:rPr>
        <w:t xml:space="preserve">) that are invested in money market funds and included in </w:t>
      </w:r>
      <w:r>
        <w:rPr>
          <w:rFonts w:ascii="Arial" w:cs="Arial" w:eastAsia="Arial" w:hAnsi="Arial"/>
          <w:sz w:val="16"/>
          <w:szCs w:val="16"/>
          <w:i w:val="1"/>
          <w:iCs w:val="1"/>
          <w:color w:val="auto"/>
        </w:rPr>
        <w:t>Restricted short-term investments</w:t>
      </w:r>
      <w:r>
        <w:rPr>
          <w:rFonts w:ascii="Arial" w:cs="Arial" w:eastAsia="Arial" w:hAnsi="Arial"/>
          <w:sz w:val="16"/>
          <w:szCs w:val="16"/>
          <w:color w:val="auto"/>
        </w:rPr>
        <w:t xml:space="preserve"> (see </w:t>
      </w:r>
      <w:r>
        <w:rPr>
          <w:rFonts w:ascii="Arial" w:cs="Arial" w:eastAsia="Arial" w:hAnsi="Arial"/>
          <w:sz w:val="16"/>
          <w:szCs w:val="16"/>
          <w:i w:val="1"/>
          <w:iCs w:val="1"/>
          <w:color w:val="auto"/>
        </w:rPr>
        <w:t>Note 5A</w:t>
      </w:r>
      <w:r>
        <w:rPr>
          <w:rFonts w:ascii="Arial" w:cs="Arial" w:eastAsia="Arial" w:hAnsi="Arial"/>
          <w:sz w:val="16"/>
          <w:szCs w:val="16"/>
          <w:color w:val="auto"/>
        </w:rPr>
        <w:t>) in the condensed consolidated balance sheet as of September 27, 2020.</w:t>
      </w:r>
    </w:p>
    <w:p>
      <w:pPr>
        <w:spacing w:after="0" w:line="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As of September 27, 2020,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of approximately $79 million consist of amounts due for accrued interest payable of approximately $74 million, and accrued expenses associated with financing arrangements (see </w:t>
      </w:r>
      <w:r>
        <w:rPr>
          <w:rFonts w:ascii="Arial" w:cs="Arial" w:eastAsia="Arial" w:hAnsi="Arial"/>
          <w:sz w:val="18"/>
          <w:szCs w:val="18"/>
          <w:i w:val="1"/>
          <w:iCs w:val="1"/>
          <w:color w:val="auto"/>
        </w:rPr>
        <w:t>Note 5B</w:t>
      </w:r>
      <w:r>
        <w:rPr>
          <w:rFonts w:ascii="Arial" w:cs="Arial" w:eastAsia="Arial" w:hAnsi="Arial"/>
          <w:sz w:val="18"/>
          <w:szCs w:val="18"/>
          <w:color w:val="auto"/>
        </w:rPr>
        <w:t>) of approximately $5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Equity</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As of September 27, 2020 and December 31, 2019, the Company is authorized to issue 1,000 shares of common stock, par value $0.01 per share. As of September 27, 2020 and December 31, 2019, there were 100 shares of common stock, par value of $0.01 per share, of the Company issued and outstanding. All such issued and outstanding shares of common stock were held by Pfizer. </w:t>
      </w:r>
      <w:r>
        <w:rPr>
          <w:rFonts w:ascii="Arial" w:cs="Arial" w:eastAsia="Arial" w:hAnsi="Arial"/>
          <w:sz w:val="18"/>
          <w:szCs w:val="18"/>
          <w:i w:val="1"/>
          <w:iCs w:val="1"/>
          <w:color w:val="auto"/>
        </w:rPr>
        <w:t>Due from shareholder</w:t>
      </w:r>
      <w:r>
        <w:rPr>
          <w:rFonts w:ascii="Arial" w:cs="Arial" w:eastAsia="Arial" w:hAnsi="Arial"/>
          <w:sz w:val="18"/>
          <w:szCs w:val="18"/>
          <w:color w:val="auto"/>
        </w:rPr>
        <w:t xml:space="preserve"> includes a receivable from Pfizer totaling one U.S. dollar in connection with the issuance of the Company’s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301" w:right="4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t>UPJOHN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Related Party Transactions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Net transfers––Pfizer</w:t>
      </w:r>
      <w:r>
        <w:rPr>
          <w:rFonts w:ascii="Arial" w:cs="Arial" w:eastAsia="Arial" w:hAnsi="Arial"/>
          <w:sz w:val="16"/>
          <w:szCs w:val="16"/>
          <w:color w:val="auto"/>
        </w:rPr>
        <w:t xml:space="preserve"> in the condensed consolidated statements of equity are transactions between Upjohn and Pfizer and include (i) an income tax benefit of approximately $52 million in the three months and nine months ended September 27, 2020, reflecting the benefit Pfizer will receive from the losses generated by the Company; and (ii) cash payments made by Pfizer on behalf of Upjohn of approximately $21 million in the three months and nine months ended September 27, 2020 related to financing arrangements (see </w:t>
      </w:r>
      <w:r>
        <w:rPr>
          <w:rFonts w:ascii="Arial" w:cs="Arial" w:eastAsia="Arial" w:hAnsi="Arial"/>
          <w:sz w:val="16"/>
          <w:szCs w:val="16"/>
          <w:i w:val="1"/>
          <w:iCs w:val="1"/>
          <w:color w:val="auto"/>
        </w:rPr>
        <w:t>Note 5B</w:t>
      </w:r>
      <w:r>
        <w:rPr>
          <w:rFonts w:ascii="Arial" w:cs="Arial" w:eastAsia="Arial" w:hAnsi="Arial"/>
          <w:sz w:val="16"/>
          <w:szCs w:val="16"/>
          <w:color w:val="auto"/>
        </w:rPr>
        <w:t xml:space="preserve">). The cash payments made by Pfizer on behalf of Upjohn are reflected in the condensed consolidated statements of cash flows in </w:t>
      </w:r>
      <w:r>
        <w:rPr>
          <w:rFonts w:ascii="Arial" w:cs="Arial" w:eastAsia="Arial" w:hAnsi="Arial"/>
          <w:sz w:val="16"/>
          <w:szCs w:val="16"/>
          <w:i w:val="1"/>
          <w:iCs w:val="1"/>
          <w:color w:val="auto"/>
        </w:rPr>
        <w:t>Financing activities with Pfizer</w:t>
      </w:r>
      <w:r>
        <w:rPr>
          <w:rFonts w:ascii="Arial" w:cs="Arial" w:eastAsia="Arial" w:hAnsi="Arial"/>
          <w:sz w:val="16"/>
          <w:szCs w:val="16"/>
          <w:color w:val="auto"/>
        </w:rPr>
        <w:t xml:space="preserve"> in the financing activities section.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301" w:right="4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3180"/>
                    </a:xfrm>
                    <a:prstGeom prst="rect">
                      <a:avLst/>
                    </a:prstGeom>
                    <a:noFill/>
                  </pic:spPr>
                </pic:pic>
              </a:graphicData>
            </a:graphic>
          </wp:anchor>
        </w:drawing>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reviewed the condensed consolidated balance sheet of Upjohn Inc. and subsidiaries (the Company) as of September 27, 2020, the related condensed consolidated statements of operations, comprehensive loss and equity for the three-month and nine-month periods ended September 27, 2020, the three-month period ended September 29, 2019, and the period from February 14, 2019 (date of incorporation) to September 29, 2019, the related condensed consolidated statements of cash flows for the nine-month period ended September 27, 2020 and the period from February 14, 2019 (date of incorporation) to September 29,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2019, and the related consolidated statements of income, comprehensive income, equity, and cash flows for the period from February 14, 2019 (date of incorporation) to December 31, 2019 (not presented herein); and in our report dated May 7, 2020, we expressed an unqualified opinion on those consolidated financial statements. In our opinion, the information set forth in the accompanying condensed consolidated balance sheet as of December 31, 2019, is fairly stated, in all material respects, in relation to the consolidated balance sheet from which it has been derived.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124269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269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97" w:right="479" w:bottom="1440" w:gutter="0" w:footer="0" w:header="0"/>
        </w:sectPr>
      </w:pPr>
    </w:p>
    <w:bookmarkStart w:id="15" w:name="page16"/>
    <w:bookmarkEnd w:id="15"/>
    <w:p>
      <w:pPr>
        <w:ind w:left="4" w:right="3600"/>
        <w:spacing w:after="0" w:line="354"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t xml:space="preserve">Item 2. Management’s Discussion and Analysis of Financial Condition and Results of Operations </w:t>
      </w:r>
      <w:r>
        <w:rPr>
          <w:rFonts w:ascii="Arial" w:cs="Arial" w:eastAsia="Arial" w:hAnsi="Arial"/>
          <w:sz w:val="18"/>
          <w:szCs w:val="18"/>
          <w:u w:val="single" w:color="auto"/>
          <w:color w:val="auto"/>
        </w:rPr>
        <w:t>Overview of Upjohn Inc.</w:t>
      </w:r>
    </w:p>
    <w:p>
      <w:pPr>
        <w:spacing w:after="0" w:line="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Upjohn Inc. (the “Company” or “Upjohn”), a Delaware corporation, was formed on February 14, 2019, and is currently a wholly-owned subsidiary of Pfizer Inc. (“Pfizer”). On February 13, 2020, the United States Securities and Exchange Commission (the “SEC”) declared effective the Registration Statement on Form S-4, as amended (the “S-4 Registration Statement”) of the Company to register shares of its common stock, par value $0.01 per share, that will be issued and distributed in connection with a series of agreements entered into by Pfizer, the Company,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 On June 30, 2020, the SEC declared effective the Registration Statement on Form 10, which includes an information statement (the “Form 10 Registration Statement” and, together with the S-4 Registration Statement, the “Registration Statements”), relating to the planned Distribution (as defined below). On August 6, 2020, the Company filed the final information statement, dated August 6, 2020 (the “Information Statement”), which is attached as Exhibit 99.1 to the Company’s Current Report on Form 8-K filed on August 6, 2020.</w:t>
      </w:r>
    </w:p>
    <w:p>
      <w:pPr>
        <w:spacing w:after="0" w:line="23"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The Company has not commenced operations, has no significant operating assets or liabilities and from February 14, 2019, its date of incorporation, through September 27, 2020 has not conducted any material activities other than those incidental to its formation and those undertaken in connection with the definitive agreement to combine the Company with Mylan, such as financing activities.</w:t>
      </w:r>
    </w:p>
    <w:p>
      <w:pPr>
        <w:spacing w:after="0" w:line="22"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On July 29, 2019, Pfizer, Upjohn, Mylan and certain of their affiliates entered into a series of agreements to combine the Upjohn Business with Mylan in an all-stock Reverse Morris Trust transaction, creating a new global pharmaceutical company. Under the terms of the Transaction, Pfizer will contribute the Upjohn Business to the Company and distribute its ownership interest in Upjohn to Pfizer stockholders via either a spin-off or a split-off (the “Distribution”) and, immediately thereafter, Upjohn will be combined with Mylan (the “Combination”). Pfizer intends to effect the Distribution by way of a spin-off. Pfizer stockholders would own 57% of the combined company and former Mylan shareholders would own 43% of the combined company on a fully diluted basis. The Transaction is generally expected to be tax free to Pfizer and Pfizer stockholders. The Company will make a cash payment to Pfizer equal to $12 billion as partial consideration for the contribution of the Upjohn Business from Pfizer to the Company (the “Cash Distribution”). The Transaction was approved by Mylan shareholders in June 2020. In connection with the Transaction, in June 2020, Upjohn and Upjohn Finance B.V. (“Finco”) completed privately placed debt offerings of $7.45 billion and €3.60 billion aggregate principal amount of senior unsecured notes, respectively (the “Upjohn Debt Transactions”), and entered into other financing arrangements. See the “Analysis of Financial Condition, Liquidity and Capital Resources” section below for more information about the completed financing activities. For more information regarding the Transaction, see the Registration Statements. In October 2020, Pfizer and Mylan announced that the U.S. Federal Trade Commission (the “FTC”) accepted a proposed consent order, which concluded the FTC’s review of the proposed combination of Mylan and the Upjohn Business, and that the parties have now obtained all required antitrust clearances for the proposed Transaction. Also, in October 2020, Pfizer announced that it had set the close of business on November 13, 2020 as the record date for the proposed spin-off and that the Transaction is expected to close on November 16, 2020, subject to customary closing conditions.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Financial Condition, Liquidity and Capital Resources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Selected Measures of Liquidity and Capital Resources</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certain relevant measures of liquidity and capital resources of the Company:</w:t>
      </w:r>
    </w:p>
    <w:p>
      <w:pPr>
        <w:spacing w:after="0" w:line="84"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7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September 27,</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3"/>
              </w:rPr>
              <w:t>December 31,</w:t>
            </w:r>
          </w:p>
        </w:tc>
      </w:tr>
      <w:tr>
        <w:trPr>
          <w:trHeight w:val="230"/>
        </w:trPr>
        <w:tc>
          <w:tcPr>
            <w:tcW w:w="7460" w:type="dxa"/>
            <w:vAlign w:val="bottom"/>
          </w:tcPr>
          <w:p>
            <w:pPr>
              <w:spacing w:after="0"/>
              <w:rPr>
                <w:sz w:val="20"/>
                <w:szCs w:val="20"/>
                <w:color w:val="auto"/>
              </w:rPr>
            </w:pPr>
            <w:r>
              <w:rPr>
                <w:rFonts w:ascii="Arial" w:cs="Arial" w:eastAsia="Arial" w:hAnsi="Arial"/>
                <w:sz w:val="14"/>
                <w:szCs w:val="14"/>
                <w:color w:val="auto"/>
              </w:rPr>
              <w:t>(millions of dollars)</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2019</w:t>
            </w:r>
          </w:p>
        </w:tc>
      </w:tr>
      <w:tr>
        <w:trPr>
          <w:trHeight w:val="210"/>
        </w:trPr>
        <w:tc>
          <w:tcPr>
            <w:tcW w:w="7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Selected financial assets:</w:t>
            </w:r>
          </w:p>
        </w:tc>
        <w:tc>
          <w:tcPr>
            <w:tcW w:w="6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460" w:type="dxa"/>
            <w:vAlign w:val="bottom"/>
          </w:tcPr>
          <w:p>
            <w:pPr>
              <w:ind w:left="180"/>
              <w:spacing w:after="0" w:line="223" w:lineRule="exact"/>
              <w:rPr>
                <w:sz w:val="20"/>
                <w:szCs w:val="20"/>
                <w:color w:val="auto"/>
              </w:rPr>
            </w:pPr>
            <w:r>
              <w:rPr>
                <w:rFonts w:ascii="Arial" w:cs="Arial" w:eastAsia="Arial" w:hAnsi="Arial"/>
                <w:sz w:val="18"/>
                <w:szCs w:val="18"/>
                <w:i w:val="1"/>
                <w:iCs w:val="1"/>
                <w:color w:val="auto"/>
              </w:rPr>
              <w:t>Restricted short-term investments</w:t>
            </w:r>
            <w:r>
              <w:rPr>
                <w:rFonts w:ascii="Arial" w:cs="Arial" w:eastAsia="Arial" w:hAnsi="Arial"/>
                <w:sz w:val="25"/>
                <w:szCs w:val="25"/>
                <w:i w:val="1"/>
                <w:iCs w:val="1"/>
                <w:color w:val="auto"/>
                <w:vertAlign w:val="superscript"/>
              </w:rPr>
              <w:t>(a)</w:t>
            </w:r>
          </w:p>
        </w:tc>
        <w:tc>
          <w:tcPr>
            <w:tcW w:w="68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8"/>
        </w:trPr>
        <w:tc>
          <w:tcPr>
            <w:tcW w:w="7460" w:type="dxa"/>
            <w:vAlign w:val="bottom"/>
          </w:tcPr>
          <w:p>
            <w:pPr>
              <w:spacing w:after="0"/>
              <w:rPr>
                <w:sz w:val="20"/>
                <w:szCs w:val="20"/>
                <w:color w:val="auto"/>
              </w:rPr>
            </w:pPr>
            <w:r>
              <w:rPr>
                <w:rFonts w:ascii="Arial" w:cs="Arial" w:eastAsia="Arial" w:hAnsi="Arial"/>
                <w:sz w:val="18"/>
                <w:szCs w:val="18"/>
                <w:color w:val="auto"/>
              </w:rPr>
              <w:t>Debt: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7460" w:type="dxa"/>
            <w:vAlign w:val="bottom"/>
          </w:tcPr>
          <w:p>
            <w:pPr>
              <w:ind w:left="180"/>
              <w:spacing w:after="0" w:line="230" w:lineRule="exact"/>
              <w:rPr>
                <w:sz w:val="20"/>
                <w:szCs w:val="20"/>
                <w:color w:val="auto"/>
              </w:rPr>
            </w:pPr>
            <w:r>
              <w:rPr>
                <w:rFonts w:ascii="Arial" w:cs="Arial" w:eastAsia="Arial" w:hAnsi="Arial"/>
                <w:sz w:val="18"/>
                <w:szCs w:val="18"/>
                <w:i w:val="1"/>
                <w:iCs w:val="1"/>
                <w:color w:val="auto"/>
              </w:rPr>
              <w:t>Long-term debt</w:t>
            </w:r>
            <w:r>
              <w:rPr>
                <w:rFonts w:ascii="Arial" w:cs="Arial" w:eastAsia="Arial" w:hAnsi="Arial"/>
                <w:sz w:val="25"/>
                <w:szCs w:val="25"/>
                <w:i w:val="1"/>
                <w:iCs w:val="1"/>
                <w:color w:val="auto"/>
                <w:vertAlign w:val="superscript"/>
              </w:rPr>
              <w:t>(a)</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11,535</w:t>
            </w:r>
          </w:p>
        </w:tc>
        <w:tc>
          <w:tcPr>
            <w:tcW w:w="40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Selected net financial liabilities</w:t>
            </w:r>
          </w:p>
        </w:tc>
        <w:tc>
          <w:tcPr>
            <w:tcW w:w="68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r>
      <w:tr>
        <w:trPr>
          <w:trHeight w:val="54"/>
        </w:trPr>
        <w:tc>
          <w:tcPr>
            <w:tcW w:w="7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22" w:lineRule="exact"/>
        <w:rPr>
          <w:sz w:val="20"/>
          <w:szCs w:val="20"/>
          <w:color w:val="auto"/>
        </w:rPr>
      </w:pPr>
    </w:p>
    <w:p>
      <w:pPr>
        <w:ind w:left="224" w:right="20" w:hanging="224"/>
        <w:spacing w:after="0" w:line="255" w:lineRule="auto"/>
        <w:tabs>
          <w:tab w:leader="none" w:pos="224" w:val="left"/>
        </w:tabs>
        <w:numPr>
          <w:ilvl w:val="0"/>
          <w:numId w:val="10"/>
        </w:numPr>
        <w:rPr>
          <w:rFonts w:ascii="Arial" w:cs="Arial" w:eastAsia="Arial" w:hAnsi="Arial"/>
          <w:sz w:val="9"/>
          <w:szCs w:val="9"/>
          <w:color w:val="auto"/>
        </w:rPr>
      </w:pPr>
      <w:r>
        <w:rPr>
          <w:rFonts w:ascii="Arial" w:cs="Arial" w:eastAsia="Arial" w:hAnsi="Arial"/>
          <w:sz w:val="13"/>
          <w:szCs w:val="13"/>
          <w:color w:val="auto"/>
        </w:rPr>
        <w:t>As of September 27, 2020, $11.4 billion of proceeds from the Upjohn Debt Transactions (see Notes to Condensed Consolidated Financial Statements</w:t>
      </w:r>
      <w:r>
        <w:rPr>
          <w:rFonts w:ascii="Arial" w:cs="Arial" w:eastAsia="Arial" w:hAnsi="Arial"/>
          <w:sz w:val="13"/>
          <w:szCs w:val="13"/>
          <w:i w:val="1"/>
          <w:iCs w:val="1"/>
          <w:color w:val="auto"/>
        </w:rPr>
        <w:t>––Note 5B. Financial Instruments:</w:t>
      </w:r>
      <w:r>
        <w:rPr>
          <w:rFonts w:ascii="Arial" w:cs="Arial" w:eastAsia="Arial" w:hAnsi="Arial"/>
          <w:sz w:val="13"/>
          <w:szCs w:val="13"/>
          <w:color w:val="auto"/>
        </w:rPr>
        <w:t xml:space="preserve"> </w:t>
      </w:r>
      <w:r>
        <w:rPr>
          <w:rFonts w:ascii="Arial" w:cs="Arial" w:eastAsia="Arial" w:hAnsi="Arial"/>
          <w:sz w:val="13"/>
          <w:szCs w:val="13"/>
          <w:i w:val="1"/>
          <w:iCs w:val="1"/>
          <w:color w:val="auto"/>
        </w:rPr>
        <w:t>Long-Term Debt</w:t>
      </w:r>
      <w:r>
        <w:rPr>
          <w:rFonts w:ascii="Arial" w:cs="Arial" w:eastAsia="Arial" w:hAnsi="Arial"/>
          <w:sz w:val="13"/>
          <w:szCs w:val="13"/>
          <w:color w:val="auto"/>
        </w:rPr>
        <w:t>) are invested in money market funds and are included in</w:t>
      </w:r>
      <w:r>
        <w:rPr>
          <w:rFonts w:ascii="Arial" w:cs="Arial" w:eastAsia="Arial" w:hAnsi="Arial"/>
          <w:sz w:val="13"/>
          <w:szCs w:val="13"/>
          <w:i w:val="1"/>
          <w:iCs w:val="1"/>
          <w:color w:val="auto"/>
        </w:rPr>
        <w:t xml:space="preserve"> Restricted short-term investments </w:t>
      </w:r>
      <w:r>
        <w:rPr>
          <w:rFonts w:ascii="Arial" w:cs="Arial" w:eastAsia="Arial" w:hAnsi="Arial"/>
          <w:sz w:val="13"/>
          <w:szCs w:val="13"/>
          <w:color w:val="auto"/>
        </w:rPr>
        <w:t>in the condensed consolidated balance sheet. As of September 27, 2020, Long-term debt reflects net currency exchange losses of $144 million related to the remeasurement of the Euro denominated senior unsecured notes issued in June 2020 (see Notes to Condensed Consolidated Financial Statements</w:t>
      </w:r>
      <w:r>
        <w:rPr>
          <w:rFonts w:ascii="Arial" w:cs="Arial" w:eastAsia="Arial" w:hAnsi="Arial"/>
          <w:sz w:val="13"/>
          <w:szCs w:val="13"/>
          <w:i w:val="1"/>
          <w:iCs w:val="1"/>
          <w:color w:val="auto"/>
        </w:rPr>
        <w:t>––Note 3. Other (Income)/Deductions––net</w:t>
      </w:r>
      <w:r>
        <w:rPr>
          <w:rFonts w:ascii="Arial" w:cs="Arial" w:eastAsia="Arial" w:hAnsi="Arial"/>
          <w:sz w:val="13"/>
          <w:szCs w:val="13"/>
          <w:color w:val="auto"/>
        </w:rPr>
        <w:t xml:space="preserve"> and </w:t>
      </w:r>
      <w:r>
        <w:rPr>
          <w:rFonts w:ascii="Arial" w:cs="Arial" w:eastAsia="Arial" w:hAnsi="Arial"/>
          <w:sz w:val="13"/>
          <w:szCs w:val="13"/>
          <w:i w:val="1"/>
          <w:iCs w:val="1"/>
          <w:color w:val="auto"/>
        </w:rPr>
        <w:t>Note 5B. Financial Instruments: Long-Term Debt</w:t>
      </w:r>
      <w:r>
        <w:rPr>
          <w:rFonts w:ascii="Arial" w:cs="Arial" w:eastAsia="Arial" w:hAnsi="Arial"/>
          <w:sz w:val="13"/>
          <w:szCs w:val="13"/>
          <w:color w:val="auto"/>
        </w:rPr>
        <w:t>).</w:t>
      </w:r>
    </w:p>
    <w:p>
      <w:pPr>
        <w:spacing w:after="0" w:line="58"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In June 2020, in connection with the Transaction, the Company (i) incurred $11.4 billion of debt in the Upjohn Debt Transactions, (ii) entered into a $600 million delayed draw term loan agreement and (iii) entered into a revolving credit facility agreement for up to $4 billion, $1.5 billion of which will be available in a single draw at or around the closing of the Combination for the purpose of funding the Cash Distribution. The Company intends to use the net proceeds from the Upjohn Debt Transactions, together with the proceeds from the $600 million term loan agreement and the revolving credit agreement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97" w:right="439" w:bottom="1440" w:gutter="0" w:footer="0" w:header="0"/>
        </w:sectPr>
      </w:pPr>
    </w:p>
    <w:bookmarkStart w:id="16" w:name="page17"/>
    <w:bookmarkEnd w:id="16"/>
    <w:p>
      <w:pPr>
        <w:ind w:left="4"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 xml:space="preserve">to fund in full the Cash Distribution and related transaction fees and expenses. The Company intends to use any remaining balance of net proceeds from these financing transactions after the Cash Distribution for general corporate purposes. In the interim, the $11.4 billion of proceeds of the Upjohn Debt Transactions are classified as </w:t>
      </w:r>
      <w:r>
        <w:rPr>
          <w:rFonts w:ascii="Arial" w:cs="Arial" w:eastAsia="Arial" w:hAnsi="Arial"/>
          <w:sz w:val="17"/>
          <w:szCs w:val="17"/>
          <w:i w:val="1"/>
          <w:iCs w:val="1"/>
          <w:color w:val="auto"/>
        </w:rPr>
        <w:t>Restricted short-term investments</w:t>
      </w:r>
      <w:r>
        <w:rPr>
          <w:rFonts w:ascii="Arial" w:cs="Arial" w:eastAsia="Arial" w:hAnsi="Arial"/>
          <w:sz w:val="17"/>
          <w:szCs w:val="17"/>
          <w:color w:val="auto"/>
        </w:rPr>
        <w:t xml:space="preserve"> in the condensed consolidated balance sheet as of September 27, 2020, pursuant to the terms of the transaction agreements. The euro notes are exposed to changes in foreign exchange rates and there are no derivatives in place to mitigate that risk. The proceeds of the euro notes were converted to U.S. dollars at the time of issuance.</w:t>
      </w:r>
    </w:p>
    <w:p>
      <w:pPr>
        <w:spacing w:after="0" w:line="55"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The commitments under the Company’s senior unsecured $12 billion bridge facility were fully terminated upon completion of the Upjohn Debt Transactions on June 23, 2020.</w:t>
      </w:r>
    </w:p>
    <w:p>
      <w:pPr>
        <w:spacing w:after="0" w:line="35"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The U.S. dollar notes are senior unsecured obligations of the Company. The euro notes are senior unsecured obligations of Finco. The U.S. dollar notes and euro notes are initially guaranteed on a senior unsecured basis by Pfizer. The guarantee by Pfizer will be automatically and unconditionally terminated and released without the consent of the holders of the notes upon the consummation of the Distribution. The Company has guaranteed the notes issued by Finco, and the Company will remain a guarantor of such notes following the Distribution. Following the Distribution and the Combination, the Company and Finco, as applicable, will remain the obligor with respect to such notes. Upon the consummation of the Combination, the Mylan entities (which will be subsidiaries of the Company following the Combination) that are issuers or guarantors of the outstanding senior unsecured notes issued by Mylan or Mylan Inc. will become guarantors of the U.S. dollar notes and euro notes, substantially concurrent with the Company’s becoming a guarantor of the existing Mylan notes. If the Transaction does not close on or prior to February 1, 2021, or if, prior to such date, the Company and Mylan notify the trustee for the U.S. dollar notes or euro notes, as applicable, that (i) the business combination agreement entered into by Pfizer, the Company, Mylan and certain of their affiliates to combine the Upjohn Business with Mylan is terminated, or (ii) the Transaction will not otherwise be pursued, the notes must be redeemed at redemption prices equal to 101% of their respective principal amounts, plus accrued and unpaid interest.</w:t>
      </w:r>
    </w:p>
    <w:p>
      <w:pPr>
        <w:spacing w:after="0" w:line="57"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For additional information regarding the Upjohn Debt Transactions and other financing arrangements of the Company, see Notes to Condensed Consolidated Financial Statements––</w:t>
      </w:r>
      <w:r>
        <w:rPr>
          <w:rFonts w:ascii="Arial" w:cs="Arial" w:eastAsia="Arial" w:hAnsi="Arial"/>
          <w:sz w:val="18"/>
          <w:szCs w:val="18"/>
          <w:i w:val="1"/>
          <w:iCs w:val="1"/>
          <w:color w:val="auto"/>
        </w:rPr>
        <w:t>Note 5B. Financial Instruments: Long-Term Debt</w:t>
      </w:r>
      <w:r>
        <w:rPr>
          <w:rFonts w:ascii="Arial" w:cs="Arial" w:eastAsia="Arial" w:hAnsi="Arial"/>
          <w:sz w:val="18"/>
          <w:szCs w:val="18"/>
          <w:color w:val="auto"/>
        </w:rPr>
        <w:t>.</w:t>
      </w:r>
    </w:p>
    <w:p>
      <w:pPr>
        <w:spacing w:after="0" w:line="49" w:lineRule="exact"/>
        <w:rPr>
          <w:sz w:val="20"/>
          <w:szCs w:val="20"/>
          <w:color w:val="auto"/>
        </w:rPr>
      </w:pPr>
    </w:p>
    <w:p>
      <w:pPr>
        <w:ind w:left="4" w:right="860"/>
        <w:spacing w:after="0" w:line="277" w:lineRule="auto"/>
        <w:rPr>
          <w:sz w:val="20"/>
          <w:szCs w:val="20"/>
          <w:color w:val="auto"/>
        </w:rPr>
      </w:pPr>
      <w:r>
        <w:rPr>
          <w:rFonts w:ascii="Arial" w:cs="Arial" w:eastAsia="Arial" w:hAnsi="Arial"/>
          <w:sz w:val="18"/>
          <w:szCs w:val="18"/>
          <w:color w:val="auto"/>
        </w:rPr>
        <w:t>In connection with its formation on February 14, 2019, the Company’s Board of Directors authorized the Company to issue 100 shares of the Company’s common stock to Pfizer for a total price of one U.S. dollar.</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Contractual Obligations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Payments due under contractual obligations as of September 27, 2020, mature as follows:</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6"/>
                <w:szCs w:val="16"/>
                <w:color w:val="auto"/>
                <w:w w:val="95"/>
              </w:rPr>
              <w:t>Years</w:t>
            </w: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4"/>
                <w:szCs w:val="14"/>
                <w:color w:val="auto"/>
              </w:rPr>
              <w:t>(millions of dollars)</w:t>
            </w:r>
          </w:p>
        </w:tc>
        <w:tc>
          <w:tcPr>
            <w:tcW w:w="22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4"/>
              </w:rPr>
              <w:t>2020</w:t>
            </w:r>
          </w:p>
        </w:tc>
        <w:tc>
          <w:tcPr>
            <w:tcW w:w="26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w w:val="84"/>
              </w:rPr>
              <w:t>2021</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2022-2023</w:t>
            </w:r>
          </w:p>
        </w:tc>
        <w:tc>
          <w:tcPr>
            <w:tcW w:w="26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w w:val="88"/>
              </w:rPr>
              <w:t>2024-2025</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Thereafter</w:t>
            </w:r>
          </w:p>
        </w:tc>
        <w:tc>
          <w:tcPr>
            <w:tcW w:w="40" w:type="dxa"/>
            <w:vAlign w:val="bottom"/>
          </w:tcPr>
          <w:p>
            <w:pPr>
              <w:spacing w:after="0"/>
              <w:rPr>
                <w:sz w:val="17"/>
                <w:szCs w:val="17"/>
                <w:color w:val="auto"/>
              </w:rPr>
            </w:pPr>
          </w:p>
        </w:tc>
      </w:tr>
      <w:tr>
        <w:trPr>
          <w:trHeight w:val="186"/>
        </w:trPr>
        <w:tc>
          <w:tcPr>
            <w:tcW w:w="6220" w:type="dxa"/>
            <w:vAlign w:val="bottom"/>
            <w:tcBorders>
              <w:top w:val="single" w:sz="8" w:color="auto"/>
            </w:tcBorders>
          </w:tcPr>
          <w:p>
            <w:pPr>
              <w:spacing w:after="0" w:line="187"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(a)</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$11,535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1,865</w:t>
            </w:r>
          </w:p>
        </w:tc>
        <w:tc>
          <w:tcPr>
            <w:tcW w:w="260" w:type="dxa"/>
            <w:vAlign w:val="bottom"/>
          </w:tcPr>
          <w:p>
            <w:pPr>
              <w:spacing w:after="0"/>
              <w:rPr>
                <w:sz w:val="16"/>
                <w:szCs w:val="16"/>
                <w:color w:val="auto"/>
              </w:rPr>
            </w:pPr>
          </w:p>
        </w:tc>
        <w:tc>
          <w:tcPr>
            <w:tcW w:w="220" w:type="dxa"/>
            <w:vAlign w:val="bottom"/>
            <w:tcBorders>
              <w:top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8,059</w:t>
            </w:r>
          </w:p>
        </w:tc>
        <w:tc>
          <w:tcPr>
            <w:tcW w:w="40" w:type="dxa"/>
            <w:vAlign w:val="bottom"/>
          </w:tcPr>
          <w:p>
            <w:pPr>
              <w:spacing w:after="0"/>
              <w:rPr>
                <w:sz w:val="16"/>
                <w:szCs w:val="16"/>
                <w:color w:val="auto"/>
              </w:rPr>
            </w:pPr>
          </w:p>
        </w:tc>
      </w:tr>
      <w:tr>
        <w:trPr>
          <w:trHeight w:val="226"/>
        </w:trPr>
        <w:tc>
          <w:tcPr>
            <w:tcW w:w="6220" w:type="dxa"/>
            <w:vAlign w:val="bottom"/>
            <w:tcBorders>
              <w:bottom w:val="single" w:sz="8" w:color="auto"/>
            </w:tcBorders>
          </w:tcPr>
          <w:p>
            <w:pPr>
              <w:spacing w:after="0" w:line="226" w:lineRule="exact"/>
              <w:rPr>
                <w:sz w:val="20"/>
                <w:szCs w:val="20"/>
                <w:color w:val="auto"/>
              </w:rPr>
            </w:pPr>
            <w:r>
              <w:rPr>
                <w:rFonts w:ascii="Arial" w:cs="Arial" w:eastAsia="Arial" w:hAnsi="Arial"/>
                <w:sz w:val="16"/>
                <w:szCs w:val="16"/>
                <w:color w:val="auto"/>
              </w:rPr>
              <w:t>Interest payments on long-term debt obligations</w:t>
            </w:r>
            <w:r>
              <w:rPr>
                <w:rFonts w:ascii="Arial" w:cs="Arial" w:eastAsia="Arial" w:hAnsi="Arial"/>
                <w:sz w:val="22"/>
                <w:szCs w:val="22"/>
                <w:color w:val="auto"/>
                <w:vertAlign w:val="superscript"/>
              </w:rPr>
              <w:t>(b)</w:t>
            </w:r>
          </w:p>
        </w:tc>
        <w:tc>
          <w:tcPr>
            <w:tcW w:w="8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4,598</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109</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464</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3,212</w:t>
            </w:r>
          </w:p>
        </w:tc>
        <w:tc>
          <w:tcPr>
            <w:tcW w:w="40" w:type="dxa"/>
            <w:vAlign w:val="bottom"/>
            <w:tcBorders>
              <w:bottom w:val="single" w:sz="8" w:color="auto"/>
            </w:tcBorders>
          </w:tcPr>
          <w:p>
            <w:pPr>
              <w:spacing w:after="0"/>
              <w:rPr>
                <w:sz w:val="19"/>
                <w:szCs w:val="19"/>
                <w:color w:val="auto"/>
              </w:rPr>
            </w:pPr>
          </w:p>
        </w:tc>
      </w:tr>
      <w:tr>
        <w:trPr>
          <w:trHeight w:val="48"/>
        </w:trPr>
        <w:tc>
          <w:tcPr>
            <w:tcW w:w="6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bl>
    <w:p>
      <w:pPr>
        <w:spacing w:after="0" w:line="31" w:lineRule="exact"/>
        <w:rPr>
          <w:sz w:val="20"/>
          <w:szCs w:val="20"/>
          <w:color w:val="auto"/>
        </w:rPr>
      </w:pPr>
    </w:p>
    <w:p>
      <w:pPr>
        <w:ind w:left="224" w:right="140" w:hanging="224"/>
        <w:spacing w:after="0" w:line="218" w:lineRule="auto"/>
        <w:tabs>
          <w:tab w:leader="none" w:pos="224"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Long-term debt consists of senior unsecured notes, carried at historical proceeds, as adjusted (see Notes to Condensed Consolidated Financial Statements—</w:t>
      </w:r>
      <w:r>
        <w:rPr>
          <w:rFonts w:ascii="Arial" w:cs="Arial" w:eastAsia="Arial" w:hAnsi="Arial"/>
          <w:sz w:val="16"/>
          <w:szCs w:val="16"/>
          <w:i w:val="1"/>
          <w:iCs w:val="1"/>
          <w:color w:val="auto"/>
        </w:rPr>
        <w:t>Note 5B.</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Long-Term Debt</w:t>
      </w:r>
      <w:r>
        <w:rPr>
          <w:rFonts w:ascii="Arial" w:cs="Arial" w:eastAsia="Arial" w:hAnsi="Arial"/>
          <w:sz w:val="16"/>
          <w:szCs w:val="16"/>
          <w:color w:val="auto"/>
        </w:rPr>
        <w:t>).</w:t>
      </w:r>
    </w:p>
    <w:p>
      <w:pPr>
        <w:spacing w:after="0" w:line="1" w:lineRule="exact"/>
        <w:rPr>
          <w:rFonts w:ascii="Arial" w:cs="Arial" w:eastAsia="Arial" w:hAnsi="Arial"/>
          <w:sz w:val="23"/>
          <w:szCs w:val="23"/>
          <w:color w:val="auto"/>
          <w:vertAlign w:val="superscript"/>
        </w:rPr>
      </w:pPr>
    </w:p>
    <w:p>
      <w:pPr>
        <w:ind w:left="224" w:right="140" w:hanging="224"/>
        <w:spacing w:after="0" w:line="230" w:lineRule="auto"/>
        <w:tabs>
          <w:tab w:leader="none" w:pos="224"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The Company’s calculations of expected interest payments incorporate only current period assumptions for interest rates and foreign currency translation rates (see Notes to Condensed Consolidated Financial Statements—</w:t>
      </w:r>
      <w:r>
        <w:rPr>
          <w:rFonts w:ascii="Arial" w:cs="Arial" w:eastAsia="Arial" w:hAnsi="Arial"/>
          <w:sz w:val="16"/>
          <w:szCs w:val="16"/>
          <w:i w:val="1"/>
          <w:iCs w:val="1"/>
          <w:color w:val="auto"/>
        </w:rPr>
        <w:t>Note 5B. Financial Instruments: Long-Term Debt</w:t>
      </w:r>
      <w:r>
        <w:rPr>
          <w:rFonts w:ascii="Arial" w:cs="Arial" w:eastAsia="Arial" w:hAnsi="Arial"/>
          <w:sz w:val="16"/>
          <w:szCs w:val="16"/>
          <w:color w:val="auto"/>
        </w:rPr>
        <w:t>) and assume that interest is accrued through the maturity date or expiration of the related instrument.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Forward-Looking Information and Factors That May Affect Future Results</w:t>
      </w:r>
    </w:p>
    <w:p>
      <w:pPr>
        <w:spacing w:after="0" w:line="108"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This report and other written or oral statements that the Company makes from time to time contain forward-looking statements. Such forward-looking statements involve substantial risks and uncertainties. The Company has tried, wherever possible, to identify such statements by using words such as “will,” “may,” “could,” “should,” “would,” “likely,” “ongoing,” “anticipate,” “estimate,” “expect,” “project,” “potential,” “intend,” “continue,” “plan,” “believe,” “assume,” “target,” “forecast,” “guidance,” “goal,” “objective,” “aim,” “seek” and other words and terms of similar meaning or by using future dates in connection with any discussion of, among other things, the Company’s anticipated operating and financial performance, business plans and prospects, expectations for its products, sales efforts, expenses, interest rates, foreign exchange rates, the outcome of contingencies, such as legal proceedings, government regulation, the ability to successfully capitalize on growth opportunities or prospects, manufacturing and product supply and the Company’s expectations regarding the impact of a novel disease caused by a strain of coronavirus on its business and operations. In particular, these include statements relating to future actions, including, among others, the expected timing, benefits, charges and/or costs in connection with the pending combination of the Upjohn Business with Mylan to create a new global pharmaceutical company, Viatris, and the Company’s anticipated liquidity position, the anticipated costs and savings from certain initiatives, and the expected payments to the unfunded (non-qualified) pension and postretirement plans and expected funding obligations.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301" w:right="439" w:bottom="1440" w:gutter="0" w:footer="0" w:header="0"/>
        </w:sectPr>
      </w:pPr>
    </w:p>
    <w:bookmarkStart w:id="17" w:name="page18"/>
    <w:bookmarkEnd w:id="17"/>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Company cannot guarantee that any forward-looking statement will be realized.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Investors should bear this in mind as they consider forward-looking statements, and are cautioned not to put undue reliance on forward-looking statements.</w:t>
      </w:r>
    </w:p>
    <w:p>
      <w:pPr>
        <w:spacing w:after="0" w:line="50"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The Company undertakes no obligation to publicly update forward-looking statements, whether as a result of new information, future events or otherwise, except as required by law or by the rules and regulations of the SEC. You are advised, however, to consult any further disclosures the Company makes on related subjects.</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You should read and consider the risk factors associated with the Upjohn Business because these risk factors may affect the operations and financial results of the new combined company and the Company’s common stock following the closing of the Transaction. A description of the risks and uncertainties for the Upjohn Business, Mylan and the combined company may be found in the “Risk Factors” and “Cautionary Statement Regarding Forward-Looking Statements” sections of the Form S-4 Registration Statement, which was declared effective on February 13, 2020, the Form 10 Registration Statement, which was declared effective on June 30, 2020, and the Information Statement, all of which are on file with the SEC. Additional discussion regarding certain risks and uncertainties described above is included under the heading entitled “Risk Factors” in Part II, Item 1A, “Risk Factors” of this Quarterly Report on Form 10-Q. The Company notes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period covered by this report, the Company did not conduct any material operating activities and therefore did not incur any significant interest rate risk, foreign currency exchange rate risk, commodity price risk or other relevant market risks except that the Company’s senior unsecured euro-denominated notes are exposed to changes in foreign exchange rates and there are currently no derivatives in place to mitigate that risk. Borrowings under the Upjohn Debt Transactions are on a long-term, fixed-rate basis. The Company’s restricted short-term investments consist of high-quality, highly liquid money market funds primarily invested in U.S. Treasury and government debt. For information about the financing arrangements undertaken in connection with the definitive agreement to combine the Company with Mylan, see “Analysis of Financial Condition, Liquidity and Capital Resources” in Part I, Item 2, “Management’s Discussion and Analysis of Financial Condition and Results of Operations” of this Quarterly Report on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08"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its principal executive officer and principal financial officer, of the effectiveness of the design and operation of the Company’s disclosure controls and procedures (as such term is defined in Rules 13a-15(e) and 15d-15(e) under the Exchange Act). Based on this evaluation, the Company’s principal executive officer and principal financial officer concluded that the Company’s disclosure controls and procedures are effective in alerting them in a timely manner to material information required to be disclosed in the Company’s periodic reports filed with the SEC.</w:t>
      </w:r>
    </w:p>
    <w:p>
      <w:pPr>
        <w:spacing w:after="0" w:line="4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Company’s most recent fiscal quarter, there has not been any change in its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301"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1A. Risk Factors</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period covered by this report, the Company did not conduct any material activities other than those related to its formation and the matters contemplated by the Transaction. You should also read and consider the risk factors associated with the Upjohn Business because these risk factors may affect the operations and financial results of the new combined company and the Company’s common stock following the closing of the Transaction. The Company refers to the “Forward-Looking Information and Factors That May Affect Future Results” section of the “Management’s Discussion and Analysis of Financial Condition and Results of Operations” of this Quarterly Report on Form 10-Q and to the description of the risks and uncertainties for the Upjohn Business, Mylan and the combined company that may be found in the “Risk Factors” and “Cautionary Statement Regarding Forward-Looking Statements” sections of the S-4 Registration Statement, which was declared effective on February 13, 2020, the Form 10 Registration Statement, which was declared effective on June 30, 2020, and the Information Statement, all of which are on file with the SEC.</w:t>
      </w:r>
    </w:p>
    <w:p>
      <w:pPr>
        <w:spacing w:after="0" w:line="2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COVID-19 Pandemic. </w:t>
      </w:r>
      <w:r>
        <w:rPr>
          <w:rFonts w:ascii="Arial" w:cs="Arial" w:eastAsia="Arial" w:hAnsi="Arial"/>
          <w:sz w:val="18"/>
          <w:szCs w:val="18"/>
          <w:color w:val="auto"/>
        </w:rPr>
        <w:t>In December 2019, illnesses associated with a novel disease caused by a strain of coronavirus (“COVID-19”) were reported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virus has since caused widespread and significant disruptions to daily life and economies across geographies. The World Health Organization has classified the outbreak as a pandemic.</w:t>
      </w:r>
    </w:p>
    <w:p>
      <w:pPr>
        <w:spacing w:after="0" w:line="5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COVID-19 pandemic presents a number of risks and challenges for the Company and the Upjohn Business, including, among others, potential challenges in connection with the anticipated combination of the Upjohn Business with Mylan. For the Upjohn Business that is to be contributed to the Company under the terms of the Transaction, its business, operations, financial condition and results have been and may continue to be impacted by the COVID-19 pandemic to varying degrees. The pandemic’s impact on the Upjohn Business and its operations and financial condition and results was less severe at its peak than originally anticipated, but is recovering at a somewhat slower pace than originally expected. The pandemic continues to present a number of risks and challenges for the Upjohn Business, including, among others, impacts due to travel limitations, social distancing and government-mandated work-from-home or shelter-in-place orders; potential manufacturing disruptions and delays and supply chain interruptions, including challenges related to reliance on third-party suppliers; decreased product demand, including due to reduced numbers of in-person meetings with prescribers and patient visits with physicians, resulting in fewer new prescriptions or refills of existing prescriptions; further reduced product demand as a result of increased unemployment; challenges presented by reallocating human capital, manufacturing and other resources to assist in responding to the pandemic without disruption to the Upjohn Business’s operations; costs associated with the COVID-19 pandemic, including protocols intended to reduce the risk of transmission; potential interruptions or delays in the operations of certain regulatory authorities; potential increased cyber incidents such as phishing, social engineering and malware attacks; and other challenges presented by disruptions to our normal operations in response to the pandemic, as well as uncertainties regarding the duration and severity of the pandemic and its impacts and government or regulatory actions to contain the virus or control the supply of medicines. Further, the COVID-19 pandemic, and the volatile global economic conditions stemming from the pandemic, could precipitate or amplify the other risks that are identified in the “Risk Factors” and “Cautionary Statement Regarding Forward-Looking Statements” sections of the Company’s S-4 Registration Statement, Form 10 Registration Statement and Information Statement.</w:t>
      </w:r>
    </w:p>
    <w:p>
      <w:pPr>
        <w:spacing w:after="0" w:line="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is continuing to monitor the latest developments regarding the COVID-19 pandemic on the Upjohn Business and its operations, financial condition and results, and the Upjohn Business has made certain assumptions regarding the pandemic for purposes of its operational planning and financial projections, including assumptions regarding the duration and severity of the pandemic and the global macroeconomic impact of the pandemic.</w:t>
      </w:r>
    </w:p>
    <w:p>
      <w:pPr>
        <w:spacing w:after="0" w:line="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Despite careful tracking and planning, however, the Company is unable to accurately predict the extent of the impact of the pandemic on the Upjohn Business and its operations, financial condition and results due to the uncertainty of future developments. In particular, the Company believes the ultimate impact on the Upjohn Business’s business, operations and financial condition and results will be affected by the speed and extent of the continued spread of the coronavirus globally, the duration of the pandemic, new information that may emerge concerning the severity and incidence of COVID-19, the safety, efficacy and availability of a vaccine and treatments for COVID-19, the global macroeconomic impact of the pandemic and governmental or regulatory actions to contain the virus or control supply of medicines. The pandemic may also affect the Upjohn Business’s business, operations or financial condition and results in a manner that is not presently known to the Upjohn Business or that the Upjohn Business currently does not consider to present significant risks.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97" w:right="47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3. Defaults Upon Senior Securities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2.1</w:t>
            </w:r>
          </w:p>
        </w:tc>
        <w:tc>
          <w:tcPr>
            <w:tcW w:w="9600" w:type="dxa"/>
            <w:vAlign w:val="bottom"/>
            <w:gridSpan w:val="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Amendment No. 3, dated as of September 18, 2020, to the Separation and Distribution Agreement, dated as of July 29, 2019, by and</w:t>
              </w:r>
            </w:hyperlink>
          </w:p>
        </w:tc>
      </w:tr>
      <w:tr>
        <w:trPr>
          <w:trHeight w:val="196"/>
        </w:trPr>
        <w:tc>
          <w:tcPr>
            <w:tcW w:w="13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between Pfizer Inc. and Upjohn Inc.*</w:t>
              </w:r>
            </w:hyperlink>
          </w:p>
        </w:tc>
        <w:tc>
          <w:tcPr>
            <w:tcW w:w="682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r>
      <w:tr>
        <w:trPr>
          <w:trHeight w:val="344"/>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gridSpan w:val="6"/>
          </w:tcPr>
          <w:p>
            <w:pPr>
              <w:spacing w:after="0"/>
              <w:rPr>
                <w:rFonts w:ascii="Arial" w:cs="Arial" w:eastAsia="Arial" w:hAnsi="Arial"/>
                <w:sz w:val="18"/>
                <w:szCs w:val="18"/>
                <w:color w:val="0000EE"/>
              </w:rPr>
            </w:pPr>
            <w:hyperlink w:anchor="page25">
              <w:r>
                <w:rPr>
                  <w:rFonts w:ascii="Arial" w:cs="Arial" w:eastAsia="Arial" w:hAnsi="Arial"/>
                  <w:sz w:val="18"/>
                  <w:szCs w:val="18"/>
                  <w:u w:val="single" w:color="auto"/>
                  <w:color w:val="0000EE"/>
                </w:rPr>
                <w:t>Certification by the Principal Executive Officer Pursuant to Section 302 of the Sarbanes-Oxley Act of 2002</w:t>
              </w:r>
              <w:r>
                <w:rPr>
                  <w:rFonts w:ascii="Arial" w:cs="Arial" w:eastAsia="Arial" w:hAnsi="Arial"/>
                  <w:sz w:val="18"/>
                  <w:szCs w:val="18"/>
                  <w:color w:val="0000EE"/>
                </w:rPr>
                <w:t>.</w:t>
              </w:r>
            </w:hyperlink>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gridSpan w:val="6"/>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 by the Chief Financial Officer Pursuant to Section 302 of the Sarbanes-Oxley Act of 2002.</w:t>
              </w:r>
            </w:hyperlink>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9600" w:type="dxa"/>
            <w:vAlign w:val="bottom"/>
            <w:gridSpan w:val="6"/>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Certification by the Principal Executive Officer Pursuant to 18 U.S.C. Section 1350, as Adopted Pursuant to Section 906 of the</w:t>
              </w:r>
            </w:hyperlink>
          </w:p>
        </w:tc>
      </w:tr>
      <w:tr>
        <w:trPr>
          <w:trHeight w:val="196"/>
        </w:trPr>
        <w:tc>
          <w:tcPr>
            <w:tcW w:w="13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Sarbanes-Oxley Act of 2002.</w:t>
              </w:r>
            </w:hyperlink>
          </w:p>
        </w:tc>
        <w:tc>
          <w:tcPr>
            <w:tcW w:w="7040" w:type="dxa"/>
            <w:vAlign w:val="bottom"/>
            <w:tcBorders>
              <w:top w:val="single" w:sz="8" w:color="0000EE"/>
            </w:tcBorders>
            <w:gridSpan w:val="2"/>
          </w:tcPr>
          <w:p>
            <w:pPr>
              <w:spacing w:after="0"/>
              <w:rPr>
                <w:sz w:val="17"/>
                <w:szCs w:val="17"/>
                <w:color w:val="auto"/>
              </w:rPr>
            </w:pPr>
          </w:p>
        </w:tc>
        <w:tc>
          <w:tcPr>
            <w:tcW w:w="460" w:type="dxa"/>
            <w:vAlign w:val="bottom"/>
            <w:gridSpan w:val="2"/>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96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by the Chief Financial Officer Pursuant to 18 U.S.C. Section 1350, as Adopted Pursuant to Section 906 of the Sarbanes-</w:t>
              </w:r>
            </w:hyperlink>
          </w:p>
        </w:tc>
      </w:tr>
      <w:tr>
        <w:trPr>
          <w:trHeight w:val="196"/>
        </w:trPr>
        <w:tc>
          <w:tcPr>
            <w:tcW w:w="1320" w:type="dxa"/>
            <w:vAlign w:val="bottom"/>
          </w:tcPr>
          <w:p>
            <w:pPr>
              <w:spacing w:after="0"/>
              <w:rPr>
                <w:sz w:val="17"/>
                <w:szCs w:val="17"/>
                <w:color w:val="auto"/>
              </w:rPr>
            </w:pPr>
          </w:p>
        </w:tc>
        <w:tc>
          <w:tcPr>
            <w:tcW w:w="9600" w:type="dxa"/>
            <w:vAlign w:val="bottom"/>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Oxley Act of 2002.</w:t>
              </w:r>
            </w:hyperlink>
          </w:p>
        </w:tc>
      </w:tr>
      <w:tr>
        <w:trPr>
          <w:trHeight w:val="345"/>
        </w:trPr>
        <w:tc>
          <w:tcPr>
            <w:tcW w:w="1320" w:type="dxa"/>
            <w:vAlign w:val="bottom"/>
          </w:tcPr>
          <w:p>
            <w:pPr>
              <w:spacing w:after="0"/>
              <w:rPr>
                <w:sz w:val="20"/>
                <w:szCs w:val="20"/>
                <w:color w:val="auto"/>
              </w:rPr>
            </w:pPr>
            <w:r>
              <w:rPr>
                <w:rFonts w:ascii="Arial" w:cs="Arial" w:eastAsia="Arial" w:hAnsi="Arial"/>
                <w:sz w:val="18"/>
                <w:szCs w:val="18"/>
                <w:color w:val="auto"/>
              </w:rPr>
              <w:t>Exhibit 101:</w:t>
            </w:r>
          </w:p>
        </w:tc>
        <w:tc>
          <w:tcPr>
            <w:tcW w:w="13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gridSpan w:val="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1320" w:type="dxa"/>
            <w:vAlign w:val="bottom"/>
          </w:tcPr>
          <w:p>
            <w:pPr>
              <w:spacing w:after="0"/>
              <w:rPr>
                <w:sz w:val="20"/>
                <w:szCs w:val="20"/>
                <w:color w:val="auto"/>
              </w:rPr>
            </w:pPr>
          </w:p>
        </w:tc>
        <w:tc>
          <w:tcPr>
            <w:tcW w:w="96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Document</w:t>
            </w: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Exhibit 104</w:t>
            </w:r>
          </w:p>
        </w:tc>
        <w:tc>
          <w:tcPr>
            <w:tcW w:w="9600" w:type="dxa"/>
            <w:vAlign w:val="bottom"/>
            <w:gridSpan w:val="6"/>
          </w:tcPr>
          <w:p>
            <w:pPr>
              <w:spacing w:after="0"/>
              <w:rPr>
                <w:sz w:val="20"/>
                <w:szCs w:val="20"/>
                <w:color w:val="auto"/>
              </w:rPr>
            </w:pPr>
            <w:r>
              <w:rPr>
                <w:rFonts w:ascii="Arial" w:cs="Arial" w:eastAsia="Arial" w:hAnsi="Arial"/>
                <w:sz w:val="18"/>
                <w:szCs w:val="18"/>
                <w:color w:val="auto"/>
                <w:w w:val="91"/>
              </w:rPr>
              <w:t>Cover Page Interactive Data File––the cover page interactive data file does not appear in the Interactive Data File because its XBRL</w:t>
            </w:r>
          </w:p>
        </w:tc>
      </w:tr>
      <w:tr>
        <w:trPr>
          <w:trHeight w:val="230"/>
        </w:trPr>
        <w:tc>
          <w:tcPr>
            <w:tcW w:w="1320" w:type="dxa"/>
            <w:vAlign w:val="bottom"/>
          </w:tcPr>
          <w:p>
            <w:pPr>
              <w:spacing w:after="0"/>
              <w:rPr>
                <w:sz w:val="20"/>
                <w:szCs w:val="20"/>
                <w:color w:val="auto"/>
              </w:rPr>
            </w:pPr>
          </w:p>
        </w:tc>
        <w:tc>
          <w:tcPr>
            <w:tcW w:w="9600" w:type="dxa"/>
            <w:vAlign w:val="bottom"/>
            <w:gridSpan w:val="6"/>
          </w:tcPr>
          <w:p>
            <w:pPr>
              <w:spacing w:after="0"/>
              <w:rPr>
                <w:sz w:val="20"/>
                <w:szCs w:val="20"/>
                <w:color w:val="auto"/>
              </w:rPr>
            </w:pPr>
            <w:r>
              <w:rPr>
                <w:rFonts w:ascii="Arial" w:cs="Arial" w:eastAsia="Arial" w:hAnsi="Arial"/>
                <w:sz w:val="18"/>
                <w:szCs w:val="18"/>
                <w:color w:val="auto"/>
              </w:rPr>
              <w:t>tags are embedded within the Inline XBRL document.</w:t>
            </w:r>
          </w:p>
        </w:tc>
      </w:tr>
    </w:tbl>
    <w:p>
      <w:pPr>
        <w:spacing w:after="0" w:line="229" w:lineRule="exact"/>
        <w:rPr>
          <w:sz w:val="20"/>
          <w:szCs w:val="20"/>
          <w:color w:val="auto"/>
        </w:rPr>
      </w:pPr>
    </w:p>
    <w:p>
      <w:pPr>
        <w:ind w:left="224" w:right="280" w:hanging="224"/>
        <w:spacing w:after="0" w:line="216" w:lineRule="auto"/>
        <w:tabs>
          <w:tab w:leader="none" w:pos="224"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Annexes, schedules and/or exhibits have been omitted pursuant to Item 601 of Regulation S-K. The Company agrees to furnish supplementally a copy of any omitted attachment to the SEC on a confidential basis upon request.</w:t>
      </w:r>
    </w:p>
    <w:p>
      <w:pPr>
        <w:spacing w:after="0" w:line="13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4"/>
          </w:cols>
          <w:pgMar w:left="436" w:top="297" w:right="5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requirements of the Securities Exchange Act of 1934, the registrant has duly caused this report to be signed by the undersigned thereunto duly authorized.</w:t>
      </w:r>
    </w:p>
    <w:p>
      <w:pPr>
        <w:spacing w:after="0" w:line="19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Upjohn Inc.</w:t>
      </w:r>
    </w:p>
    <w:p>
      <w:pPr>
        <w:spacing w:after="0" w:line="121"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Dated: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GOETTLER</w:t>
      </w:r>
    </w:p>
    <w:p>
      <w:pPr>
        <w:spacing w:after="0" w:line="11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Michael Goettler</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President (Principal Executive Officer)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97" w:right="4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11" w:lineRule="exact"/>
        <w:rPr>
          <w:sz w:val="20"/>
          <w:szCs w:val="20"/>
          <w:color w:val="auto"/>
        </w:rPr>
      </w:pPr>
    </w:p>
    <w:p>
      <w:pPr>
        <w:ind w:right="220" w:firstLine="1432"/>
        <w:spacing w:after="0" w:line="259" w:lineRule="auto"/>
        <w:rPr>
          <w:sz w:val="20"/>
          <w:szCs w:val="20"/>
          <w:color w:val="auto"/>
        </w:rPr>
      </w:pPr>
      <w:r>
        <w:rPr>
          <w:rFonts w:ascii="Arial" w:cs="Arial" w:eastAsia="Arial" w:hAnsi="Arial"/>
          <w:sz w:val="18"/>
          <w:szCs w:val="18"/>
          <w:color w:val="auto"/>
        </w:rPr>
        <w:t>This Amendment No. 3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Separation and Distribution Agreement, dated as of July 29, 2019, as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September 18, 2020 by and between Pfizer Inc., a Delaware corporation (“</w:t>
      </w:r>
      <w:r>
        <w:rPr>
          <w:rFonts w:ascii="Arial" w:cs="Arial" w:eastAsia="Arial" w:hAnsi="Arial"/>
          <w:sz w:val="18"/>
          <w:szCs w:val="18"/>
          <w:u w:val="single" w:color="auto"/>
          <w:color w:val="auto"/>
        </w:rPr>
        <w:t>Pluto</w:t>
      </w:r>
      <w:r>
        <w:rPr>
          <w:rFonts w:ascii="Arial" w:cs="Arial" w:eastAsia="Arial" w:hAnsi="Arial"/>
          <w:sz w:val="18"/>
          <w:szCs w:val="18"/>
          <w:color w:val="auto"/>
        </w:rPr>
        <w:t>”) and Upjohn Inc., a Delaware corporation and wholly owned Subsidiary of Pluto (“</w:t>
      </w:r>
      <w:r>
        <w:rPr>
          <w:rFonts w:ascii="Arial" w:cs="Arial" w:eastAsia="Arial" w:hAnsi="Arial"/>
          <w:sz w:val="18"/>
          <w:szCs w:val="18"/>
          <w:u w:val="single" w:color="auto"/>
          <w:color w:val="auto"/>
        </w:rPr>
        <w:t>Spinco</w:t>
      </w:r>
      <w:r>
        <w:rPr>
          <w:rFonts w:ascii="Arial" w:cs="Arial" w:eastAsia="Arial" w:hAnsi="Arial"/>
          <w:sz w:val="18"/>
          <w:szCs w:val="18"/>
          <w:color w:val="auto"/>
        </w:rPr>
        <w:t>”). Each of the foregoing parties is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WHEREAS, the Parties entered into the Agreement on July 29, 2019;</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WHEREAS, the Parties entered into Amendment No. 1 to the Separation and Distribution Agreement on February 18, 2020;</w:t>
      </w:r>
    </w:p>
    <w:p>
      <w:pPr>
        <w:spacing w:after="0" w:line="2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WHEREAS, the Parties entered into Amendment No. 2 to the Separation and Distribution Agreement on May 29, 2020; and</w:t>
      </w:r>
    </w:p>
    <w:p>
      <w:pPr>
        <w:spacing w:after="0" w:line="237" w:lineRule="exact"/>
        <w:rPr>
          <w:sz w:val="20"/>
          <w:szCs w:val="20"/>
          <w:color w:val="auto"/>
        </w:rPr>
      </w:pPr>
    </w:p>
    <w:p>
      <w:pPr>
        <w:ind w:right="300" w:firstLine="1432"/>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w:t>
      </w:r>
    </w:p>
    <w:p>
      <w:pPr>
        <w:spacing w:after="0" w:line="170"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1420"/>
        <w:spacing w:after="0"/>
        <w:tabs>
          <w:tab w:leader="none" w:pos="25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 them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Agreement.</w:t>
      </w:r>
    </w:p>
    <w:p>
      <w:pPr>
        <w:spacing w:after="0" w:line="204" w:lineRule="exact"/>
        <w:rPr>
          <w:sz w:val="20"/>
          <w:szCs w:val="20"/>
          <w:color w:val="auto"/>
        </w:rPr>
      </w:pPr>
    </w:p>
    <w:p>
      <w:pPr>
        <w:ind w:left="1420"/>
        <w:spacing w:after="0"/>
        <w:tabs>
          <w:tab w:leader="none" w:pos="27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6"/>
          <w:szCs w:val="16"/>
          <w:u w:val="single" w:color="auto"/>
          <w:color w:val="auto"/>
        </w:rPr>
        <w:t>Amendments to the Agreement</w:t>
      </w:r>
      <w:r>
        <w:rPr>
          <w:rFonts w:ascii="Arial" w:cs="Arial" w:eastAsia="Arial" w:hAnsi="Arial"/>
          <w:sz w:val="16"/>
          <w:szCs w:val="16"/>
          <w:color w:val="auto"/>
        </w:rPr>
        <w:t>.</w:t>
      </w:r>
    </w:p>
    <w:p>
      <w:pPr>
        <w:spacing w:after="0" w:line="240" w:lineRule="exact"/>
        <w:rPr>
          <w:sz w:val="20"/>
          <w:szCs w:val="20"/>
          <w:color w:val="auto"/>
        </w:rPr>
      </w:pPr>
    </w:p>
    <w:p>
      <w:pPr>
        <w:ind w:left="1980" w:right="100" w:hanging="547"/>
        <w:spacing w:after="0" w:line="447" w:lineRule="auto"/>
        <w:tabs>
          <w:tab w:leader="none" w:pos="1899" w:val="left"/>
        </w:tabs>
        <w:numPr>
          <w:ilvl w:val="0"/>
          <w:numId w:val="13"/>
        </w:numPr>
        <w:rPr>
          <w:rFonts w:ascii="Arial" w:cs="Arial" w:eastAsia="Arial" w:hAnsi="Arial"/>
          <w:sz w:val="22"/>
          <w:szCs w:val="22"/>
          <w:color w:val="auto"/>
        </w:rPr>
      </w:pPr>
      <w:r>
        <w:rPr>
          <w:rFonts w:ascii="Arial" w:cs="Arial" w:eastAsia="Arial" w:hAnsi="Arial"/>
          <w:sz w:val="18"/>
          <w:szCs w:val="18"/>
          <w:color w:val="auto"/>
        </w:rPr>
        <w:t>Section 1.01 of the Agreement is hereby amended by adding the following definition in the appropriate alphabetical location: “</w:t>
      </w:r>
      <w:r>
        <w:rPr>
          <w:rFonts w:ascii="Arial" w:cs="Arial" w:eastAsia="Arial" w:hAnsi="Arial"/>
          <w:sz w:val="18"/>
          <w:szCs w:val="18"/>
          <w:u w:val="single" w:color="auto"/>
          <w:color w:val="auto"/>
        </w:rPr>
        <w:t>License and Supply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2.08(d)</w:t>
      </w:r>
      <w:r>
        <w:rPr>
          <w:rFonts w:ascii="Arial" w:cs="Arial" w:eastAsia="Arial" w:hAnsi="Arial"/>
          <w:sz w:val="18"/>
          <w:szCs w:val="18"/>
          <w:color w:val="auto"/>
        </w:rPr>
        <w:t>.</w:t>
      </w:r>
    </w:p>
    <w:p>
      <w:pPr>
        <w:spacing w:after="0" w:line="11" w:lineRule="exact"/>
        <w:rPr>
          <w:rFonts w:ascii="Arial" w:cs="Arial" w:eastAsia="Arial" w:hAnsi="Arial"/>
          <w:sz w:val="22"/>
          <w:szCs w:val="22"/>
          <w:color w:val="auto"/>
        </w:rPr>
      </w:pPr>
    </w:p>
    <w:p>
      <w:pPr>
        <w:ind w:left="1900" w:hanging="467"/>
        <w:spacing w:after="0"/>
        <w:tabs>
          <w:tab w:leader="none" w:pos="1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 xml:space="preserve">Schedule 2.02(b)(vi) to the Agreement is hereby amended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06" w:lineRule="exact"/>
        <w:rPr>
          <w:rFonts w:ascii="Arial" w:cs="Arial" w:eastAsia="Arial" w:hAnsi="Arial"/>
          <w:sz w:val="22"/>
          <w:szCs w:val="22"/>
          <w:color w:val="auto"/>
        </w:rPr>
      </w:pPr>
    </w:p>
    <w:p>
      <w:pPr>
        <w:ind w:left="1900" w:hanging="467"/>
        <w:spacing w:after="0"/>
        <w:tabs>
          <w:tab w:leader="none" w:pos="1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Section 2.08 of the Agreement is hereby amended by adding a new Section 2.08(d) as follows:</w:t>
      </w:r>
    </w:p>
    <w:p>
      <w:pPr>
        <w:spacing w:after="0" w:line="202" w:lineRule="exact"/>
        <w:rPr>
          <w:sz w:val="20"/>
          <w:szCs w:val="20"/>
          <w:color w:val="auto"/>
        </w:rPr>
      </w:pPr>
    </w:p>
    <w:p>
      <w:pPr>
        <w:ind w:left="1980" w:right="20"/>
        <w:spacing w:after="0" w:line="288" w:lineRule="auto"/>
        <w:rPr>
          <w:sz w:val="20"/>
          <w:szCs w:val="20"/>
          <w:color w:val="auto"/>
        </w:rPr>
      </w:pPr>
      <w:r>
        <w:rPr>
          <w:rFonts w:ascii="Arial" w:cs="Arial" w:eastAsia="Arial" w:hAnsi="Arial"/>
          <w:sz w:val="16"/>
          <w:szCs w:val="16"/>
          <w:color w:val="auto"/>
        </w:rPr>
        <w:t xml:space="preserve">“(d) Each of Pluto, Spinco and Utah agrees that it will use its reasonable best efforts to cooperate in good faith to negotiate and finalize as promptly as practicable one or more agreements (in each case, including the schedules and exhibits thereto) pursuant to which Pluto shall license to Spinco the commercialization rights in the United States for, and supply to Spinco, the Spinco Products (which license shall exclude, for the avoidance of doubt, the right to commercialize any authorized generic or generic under the marketing authorizations set forth in items 4 and 5 of </w:t>
      </w:r>
      <w:r>
        <w:rPr>
          <w:rFonts w:ascii="Arial" w:cs="Arial" w:eastAsia="Arial" w:hAnsi="Arial"/>
          <w:sz w:val="16"/>
          <w:szCs w:val="16"/>
          <w:u w:val="single" w:color="auto"/>
          <w:color w:val="auto"/>
        </w:rPr>
        <w:t>Schedule 2.02(b)(vi)</w:t>
      </w:r>
      <w:r>
        <w:rPr>
          <w:rFonts w:ascii="Arial" w:cs="Arial" w:eastAsia="Arial" w:hAnsi="Arial"/>
          <w:sz w:val="16"/>
          <w:szCs w:val="16"/>
          <w:color w:val="auto"/>
        </w:rPr>
        <w:t xml:space="preserve">) for which Pluto or another member of the Pluto Group shall hold the applicable New Drug Application or Abbreviated New Drug Application as of the Distribution Time, excluding any such marketing authorization to be transferred to Spinco or another member of the Spinco Group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License and Supply Agreements</w:t>
      </w:r>
      <w:r>
        <w:rPr>
          <w:rFonts w:ascii="Arial" w:cs="Arial" w:eastAsia="Arial" w:hAnsi="Arial"/>
          <w:sz w:val="16"/>
          <w:szCs w:val="16"/>
          <w:color w:val="auto"/>
        </w:rPr>
        <w:t>”), and each of Pluto, Spinco and Utah, as applicable, will execute and deliver, and cause each of their applicable Subsidiaries to execute and deliver, as applicable, the License and Supply Agreements on or prior to the Distribution Date.”</w:t>
      </w:r>
    </w:p>
    <w:p>
      <w:pPr>
        <w:sectPr>
          <w:pgSz w:w="11900" w:h="16838" w:orient="portrait"/>
          <w:cols w:equalWidth="0" w:num="1">
            <w:col w:w="11020"/>
          </w:cols>
          <w:pgMar w:left="440" w:top="121" w:right="439" w:bottom="1440" w:gutter="0" w:footer="0" w:header="0"/>
        </w:sectPr>
      </w:pPr>
    </w:p>
    <w:bookmarkStart w:id="22" w:name="page23"/>
    <w:bookmarkEnd w:id="22"/>
    <w:p>
      <w:pPr>
        <w:ind w:left="1960" w:hanging="518"/>
        <w:spacing w:after="0"/>
        <w:tabs>
          <w:tab w:leader="none" w:pos="1960" w:val="left"/>
        </w:tabs>
        <w:numPr>
          <w:ilvl w:val="0"/>
          <w:numId w:val="14"/>
        </w:numPr>
        <w:rPr>
          <w:rFonts w:ascii="Arial" w:cs="Arial" w:eastAsia="Arial" w:hAnsi="Arial"/>
          <w:sz w:val="22"/>
          <w:szCs w:val="22"/>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Schedule 5.01(c) to the Agreement is hereby amended as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95" w:lineRule="exact"/>
        <w:rPr>
          <w:sz w:val="20"/>
          <w:szCs w:val="20"/>
          <w:color w:val="auto"/>
        </w:rPr>
      </w:pPr>
    </w:p>
    <w:p>
      <w:pPr>
        <w:ind w:firstLine="1432"/>
        <w:spacing w:after="0" w:line="252"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w:t>
      </w:r>
      <w:r>
        <w:rPr>
          <w:rFonts w:ascii="Arial" w:cs="Arial" w:eastAsia="Arial" w:hAnsi="Arial"/>
          <w:sz w:val="22"/>
          <w:szCs w:val="22"/>
          <w:color w:val="auto"/>
        </w:rPr>
        <w:t xml:space="preserve"> </w:t>
      </w:r>
      <w:r>
        <w:rPr>
          <w:rFonts w:ascii="Arial" w:cs="Arial" w:eastAsia="Arial" w:hAnsi="Arial"/>
          <w:sz w:val="17"/>
          <w:szCs w:val="17"/>
          <w:color w:val="auto"/>
        </w:rPr>
        <w:t>writing duly signed by the Parties under Section 10.03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“the date hereof” or any similar reference shall continue to refer to July 29, 2019.</w:t>
      </w:r>
    </w:p>
    <w:p>
      <w:pPr>
        <w:spacing w:after="0" w:line="187" w:lineRule="exact"/>
        <w:rPr>
          <w:sz w:val="20"/>
          <w:szCs w:val="20"/>
          <w:color w:val="auto"/>
        </w:rPr>
      </w:pPr>
    </w:p>
    <w:p>
      <w:pPr>
        <w:ind w:right="140" w:firstLine="1432"/>
        <w:spacing w:after="0" w:line="227"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17"/>
          <w:szCs w:val="17"/>
          <w:u w:val="single" w:color="auto"/>
          <w:color w:val="auto"/>
        </w:rPr>
        <w:t>Miscellaneous</w:t>
      </w:r>
      <w:r>
        <w:rPr>
          <w:rFonts w:ascii="Arial" w:cs="Arial" w:eastAsia="Arial" w:hAnsi="Arial"/>
          <w:sz w:val="17"/>
          <w:szCs w:val="17"/>
          <w:color w:val="auto"/>
        </w:rPr>
        <w:t>. The provisions of Article X of the Agreement shall apply to this Amendment,</w:t>
      </w:r>
      <w:r>
        <w:rPr>
          <w:rFonts w:ascii="Arial" w:cs="Arial" w:eastAsia="Arial" w:hAnsi="Arial"/>
          <w:sz w:val="22"/>
          <w:szCs w:val="22"/>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w:t>
      </w:r>
      <w:r>
        <w:rPr>
          <w:rFonts w:ascii="Arial" w:cs="Arial" w:eastAsia="Arial" w:hAnsi="Arial"/>
          <w:sz w:val="22"/>
          <w:szCs w:val="22"/>
          <w:color w:val="auto"/>
        </w:rPr>
        <w:t xml:space="preserve"> </w:t>
      </w:r>
      <w:r>
        <w:rPr>
          <w:rFonts w:ascii="Arial" w:cs="Arial" w:eastAsia="Arial" w:hAnsi="Arial"/>
          <w:sz w:val="17"/>
          <w:szCs w:val="17"/>
          <w:color w:val="auto"/>
        </w:rPr>
        <w:t>and are incorporated by reference as if fully set forth herein.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60"/>
          </w:cols>
          <w:pgMar w:left="440" w:top="278" w:right="499" w:bottom="1440" w:gutter="0" w:footer="0" w:header="0"/>
        </w:sectPr>
      </w:pPr>
    </w:p>
    <w:bookmarkStart w:id="23" w:name="page24"/>
    <w:bookmarkEnd w:id="23"/>
    <w:p>
      <w:pPr>
        <w:ind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INC.</w:t>
      </w:r>
    </w:p>
    <w:p>
      <w:pPr>
        <w:spacing w:after="0" w:line="200" w:lineRule="exact"/>
        <w:rPr>
          <w:sz w:val="20"/>
          <w:szCs w:val="20"/>
          <w:color w:val="auto"/>
        </w:rPr>
      </w:pPr>
    </w:p>
    <w:p>
      <w:pPr>
        <w:spacing w:after="0" w:line="286" w:lineRule="exact"/>
        <w:rPr>
          <w:sz w:val="20"/>
          <w:szCs w:val="20"/>
          <w:color w:val="auto"/>
        </w:rPr>
      </w:pPr>
    </w:p>
    <w:p>
      <w:pPr>
        <w:ind w:left="6880"/>
        <w:spacing w:after="0"/>
        <w:tabs>
          <w:tab w:leader="none" w:pos="7340" w:val="left"/>
        </w:tabs>
        <w:rPr>
          <w:sz w:val="20"/>
          <w:szCs w:val="20"/>
          <w:color w:val="auto"/>
        </w:rPr>
      </w:pPr>
      <w:r>
        <w:rPr>
          <w:rFonts w:ascii="Arial" w:cs="Arial" w:eastAsia="Arial" w:hAnsi="Arial"/>
          <w:sz w:val="18"/>
          <w:szCs w:val="18"/>
          <w:color w:val="auto"/>
        </w:rPr>
        <w:t>By:</w:t>
        <w:tab/>
        <w:t>/s/ Douglas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4626610</wp:posOffset>
            </wp:positionH>
            <wp:positionV relativeFrom="paragraph">
              <wp:posOffset>-121920</wp:posOffset>
            </wp:positionV>
            <wp:extent cx="2366010" cy="557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66010" cy="55753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Douglas Giordano</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Senior Vice President</w:t>
      </w:r>
    </w:p>
    <w:p>
      <w:pPr>
        <w:spacing w:after="0" w:line="3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UPJOHN INC.</w:t>
      </w:r>
    </w:p>
    <w:p>
      <w:pPr>
        <w:spacing w:after="0" w:line="200" w:lineRule="exact"/>
        <w:rPr>
          <w:sz w:val="20"/>
          <w:szCs w:val="20"/>
          <w:color w:val="auto"/>
        </w:rPr>
      </w:pPr>
    </w:p>
    <w:p>
      <w:pPr>
        <w:spacing w:after="0" w:line="286" w:lineRule="exact"/>
        <w:rPr>
          <w:sz w:val="20"/>
          <w:szCs w:val="20"/>
          <w:color w:val="auto"/>
        </w:rPr>
      </w:pPr>
    </w:p>
    <w:p>
      <w:pPr>
        <w:ind w:left="6880"/>
        <w:spacing w:after="0"/>
        <w:tabs>
          <w:tab w:leader="none" w:pos="7340" w:val="left"/>
        </w:tabs>
        <w:rPr>
          <w:sz w:val="20"/>
          <w:szCs w:val="20"/>
          <w:color w:val="auto"/>
        </w:rPr>
      </w:pPr>
      <w:r>
        <w:rPr>
          <w:rFonts w:ascii="Arial" w:cs="Arial" w:eastAsia="Arial" w:hAnsi="Arial"/>
          <w:sz w:val="18"/>
          <w:szCs w:val="18"/>
          <w:color w:val="auto"/>
        </w:rPr>
        <w:t>By:</w:t>
        <w:tab/>
        <w:t>/s/ Alison L.M.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4626610</wp:posOffset>
            </wp:positionH>
            <wp:positionV relativeFrom="paragraph">
              <wp:posOffset>-121920</wp:posOffset>
            </wp:positionV>
            <wp:extent cx="2366010" cy="557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6010" cy="55753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Alison L.M. O’Neill</w:t>
      </w:r>
    </w:p>
    <w:p>
      <w:pPr>
        <w:spacing w:after="0" w:line="23" w:lineRule="exact"/>
        <w:rPr>
          <w:sz w:val="20"/>
          <w:szCs w:val="20"/>
          <w:color w:val="auto"/>
        </w:rPr>
      </w:pPr>
    </w:p>
    <w:p>
      <w:pPr>
        <w:ind w:left="7360"/>
        <w:spacing w:after="0"/>
        <w:tabs>
          <w:tab w:leader="none" w:pos="7960" w:val="left"/>
        </w:tabs>
        <w:rPr>
          <w:sz w:val="20"/>
          <w:szCs w:val="20"/>
          <w:color w:val="auto"/>
        </w:rPr>
      </w:pPr>
      <w:r>
        <w:rPr>
          <w:rFonts w:ascii="Arial" w:cs="Arial" w:eastAsia="Arial" w:hAnsi="Arial"/>
          <w:sz w:val="18"/>
          <w:szCs w:val="18"/>
          <w:color w:val="auto"/>
        </w:rPr>
        <w:t>Title:</w:t>
        <w:tab/>
        <w:t>Vice President</w:t>
      </w:r>
    </w:p>
    <w:p>
      <w:pPr>
        <w:spacing w:after="0" w:line="352"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w:t>
      </w:r>
    </w:p>
    <w:p>
      <w:pPr>
        <w:spacing w:after="0" w:line="8" w:lineRule="exact"/>
        <w:rPr>
          <w:sz w:val="20"/>
          <w:szCs w:val="20"/>
          <w:color w:val="auto"/>
        </w:rPr>
      </w:pPr>
    </w:p>
    <w:p>
      <w:pPr>
        <w:jc w:val="center"/>
        <w:ind w:right="-479"/>
        <w:spacing w:after="0"/>
        <w:rPr>
          <w:sz w:val="20"/>
          <w:szCs w:val="20"/>
          <w:color w:val="auto"/>
        </w:rPr>
      </w:pPr>
      <w:r>
        <w:rPr>
          <w:rFonts w:ascii="Arial" w:cs="Arial" w:eastAsia="Arial" w:hAnsi="Arial"/>
          <w:sz w:val="22"/>
          <w:szCs w:val="22"/>
          <w:i w:val="1"/>
          <w:iCs w:val="1"/>
          <w:color w:val="auto"/>
        </w:rPr>
        <w:t>Amendment No. 3 to the Separation and Distribution Agreement</w:t>
      </w:r>
      <w:r>
        <w:rPr>
          <w:rFonts w:ascii="Arial" w:cs="Arial" w:eastAsia="Arial" w:hAnsi="Arial"/>
          <w:sz w:val="22"/>
          <w:szCs w:val="22"/>
          <w:color w:val="auto"/>
        </w:rPr>
        <w:t>]</w:t>
      </w:r>
    </w:p>
    <w:p>
      <w:pPr>
        <w:sectPr>
          <w:pgSz w:w="11900" w:h="16838" w:orient="portrait"/>
          <w:cols w:equalWidth="0" w:num="1">
            <w:col w:w="10520"/>
          </w:cols>
          <w:pgMar w:left="440" w:top="274" w:right="9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90" w:lineRule="exact"/>
        <w:rPr>
          <w:sz w:val="20"/>
          <w:szCs w:val="20"/>
          <w:color w:val="auto"/>
        </w:rPr>
      </w:pPr>
    </w:p>
    <w:p>
      <w:pPr>
        <w:ind w:left="760" w:hanging="32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Upjohn Inc.;</w:t>
      </w:r>
    </w:p>
    <w:p>
      <w:pPr>
        <w:spacing w:after="0" w:line="103" w:lineRule="exact"/>
        <w:rPr>
          <w:rFonts w:ascii="Arial" w:cs="Arial" w:eastAsia="Arial" w:hAnsi="Arial"/>
          <w:sz w:val="18"/>
          <w:szCs w:val="18"/>
          <w:color w:val="auto"/>
        </w:rPr>
      </w:pPr>
    </w:p>
    <w:p>
      <w:pPr>
        <w:ind w:right="60" w:firstLine="436"/>
        <w:spacing w:after="0" w:line="263" w:lineRule="auto"/>
        <w:tabs>
          <w:tab w:leader="none" w:pos="7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40" w:firstLine="436"/>
        <w:spacing w:after="0" w:line="308" w:lineRule="auto"/>
        <w:tabs>
          <w:tab w:leader="none" w:pos="7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180" w:firstLine="436"/>
        <w:spacing w:after="0" w:line="291" w:lineRule="auto"/>
        <w:tabs>
          <w:tab w:leader="none" w:pos="7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440" w:right="280" w:firstLine="419"/>
        <w:spacing w:after="0" w:line="263" w:lineRule="auto"/>
        <w:tabs>
          <w:tab w:leader="none" w:pos="11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440" w:right="220" w:firstLine="419"/>
        <w:spacing w:after="0" w:line="342" w:lineRule="auto"/>
        <w:tabs>
          <w:tab w:leader="none" w:pos="1108"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440" w:right="180" w:firstLine="419"/>
        <w:spacing w:after="0" w:line="263" w:lineRule="auto"/>
        <w:tabs>
          <w:tab w:leader="none" w:pos="11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140" w:firstLine="436"/>
        <w:spacing w:after="0" w:line="334" w:lineRule="auto"/>
        <w:tabs>
          <w:tab w:leader="none" w:pos="7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40" w:right="440" w:firstLine="419"/>
        <w:spacing w:after="0" w:line="308" w:lineRule="auto"/>
        <w:tabs>
          <w:tab w:leader="none" w:pos="1108"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MICHAEL GOETTLER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Michael Goettler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020"/>
          </w:cols>
          <w:pgMar w:left="440"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90" w:lineRule="exact"/>
        <w:rPr>
          <w:sz w:val="20"/>
          <w:szCs w:val="20"/>
          <w:color w:val="auto"/>
        </w:rPr>
      </w:pPr>
    </w:p>
    <w:p>
      <w:pPr>
        <w:ind w:left="760" w:hanging="32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Upjohn Inc.;</w:t>
      </w:r>
    </w:p>
    <w:p>
      <w:pPr>
        <w:spacing w:after="0" w:line="103" w:lineRule="exact"/>
        <w:rPr>
          <w:rFonts w:ascii="Arial" w:cs="Arial" w:eastAsia="Arial" w:hAnsi="Arial"/>
          <w:sz w:val="18"/>
          <w:szCs w:val="18"/>
          <w:color w:val="auto"/>
        </w:rPr>
      </w:pPr>
    </w:p>
    <w:p>
      <w:pPr>
        <w:ind w:right="60" w:firstLine="436"/>
        <w:spacing w:after="0" w:line="263" w:lineRule="auto"/>
        <w:tabs>
          <w:tab w:leader="none" w:pos="7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40" w:firstLine="436"/>
        <w:spacing w:after="0" w:line="308" w:lineRule="auto"/>
        <w:tabs>
          <w:tab w:leader="none" w:pos="7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180" w:firstLine="436"/>
        <w:spacing w:after="0" w:line="291" w:lineRule="auto"/>
        <w:tabs>
          <w:tab w:leader="none" w:pos="7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440" w:right="280" w:firstLine="314"/>
        <w:spacing w:after="0" w:line="263" w:lineRule="auto"/>
        <w:tabs>
          <w:tab w:leader="none" w:pos="100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440" w:right="60" w:firstLine="314"/>
        <w:spacing w:after="0" w:line="263"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440" w:right="320" w:firstLine="314"/>
        <w:spacing w:after="0" w:line="342" w:lineRule="auto"/>
        <w:tabs>
          <w:tab w:leader="none" w:pos="1002"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440" w:right="280" w:firstLine="314"/>
        <w:spacing w:after="0" w:line="263"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140" w:firstLine="436"/>
        <w:spacing w:after="0" w:line="334" w:lineRule="auto"/>
        <w:tabs>
          <w:tab w:leader="none" w:pos="7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40" w:right="440" w:firstLine="419"/>
        <w:spacing w:after="0" w:line="308" w:lineRule="auto"/>
        <w:tabs>
          <w:tab w:leader="none" w:pos="1108" w:val="left"/>
        </w:tabs>
        <w:numPr>
          <w:ilvl w:val="2"/>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SANJEEV NARULA</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Sanjeev Narula</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Chief Financial Officer, Controller and Treasurer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Principal Officer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Pursuant to 18 U.S.C. Section 1350, I, Michael Goettler, hereby certify that, to the best of my knowledge, the Quarterly Report on Form 10-Q of Upjohn Inc. for the fiscal quarter ended September 27, 2020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MICHAEL GOETTLER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Goettler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2020</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020"/>
          </w:cols>
          <w:pgMar w:left="440" w:top="121"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Pursuant to 18 U.S.C. Section 1350, I, Sanjeev Narula, hereby certify that, to the best of my knowledge, the Quarterly Report on Form 10-Q of Upjohn Inc. for the fiscal quarter ended September 27, 2020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SANJEEV NARULA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Sanjeev Narula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Controller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2020</w:t>
      </w:r>
    </w:p>
    <w:p>
      <w:pPr>
        <w:spacing w:after="0" w:line="14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2020-11-10T16:09:57Z</dcterms:created>
  <dcterms:modified xsi:type="dcterms:W3CDTF">2020-11-10T16:09:57Z</dcterms:modified>
</cp:coreProperties>
</file>