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6, 2022</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83-4364296</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1000 Mylan Boulevard</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Canonsburg, Pennsylvania 15317</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(724) 514-1800</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(See Table of Additional Registrant Guarantors for information regarding additional registrants)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Brian Roman</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General Counsel</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1000 Mylan Boulevard</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Canonsburg, Pennsylvania 15317</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(724) 514-1800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tbl>
      <w:tblPr>
        <w:tblLayout w:type="fixed"/>
        <w:tblInd w:w="1740" w:type="dxa"/>
        <w:tblCellMar>
          <w:top w:w="0" w:type="dxa"/>
          <w:left w:w="0" w:type="dxa"/>
          <w:bottom w:w="0" w:type="dxa"/>
          <w:right w:w="0" w:type="dxa"/>
        </w:tblCellMar>
      </w:tblPr>
      <w:tr>
        <w:trPr>
          <w:trHeight w:val="214"/>
        </w:trPr>
        <w:tc>
          <w:tcPr>
            <w:tcW w:w="292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0"/>
        </w:trPr>
        <w:tc>
          <w:tcPr>
            <w:tcW w:w="29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Thomas D. Salus</w:t>
            </w:r>
          </w:p>
        </w:tc>
        <w:tc>
          <w:tcPr>
            <w:tcW w:w="488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William V. Fogg</w:t>
            </w:r>
          </w:p>
        </w:tc>
      </w:tr>
      <w:tr>
        <w:trPr>
          <w:trHeight w:val="203"/>
        </w:trPr>
        <w:tc>
          <w:tcPr>
            <w:tcW w:w="29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Assistant Secretary</w:t>
            </w:r>
          </w:p>
        </w:tc>
        <w:tc>
          <w:tcPr>
            <w:tcW w:w="488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Matthew G. Jones</w:t>
            </w:r>
          </w:p>
        </w:tc>
      </w:tr>
      <w:tr>
        <w:trPr>
          <w:trHeight w:val="202"/>
        </w:trPr>
        <w:tc>
          <w:tcPr>
            <w:tcW w:w="292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Viatris Inc.</w:t>
            </w:r>
          </w:p>
        </w:tc>
        <w:tc>
          <w:tcPr>
            <w:tcW w:w="4880" w:type="dxa"/>
            <w:vAlign w:val="bottom"/>
          </w:tcPr>
          <w:p>
            <w:pPr>
              <w:jc w:val="center"/>
              <w:ind w:left="2619"/>
              <w:spacing w:after="0"/>
              <w:rPr>
                <w:sz w:val="20"/>
                <w:szCs w:val="20"/>
                <w:color w:val="auto"/>
              </w:rPr>
            </w:pPr>
            <w:r>
              <w:rPr>
                <w:rFonts w:ascii="Times New Roman" w:cs="Times New Roman" w:eastAsia="Times New Roman" w:hAnsi="Times New Roman"/>
                <w:sz w:val="16"/>
                <w:szCs w:val="16"/>
                <w:b w:val="1"/>
                <w:bCs w:val="1"/>
                <w:color w:val="auto"/>
              </w:rPr>
              <w:t>Cravath, Swaine &amp; Moore LLP</w:t>
            </w:r>
          </w:p>
        </w:tc>
      </w:tr>
      <w:tr>
        <w:trPr>
          <w:trHeight w:val="203"/>
        </w:trPr>
        <w:tc>
          <w:tcPr>
            <w:tcW w:w="292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1000 Mylan Boulevard</w:t>
            </w:r>
          </w:p>
        </w:tc>
        <w:tc>
          <w:tcPr>
            <w:tcW w:w="488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825 Eighth Avenue</w:t>
            </w:r>
          </w:p>
        </w:tc>
      </w:tr>
      <w:tr>
        <w:trPr>
          <w:trHeight w:val="203"/>
        </w:trPr>
        <w:tc>
          <w:tcPr>
            <w:tcW w:w="292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Canonsburg, Pennsylvania 15317</w:t>
            </w:r>
          </w:p>
        </w:tc>
        <w:tc>
          <w:tcPr>
            <w:tcW w:w="488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New York, New York 10019</w:t>
            </w:r>
          </w:p>
        </w:tc>
      </w:tr>
      <w:tr>
        <w:trPr>
          <w:trHeight w:val="212"/>
        </w:trPr>
        <w:tc>
          <w:tcPr>
            <w:tcW w:w="29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(724) 514-1800</w:t>
            </w:r>
          </w:p>
        </w:tc>
        <w:tc>
          <w:tcPr>
            <w:tcW w:w="488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4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9" w:lineRule="exact"/>
        <w:rPr>
          <w:sz w:val="24"/>
          <w:szCs w:val="24"/>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2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0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ind w:left="120" w:right="3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104140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ADDITIONAL REGISTRANT GUARANTORS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additional</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including zip code, and</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registrant</w:t>
            </w:r>
          </w:p>
        </w:tc>
        <w:tc>
          <w:tcPr>
            <w:tcW w:w="176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2960" w:type="dxa"/>
            <w:vAlign w:val="bottom"/>
            <w:gridSpan w:val="2"/>
            <w:vMerge w:val="continue"/>
          </w:tcPr>
          <w:p>
            <w:pPr>
              <w:spacing w:after="0"/>
              <w:rPr>
                <w:sz w:val="12"/>
                <w:szCs w:val="12"/>
                <w:color w:val="auto"/>
              </w:rPr>
            </w:pP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w:t>
            </w: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760" w:type="dxa"/>
            <w:vAlign w:val="bottom"/>
            <w:gridSpan w:val="2"/>
            <w:vMerge w:val="continue"/>
          </w:tcPr>
          <w:p>
            <w:pPr>
              <w:spacing w:after="0"/>
              <w:rPr>
                <w:sz w:val="12"/>
                <w:szCs w:val="12"/>
                <w:color w:val="auto"/>
              </w:rPr>
            </w:pP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telephone number, including area</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specified in</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2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code, of registrant’s principal</w:t>
            </w:r>
          </w:p>
        </w:tc>
        <w:tc>
          <w:tcPr>
            <w:tcW w:w="2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telephone number, including</w:t>
            </w:r>
          </w:p>
        </w:tc>
        <w:tc>
          <w:tcPr>
            <w:tcW w:w="0" w:type="dxa"/>
            <w:vAlign w:val="bottom"/>
          </w:tcPr>
          <w:p>
            <w:pPr>
              <w:spacing w:after="0"/>
              <w:rPr>
                <w:sz w:val="1"/>
                <w:szCs w:val="1"/>
                <w:color w:val="auto"/>
              </w:rPr>
            </w:pPr>
          </w:p>
        </w:tc>
      </w:tr>
      <w:tr>
        <w:trPr>
          <w:trHeight w:val="187"/>
        </w:trPr>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its charter</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agent for service</w:t>
            </w:r>
          </w:p>
        </w:tc>
        <w:tc>
          <w:tcPr>
            <w:tcW w:w="0" w:type="dxa"/>
            <w:vAlign w:val="bottom"/>
          </w:tcPr>
          <w:p>
            <w:pPr>
              <w:spacing w:after="0"/>
              <w:rPr>
                <w:sz w:val="1"/>
                <w:szCs w:val="1"/>
                <w:color w:val="auto"/>
              </w:rPr>
            </w:pPr>
          </w:p>
        </w:tc>
      </w:tr>
      <w:tr>
        <w:trPr>
          <w:trHeight w:val="182"/>
        </w:trPr>
        <w:tc>
          <w:tcPr>
            <w:tcW w:w="15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Mylan Inc.</w:t>
            </w:r>
          </w:p>
        </w:tc>
        <w:tc>
          <w:tcPr>
            <w:tcW w:w="120" w:type="dxa"/>
            <w:vAlign w:val="bottom"/>
          </w:tcPr>
          <w:p>
            <w:pPr>
              <w:spacing w:after="0"/>
              <w:rPr>
                <w:sz w:val="15"/>
                <w:szCs w:val="15"/>
                <w:color w:val="auto"/>
              </w:rPr>
            </w:pPr>
          </w:p>
        </w:tc>
        <w:tc>
          <w:tcPr>
            <w:tcW w:w="16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Pennsylvania</w:t>
            </w:r>
          </w:p>
        </w:tc>
        <w:tc>
          <w:tcPr>
            <w:tcW w:w="100" w:type="dxa"/>
            <w:vAlign w:val="bottom"/>
          </w:tcPr>
          <w:p>
            <w:pPr>
              <w:spacing w:after="0"/>
              <w:rPr>
                <w:sz w:val="15"/>
                <w:szCs w:val="15"/>
                <w:color w:val="auto"/>
              </w:rPr>
            </w:pPr>
          </w:p>
        </w:tc>
        <w:tc>
          <w:tcPr>
            <w:tcW w:w="16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25-1211621</w:t>
            </w:r>
          </w:p>
        </w:tc>
        <w:tc>
          <w:tcPr>
            <w:tcW w:w="100" w:type="dxa"/>
            <w:vAlign w:val="bottom"/>
          </w:tcPr>
          <w:p>
            <w:pPr>
              <w:spacing w:after="0"/>
              <w:rPr>
                <w:sz w:val="15"/>
                <w:szCs w:val="15"/>
                <w:color w:val="auto"/>
              </w:rPr>
            </w:pPr>
          </w:p>
        </w:tc>
        <w:tc>
          <w:tcPr>
            <w:tcW w:w="28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1000 Mylan Boulevard</w:t>
            </w:r>
          </w:p>
        </w:tc>
        <w:tc>
          <w:tcPr>
            <w:tcW w:w="100" w:type="dxa"/>
            <w:vAlign w:val="bottom"/>
          </w:tcPr>
          <w:p>
            <w:pPr>
              <w:spacing w:after="0"/>
              <w:rPr>
                <w:sz w:val="15"/>
                <w:szCs w:val="15"/>
                <w:color w:val="auto"/>
              </w:rPr>
            </w:pPr>
          </w:p>
        </w:tc>
        <w:tc>
          <w:tcPr>
            <w:tcW w:w="28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 CT Corporation System, Washington</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Canonsburg, Pennsylvania 15317</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County</w:t>
            </w:r>
          </w:p>
        </w:tc>
        <w:tc>
          <w:tcPr>
            <w:tcW w:w="0" w:type="dxa"/>
            <w:vAlign w:val="bottom"/>
          </w:tcPr>
          <w:p>
            <w:pPr>
              <w:spacing w:after="0"/>
              <w:rPr>
                <w:sz w:val="1"/>
                <w:szCs w:val="1"/>
                <w:color w:val="auto"/>
              </w:rPr>
            </w:pPr>
          </w:p>
        </w:tc>
      </w:tr>
      <w:tr>
        <w:trPr>
          <w:trHeight w:val="301"/>
        </w:trPr>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Mylan II B.V.</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Netherlands</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Krijgsman 20</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Corporation Service Company</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1186 DM Amstelveen</w:t>
            </w:r>
          </w:p>
        </w:tc>
        <w:tc>
          <w:tcPr>
            <w:tcW w:w="2880" w:type="dxa"/>
            <w:vAlign w:val="bottom"/>
          </w:tcPr>
          <w:p>
            <w:pPr>
              <w:jc w:val="center"/>
              <w:spacing w:after="0" w:line="203" w:lineRule="exact"/>
              <w:rPr>
                <w:sz w:val="20"/>
                <w:szCs w:val="20"/>
                <w:color w:val="auto"/>
              </w:rPr>
            </w:pPr>
            <w:r>
              <w:rPr>
                <w:rFonts w:ascii="Times New Roman" w:cs="Times New Roman" w:eastAsia="Times New Roman" w:hAnsi="Times New Roman"/>
                <w:sz w:val="14"/>
                <w:szCs w:val="14"/>
                <w:color w:val="auto"/>
              </w:rPr>
              <w:t>19 West 44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Suite 200,</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Amsterdam, the Netherlands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NY 10036</w:t>
            </w:r>
          </w:p>
        </w:tc>
        <w:tc>
          <w:tcPr>
            <w:tcW w:w="0" w:type="dxa"/>
            <w:vAlign w:val="bottom"/>
          </w:tcPr>
          <w:p>
            <w:pPr>
              <w:spacing w:after="0"/>
              <w:rPr>
                <w:sz w:val="1"/>
                <w:szCs w:val="1"/>
                <w:color w:val="auto"/>
              </w:rPr>
            </w:pPr>
          </w:p>
        </w:tc>
      </w:tr>
      <w:tr>
        <w:trPr>
          <w:trHeight w:val="303"/>
        </w:trPr>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Utah Acquisition Sub</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Delaware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84-4554869</w:t>
            </w:r>
          </w:p>
        </w:tc>
        <w:tc>
          <w:tcPr>
            <w:tcW w:w="100" w:type="dxa"/>
            <w:vAlign w:val="bottom"/>
          </w:tcPr>
          <w:p>
            <w:pPr>
              <w:spacing w:after="0"/>
              <w:rPr>
                <w:sz w:val="24"/>
                <w:szCs w:val="24"/>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1000 Mylan Boulevard Canonsburg,</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Corporation Trust Company</w:t>
            </w: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Inc.</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Pennsylvania 15317</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Corporation Trust Center</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1209 Orange Street</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Wilmington, DE 19801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21590</wp:posOffset>
            </wp:positionV>
            <wp:extent cx="173164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RIGHTS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Viatris Inc. may, from time to time, offer and sell debt securities, common stock, preferred stock, warrants, rights and units, and Mylan Inc., Mylan II B.V. and Utah Acquisition Sub Inc. may guarantee the principal of, and premium (if any) and interest on, any such debt securities of Viatris Inc. The debt securities may be convertible into or exercisable or exchangeable for common stock of Viatris Inc., other securities of Viatris Inc. or the debt or equity securities of one or more other entities.</w:t>
      </w:r>
    </w:p>
    <w:p>
      <w:pPr>
        <w:spacing w:after="0" w:line="3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refer to the debt securities and the guarantees thereof, common stock, preferred stock, warrants, rights and units of Viatris Inc. registered hereunder collectively as the “securities” in this prospectus.</w:t>
      </w:r>
    </w:p>
    <w:p>
      <w:pPr>
        <w:spacing w:after="0" w:line="2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selling securityholders to be named in a prospectus supplement may, from time to time, offer and sell securities in such amounts and on such terms as are set forth in such prospectus supplement. Unless otherwise set forth in a prospectus supplement, we will not receive any proceeds from any sale of the securities by any selling securityholder.</w:t>
      </w:r>
    </w:p>
    <w:p>
      <w:pPr>
        <w:spacing w:after="0" w:line="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 offering of securities registered hereunder. The specific terms of each series or class of the securities to be offered, and any other information relating to such offering of securities, will be set forth in the applicable prospectus supplement or the applicable free writing prospectus. The applicable prospectus supplement or free writing prospectus will also contain information, where applicable, about material U.S. federal and Dutch income tax consequences relating to, and any listing on a securities exchange of, the securities offered by such prospectus supplement or free writing prospectus. Any prospectus supplement or free writing prospectus may add to, update or change the information in this prospectus.</w:t>
      </w:r>
    </w:p>
    <w:p>
      <w:pPr>
        <w:spacing w:after="0" w:line="3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“About this Prospectus” and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52"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Our common stock is listed on the NASDAQ Stock Market (“NASDAQ”) under the symbol “VTRS”. On May 5, 2022, the last reported sale price of our common stock on NASDAQ was $10.05 per share. Our principal executive offices are located at 1000 Mylan Boulevard, Canonsburg, Pennsylvania 15317, and our telephone number is (724) 514-1800. Our Internet website address is www.viatris.com. The contents of our website are not incorporated by reference in this prospectus and shall not be deemed “filed”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securities involves risks. You should carefully consider the information referred to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8 of this prospectus and under any similar headings in any applicable prospectus supplement or free writing prospectus and in the other documents that are incorporated by reference into this prospectus.</w:t>
      </w:r>
    </w:p>
    <w:p>
      <w:pPr>
        <w:spacing w:after="0" w:line="3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95250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dated May 6, 2022.</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48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42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3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LANGUAGE REGARDING FORWARD-LOOKING STATEMENTS</w:t>
            </w:r>
          </w:p>
        </w:tc>
        <w:tc>
          <w:tcPr>
            <w:tcW w:w="218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OUR COMPANY</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3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18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98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0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37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gridSpan w:val="2"/>
          </w:tcPr>
          <w:p>
            <w:pPr>
              <w:spacing w:after="0"/>
              <w:rPr>
                <w:sz w:val="17"/>
                <w:szCs w:val="17"/>
                <w:color w:val="auto"/>
              </w:rPr>
            </w:pPr>
          </w:p>
        </w:tc>
        <w:tc>
          <w:tcPr>
            <w:tcW w:w="562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634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46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44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shd w:val="clear" w:color="auto" w:fill="0000EE"/>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400" w:type="dxa"/>
            <w:vAlign w:val="bottom"/>
            <w:gridSpan w:val="1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CERTAIN INSOLVENCY LAW CONSIDERATIONS</w:t>
            </w:r>
          </w:p>
        </w:tc>
        <w:tc>
          <w:tcPr>
            <w:tcW w:w="452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This prospectus is a part of a registration statement on Form S-3 (the “Registration Statement”) that we filed with the U.S. Securities and Exchange Commission (the “SEC”) as a “well-known seasoned issuer” (“WKSI”) as defined in Rule 405 of the Securities Act of 1933, as amended (the “Securities Act”), using an automatic “shelf” registration process. By registering securities under the Registration Statement using this process, we or any selling securityholder may offer and sell any combination of the securities described in this prospectus from time to time in one or more offerings in any manner described under the heading “Plan of Distribution” in this prospectus. This prospectus provides you with a general description of the securities we or any selling securityholder may offer. Each time we sell securities, we will provide a prospectus supplement containing specific information about the terms of the applicable offering. We may also provide one or more free writing prospectuses containing material information relating to the applicable offering. Any prospectus supplement or free writing prospectus that we provide you may add to, update or change the information in this prospectus or in any documents incorporated by reference in this prospectus. If there is any inconsistency between the information in this prospectus and any prospectus supplement or free writing prospectus, you should rely on the information in such prospectus supplement or free writing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information in any of these documents is inconsistent with any information in another document having a later date, the information in the document having the later date modifies or supersedes, as applicable, the information in the document having an earlier date. You should read carefully this prospectus and any prospectus supplement or free writing prospectus together with the additional information described under the headings “Where You Can Find More Information” and “Incorporation of Certain Documents by Reference” in this prospectus.</w:t>
      </w:r>
    </w:p>
    <w:p>
      <w:pPr>
        <w:spacing w:after="0" w:line="19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and any prospectus supplement or free writing prospectus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You should not assume that the information contained or incorporated by reference in this prospectus or any prospectus supplement or free writing prospectus is correct as of any date after the date of the document containing the information. Since the respective dates of the prospectus contained in the Registration Statement and any prospectus supplement or free writing prospectus, our business, financial condition, results of operations and prospects may have changed. Except as required by law, we undertake no obligation to update any information contained or incorporated by reference herein for revisions or changes after the date of this prospectus.</w:t>
      </w:r>
    </w:p>
    <w:p>
      <w:pPr>
        <w:spacing w:after="0" w:line="185" w:lineRule="exact"/>
        <w:rPr>
          <w:sz w:val="20"/>
          <w:szCs w:val="20"/>
          <w:color w:val="auto"/>
        </w:rPr>
      </w:pPr>
    </w:p>
    <w:p>
      <w:pPr>
        <w:jc w:val="both"/>
        <w:ind w:left="120" w:right="12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and any prospectus supplement or free writing prospectus do not constitute an offer to sell, or a solicitation of an offer to buy, any securities other than the securities registered pursuant to the Registration Statement and do not constitute an offer to sell, or a solicitation of an offer to buy, any securities in any jurisdiction in which, or from any person to whom, it is unlawful to make such an offer or solicitation.</w:t>
      </w:r>
    </w:p>
    <w:p>
      <w:pPr>
        <w:spacing w:after="0" w:line="15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indicated herein or the context otherwise indicates, the terms the “Company,” “Viatris,” “our,” “us” and “we” refer to Viatris Inc., a Delaware corporation, and, where appropriate, its consolidated subsidiaries, except where it is clear from the context that the terms mean only Viatris Inc. “Utah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Acquisition Sub Inc.” refers to Utah Acquisition Sub Inc., a Delaware corporation, and, where appropriate, its consolidated subsidiaries, except where it is clear from the context that the term means only Utah Acquisition Sub Inc. “Mylan II B.V.” refers to Mylan II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and existing under the laws of the Netherlands, and, where appropriate, its consolidated subsidiaries, except where it is clear from the context that the term means only Mylan II B.V. “Mylan Inc.” refers to Mylan Inc., a Pennsylvania corporation, and, where appropriate, its consolidated subsidiaries, except where it is clear from the context that the term means only Mylan Inc. Unless otherwise indicated in this prospectus or the context otherwise indicates, the “guarantors” means Utah Acquisition Sub Inc., Mylan II B.V. and Mylan Inc.</w:t>
      </w:r>
    </w:p>
    <w:p>
      <w:pPr>
        <w:spacing w:after="0" w:line="18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On November 16, 2020, Viatris, formerly known as Upjohn Inc. (“Upjohn”), Mylan N.V. (“Mylan”) and Pfizer Inc. (“Pfizer”) consummated the combination of Mylan with Pfizer’s off-patent branded and generic established medicines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shareholders as of the Record Date (the “Distribution”) and</w:t>
      </w:r>
    </w:p>
    <w:p>
      <w:pPr>
        <w:ind w:left="120" w:right="100" w:hanging="4"/>
        <w:spacing w:after="0" w:line="253" w:lineRule="auto"/>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Distribution, Viatris and Mylan engaged in a strategic business combination transaction (the “Combination”). As a result of the Combination, Viatris holds the combined Upjohn Business and Mylan business.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of the Company prior to November 16, 2020 represents Mylan’s historical results and the Company’s thereafter.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Viatris files annual, quarterly and current reports, proxy statements and other information with the SEC under the Exchange Act. The SEC maintains an Internet website from which interested parties can electronically access our SEC filings, including the Registration Statement of which this prospectus is a part and the exhibits and schedules thereto. The address of that site is http://www.sec.gov. We also make available free of charge on our Internet website address, www.viatris.com, all materials that we electronically file with the SEC. The contents of our website are not incorporated by reference in this prospectus and shall not be deemed “filed” under the Exchange Act.</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the Registration Statement, including exhibits and schedules to the Registration Statement, of which this prospectus is a part, under the Securities Act, pursuant to which the securities offered by this prospectus are registered. This prospectus does not contain all of the information set forth in the Registration Statement or the exhibits and schedules thereto, as permitted by the rules and regulations of the SEC. For further information about us and the securities, you should refer to the Registration Statement, of which this prospectus is a part, including the exhibits and schedules to the Registration Statement. This prospectus and any prospectus supplement or free writing prospectus summarize what we consider to be material provisions of certain documents. Statements contained in this prospectus or any prospectus supplement or free writing prospectus as to the contents of any contract or other document referred to in this prospectus or any prospectus supplement or free writing prospectus are not necessarily complete and, where that contract or other document is an exhibit to the Registration Statement or incorporated by reference therein, each statement is qualified in all respects by the exhibit or incorporated document to which the reference relates.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“incorporate by reference” certain information into this prospectus from certain documents that Viatris has filed with the SEC.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89" w:lineRule="exact"/>
        <w:rPr>
          <w:sz w:val="20"/>
          <w:szCs w:val="20"/>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Viatris for the year ended December 31, 2021, filed on February 28, 2022, as amended by Amendment No.1 on </w:t>
      </w:r>
      <w:hyperlink r:id="rId30">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on April 29, 2022;</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of Viatris, filed on </w:t>
      </w:r>
      <w:hyperlink r:id="rId31">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after the filing of the Annual Report on Form 10-K of Viatris for the year ended December 31, 2021;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32">
        <w:r>
          <w:rPr>
            <w:rFonts w:ascii="Times New Roman" w:cs="Times New Roman" w:eastAsia="Times New Roman" w:hAnsi="Times New Roman"/>
            <w:sz w:val="18"/>
            <w:szCs w:val="18"/>
            <w:u w:val="single" w:color="auto"/>
            <w:color w:val="0000EE"/>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Viatris for the year ended</w:t>
      </w:r>
    </w:p>
    <w:p>
      <w:pPr>
        <w:spacing w:after="0" w:line="27"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2020, filed on March 1, 2021, as supplemented by any subsequent amendments and reports filed for the purpose of updating such description.</w:t>
      </w:r>
    </w:p>
    <w:p>
      <w:pPr>
        <w:spacing w:after="0" w:line="181"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hereby further incorporate by reference into this prospectus additional documents that Viatris may file with the SEC pursuant to Sections 13(a), 13(c), 14 or 15(d) of the Exchange Act on and after the date of this prospectus until all of the securities offered pursuant to this prospectus have been sold or the offering of such securities hereunder has been terminated (other than any report or document, or portion of a report or document, that is furnished under applicable SEC rules rather than “filed”).</w:t>
      </w:r>
    </w:p>
    <w:p>
      <w:pPr>
        <w:spacing w:after="0" w:line="180"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w:t>
      </w:r>
    </w:p>
    <w:p>
      <w:pPr>
        <w:spacing w:after="0" w:line="180" w:lineRule="exact"/>
        <w:rPr>
          <w:rFonts w:ascii="Times New Roman" w:cs="Times New Roman" w:eastAsia="Times New Roman" w:hAnsi="Times New Roman"/>
          <w:sz w:val="18"/>
          <w:szCs w:val="18"/>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into this prospectus from the SEC, through the SEC’s website at the address described above or from us by requesting them in writing or by telephone at the following address:</w:t>
      </w:r>
    </w:p>
    <w:p>
      <w:pPr>
        <w:spacing w:after="0" w:line="16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Canonsburg, Pennsylvania 15317</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 (724) 514-1800</w:t>
      </w:r>
    </w:p>
    <w:p>
      <w:pPr>
        <w:spacing w:after="0" w:line="207" w:lineRule="exact"/>
        <w:rPr>
          <w:rFonts w:ascii="Times New Roman" w:cs="Times New Roman" w:eastAsia="Times New Roman" w:hAnsi="Times New Roman"/>
          <w:sz w:val="18"/>
          <w:szCs w:val="18"/>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and the documents incorporated herein by reference, contain “forward-looking statements.”</w:t>
      </w:r>
    </w:p>
    <w:p>
      <w:pPr>
        <w:spacing w:after="0" w:line="22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These statements are made pursuant to the safe harbor provisions of the Private Securities Litigation Reform Act of 1995. Such forward-looking statements may include, without limitation, statements about the offering of securities registered hereunder, statements about the pending transaction between Viatris and Biocon Biologics Limited (“Biocon Biologics”), a majority owned subsidiary of Biocon Limited, pursuant to which Viatris will contribute its biosimilar products and programs to Biocon Biologics in exchange for cash consideration and a convertible preferred equity interest in Biocon Biologics (“Biocon Biologics Transaction”),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3" w:lineRule="exact"/>
        <w:rPr>
          <w:sz w:val="20"/>
          <w:szCs w:val="20"/>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Mylan and the Upjohn Business or the implementation of the Company’s global restructuring program being more difficult, time consuming or costly than expected;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Biocon Biologics Transaction may not achieve its intended benefits;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successfully integrate Mylan and the Upjohn Business or implement its global restructuring program;</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financial difficulties or losses associated with the Company’s reliance on agreements with Pfizer in connection with the Combination, including with respect to transition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all intended benefits of its strategic initiatives;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 including the ongoing challenges and uncertainties posed by the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information technology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accounting principles generally accepted in the United States of America and related standards or on an adjusted basis.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the Annual Report on Form 10-K of Viatris for the year ended December 31, 2021 and Viatris’ other filings with the SEC. In addition, risks related to the securities are more fully discussed in the section entitled “Risk Factors” on page 8 of this prospectus.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You can access Viatris’ filings with the SEC through the SEC website at www.sec.gov or through our website, and we strongly encourage you to do so. The contents of our website are not incorporated by reference in this prospectus and shall not be deemed “filed” under the Exchange Act. Viatris undertakes no obligation to update any statements herein for revisions or changes after the filing date of this prospectus other than as required by law.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Viatris Inc. is a Delaware corporation. Viatris Inc.’s address is 1000 Mylan Boulevard, Canonsburg, Pennsylvania 15317, and its telephone number is</w:t>
      </w:r>
    </w:p>
    <w:p>
      <w:pPr>
        <w:spacing w:after="0" w:line="27" w:lineRule="exact"/>
        <w:rPr>
          <w:sz w:val="20"/>
          <w:szCs w:val="20"/>
          <w:color w:val="auto"/>
        </w:rPr>
      </w:pPr>
    </w:p>
    <w:p>
      <w:pPr>
        <w:ind w:left="120" w:right="100" w:hanging="4"/>
        <w:spacing w:after="0" w:line="251" w:lineRule="auto"/>
        <w:tabs>
          <w:tab w:leader="none" w:pos="5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and existing under the laws of the Netherlands, with its corporate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NASDAQ under the symbol “VTRS”. Our Internet website address is www.viatris.com. The contents of our website are not incorporated by reference in this prospectus and shall not be deemed “filed” under the Exchange Act. Additional information about Viatris is included in the documents incorporated by reference into this prospectus. See “Where You Can Find More Information” and “Incorporation of Certain Documents by Reference” in this prospectus.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you should consider carefully the information under the heading “Risk Factors” in the Annual Report on Form 10-K of Viatris for the fiscal year ended December 31, 2021, as updated by subsequent annual, quarterly and other reports or documents we file with the SEC that are incorporated by reference herein. You should also carefully consider the other information included in this prospectus or the applicable prospectus supplement or free writing prospectus and other information incorporated by reference herein or therein. Each of the risks included or incorporated by reference herein or therein could result in a decrease in the value of our securities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securities. The information contained in, and incorporated by reference into, this prospectus and any prospectus supplement or free writing prospectus includes forward-looking statements that involve risks and uncertainties, and we refer you to the “Cautionary Language Regarding Forward-Looking Statements” section in this prospectus.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register securities covered by this prospectus for re-offers and resales by any selling securityholders to be named in a prospectus supplement. Because we are a WKSI, we may add secondary sales of securities by any selling securityholders by filing a prospectus supplement with the SEC or other permitted methods. We may register these securities to permit securityholders to resell their securities when they deem appropriate. A selling securityholder may resell all, a portion or none of their securities at any time and from time to time. We may register those securities for sale through an underwriter or other plan of distribution as set forth in a prospectus supplement. See “Plan of Distribution.” Selling securityholders may also sell, transfer or otherwise dispose of some or all of their securities in transactions exempt from the registration requirements of the Securities Act. We may pay some or all of the expenses incurred with respect to the registration of the securities owned by the selling securityholders. In connection with any sale of securities by a selling securityholder, we will disclose the amount of securities to be registered and sold and other terms of the securities being sold by such selling securityholder.</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or free writing prospectus, the net proceeds from the sale of the securities offered by this prospectus and any applicable prospectus supplement or free writing prospectus will be used for general corporate purposes, including refinancing existing indebtedness.</w:t>
      </w:r>
    </w:p>
    <w:p>
      <w:pPr>
        <w:spacing w:after="0" w:line="176"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securities by any selling securityholder. 10</w:t>
      </w:r>
    </w:p>
    <w:p>
      <w:pPr>
        <w:sectPr>
          <w:pgSz w:w="11900" w:h="16838" w:orient="portrait"/>
          <w:cols w:equalWidth="0" w:num="1">
            <w:col w:w="11020"/>
          </w:cols>
          <w:pgMar w:left="320" w:top="455"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outlines certain general terms and provisions of the debt securities and any applicable guarantees offered pursuant to this prospectus. This information does not purport to be complete and is qualified in its entirety by reference to the applicable indenture and its associated documents, including the form of global note. We have filed a form of the indenture governing the debt securities with the SEC as an exhibit to the Registration Statement of which this prospectus is a part. See “Where You Can Find More Information” for information on how to obtain a copy of the form of indenture. Each indenture pursuant to which any series of debt securities is offered will be qualified under the Trust Indenture Act of 1939, as amended (the “Trust Indenture Act”). The specific terms and provisions of any series of debt securities and any variations from the general terms and provisions set forth below and the form of indenture filed as an exhibit to the Registration Statement of which this prospectus is a part will be described in the applicable prospectus supplement or free writing prospectus.</w:t>
      </w:r>
    </w:p>
    <w:p>
      <w:pPr>
        <w:spacing w:after="0" w:line="185"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unless otherwise expressly stated or the context otherwise requires, the terms the “Company,” “we,” “our” and “us” refer to Viatris Inc., as the issuer of the applicable series of debt securities, and not to any of its subsidiaries.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used in this prospectus, “debt securities” means our direct unsecured obligations and may be evidenced by debentures, notes, bonds or other evidences of indebtedness. Material U.S. federal and Dutch income tax consequences and special considerations, if any, applicable to any debt securities will be described in the applicable prospectus supplement or free writing prospectus.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Debt securities will be issued under one or more indentures from time to time in one or more series and may be established pursuant to a supplemental indenture or a company order. The indentures will be between us and The Bank of New York Mellon, as trustee. The indentures will not limit the aggregate principal amount of debt securities that may be issued thereunder. The indentures will allow us to “reopen” a previously issued series of debt securities and issue additional debt securities of that series.</w:t>
      </w:r>
    </w:p>
    <w:p>
      <w:pPr>
        <w:spacing w:after="0" w:line="180"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any additional or different terms relating to a series of debt securities, including:</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aggregate principal amount and, if a series, the total principal amount authorized and the total principal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subject to subordination and applicable subordination provisions,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conversion or exchange of debt securities into any securities or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principal amount at which such securities will be issued, including any 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which may be fixed rate or variable rate, or the method for determining the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on which interest will accrue or the method for determining dates on which interest will accrue, the date(s) on which interest will be payable, the record date(s) for such interest payment date(s) and the basis on which interest will be calculated;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guarantors, if any, and the terms on which the payment of interest, premium (if any) and principal on the debt securities will be guaranteed by such guarantors;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which circumstances, if any, additional amounts on the debt securities will be payable and whether, and the terms on which, debt securities will be redeemable if such additional amounts are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or optional 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dollar amounts of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 and, if so, the identity of the depositary or depositaries for global securities;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debt securities are denominated and in which the purchase price for, the principal of and any premium and any interest on such securities will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upon the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of transferability, sale or assignment of the series;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a series will be secured by any collateral and, if so, the terms and conditions upon which such debt securities shall be secured and, if applicable, upon which such liens may be subordinated to other liens securing other indebtedness;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subject to the applicable provisions of the indenture.</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Our debt securities may be issued at an original issue discount meaning that such securities’ stated redemption price at maturity exceeds their issue price by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Any of our debt securities issued at a substantial discount to their stated principal amount, bearing no interest or bearing interest at a rate that at the time of issuance is below the prevailing market rate are deemed issued at an original issue discount. The applicable prospectus supplement or free writing prospectus pursuant to which such debt securities are offered will describe the material U.S. federal and, if applicable, Dutch income tax, accounting and other considerations applicable to securities issued at an original issue discount.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Debt securities may be issued where the amount of principal and/or interest payable is determined by reference to one or more currency or other indices or other formulas. Holders of such securities may receive a principal amount or a payment of interest that is greater than or less than the amount of principal or interest otherwise payable on such dates, depending upon the value of the applicable currency or other reference factor. Information as to the methods for determining the amount of principal or interest, if any, payable on any date, the currency or other reference factor to which the amount payable on such date is linked and certain additional material U.S. federal and, if applicable, Dutch income tax considerations will be set forth in the applicable prospectus supplement or free writing prospectus.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the applicable prospectus supplement or free writing prospectus will describe whether any underwriter, dealer or agent will act as a market maker for the debt securities offered thereby and the extent to which a secondary market for such securities is or is not expected to develop.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shares of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or free writing prospectus with respect to a series of debt securities, the following provisions will apply for each series of our debt securities.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identified in the applicable prospectus supplement or free writing prospectus.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expect the debt securities to be issued in fully registered form without coupons and in denominations of $2,000 and any integral multiples of $1,000 in excess thereof. Subject to the limitations provided in the indenture and in the applicable prospectus supplement or free writing prospectus, debt securities may be transferred or exchanged at the principal corporate trust office of the trustee.</w:t>
      </w:r>
    </w:p>
    <w:p>
      <w:pPr>
        <w:spacing w:after="0" w:line="176" w:lineRule="exact"/>
        <w:rPr>
          <w:sz w:val="20"/>
          <w:szCs w:val="20"/>
          <w:color w:val="auto"/>
        </w:rPr>
      </w:pPr>
    </w:p>
    <w:p>
      <w:pPr>
        <w:ind w:left="120" w:right="320"/>
        <w:spacing w:after="0" w:line="289" w:lineRule="auto"/>
        <w:rPr>
          <w:sz w:val="20"/>
          <w:szCs w:val="20"/>
          <w:color w:val="auto"/>
        </w:rPr>
      </w:pPr>
      <w:r>
        <w:rPr>
          <w:rFonts w:ascii="Times New Roman" w:cs="Times New Roman" w:eastAsia="Times New Roman" w:hAnsi="Times New Roman"/>
          <w:sz w:val="17"/>
          <w:szCs w:val="17"/>
          <w:color w:val="auto"/>
        </w:rPr>
        <w:t>The terms of the depositary arrangement with respect to a series of debt securities will be described in the prospectus supplement or free writing prospectus relating to such debt securities. We anticipate that the following provisions will generally apply to depositary arrangements, in all cases subject to any restrictions or limitations described in the applicable prospectus supplement or free writing prospectus relating to such debt securities.</w:t>
      </w:r>
    </w:p>
    <w:p>
      <w:pPr>
        <w:spacing w:after="0" w:line="158"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will be designated by the dealers or underwriters with respect to such debt securities or, if such debt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spacing w:after="0" w:line="81" w:lineRule="exact"/>
        <w:rPr>
          <w:sz w:val="20"/>
          <w:szCs w:val="20"/>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owners of beneficial interests in the global security of amounts paid to the depositary or its nominee;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the depositary, its nominee or its participants.</w:t>
      </w:r>
    </w:p>
    <w:p>
      <w:pPr>
        <w:spacing w:after="0" w:line="225"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Neither we, the trustee, any paying agent or registrar for such debt securities 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or free writing prospectus.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The global security of a series shall also be exchangeable for individual debt securities of such series if an event of default with respect to such series of debt securities shall have happened and be continuing. In addition, we may at any time and in our sole discretion determine to no longer have debt securities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of a series represented by a global security and, in such event, we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will generally be issued as securities in registered form in denominations, unless otherwise specified by us, of $2,000 and integral multiples of $1,000 thereof.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debt securities issued by Viatris Inc. may be fully and unconditionally guaranteed by each of Utah Acquisition Sub Inc., Mylan II B.V., Mylan Inc. and certain of Viatris Inc.’s other subsidiaries. Any such guarantees will be joint and several obligations of Utah Acquisition Sub Inc., Mylan II B.V., Mylan Inc. and any other guarantors, as applicable. If a series of debt securities is so guaranteed, an indenture, or a supplemental indenture thereto, will be executed by Utah Acquisition Sub Inc., Mylan II B.V., Mylan Inc. and any other guarantors, as applicable. If a series of debt securities is to be guaranteed by any of Viatris Inc.’s other subsidiaries, we will file a post-effective amendment to the Registration Statement of which this prospectus is a part to register such guarantees.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obligations of Utah Acquisition Sub Inc., Mylan II B.V., Mylan Inc. and any other guarantors under any such guarantees may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The terms of any guarantees will be set forth in the applicable prospectus supplement or free writing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debt securities are issued, the indenture, as supplemented for a particular series of debt securities, may contain certain covenants for the benefit of the holders of such series of debt securities, which will be applicable to such series of debt securities (unless waived or amended) so long as any of the debt securities of such series are outstanding, unless stated otherwise in the applicable prospectus supplement or free writing prospectus. The specific terms of the covenants, and summaries thereof, will be set forth in the prospectus supplement or free writing prospectus relating to such series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Under the indenture in the form initially filed as an exhibit to the Registration Statement of which this prospectus is a part, the Company may not consolidate with any other entity or accept a merger of any other entity into the Company or permit the Company to be merged into another entity, or sell or lease all or substantially all its assets to another entity, unless:</w:t>
      </w:r>
    </w:p>
    <w:p>
      <w:pPr>
        <w:spacing w:after="0" w:line="81" w:lineRule="exact"/>
        <w:rPr>
          <w:sz w:val="20"/>
          <w:szCs w:val="20"/>
          <w:color w:val="auto"/>
        </w:rPr>
      </w:pPr>
    </w:p>
    <w:p>
      <w:pPr>
        <w:ind w:left="108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shall be the continuing entity or the successor, transferee or lessee entity, if other than the Company (the “Successor Company”), shall expressly assume, by a supplemental indenture, executed and delivered to the trustee, all the obligations of the Company under the debt securities and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such consolidation, merger, sale or lease and such supplemental indenture comply with the indenture.</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purposes of this covenant,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Under the indenture in the form initially filed as an exhibit to the Registration Statement of which this prospectus is a part, notwithstanding that the Company may not be subject to the reporting requirements of Section 13 or 15(d) of the Exchange Act, the Company is required to file with the SEC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Company will not be required to provide the trustee with any such information, documents and reports that are filed with the SEC and (b) the Company will not be so obligated to file such information, documents and reports with the SEC if the SEC does not permit such filings;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SEC does not permit such filings, the Company will be required to provide to holders of any debt securities issued under the indenture any such information, documents or reports that are not so filed.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Under the indenture in the form initially filed as an exhibit to the Registration Statement of which this prospectus is a part, each of the following constitutes an “event of default” with respect to any series of debt securities:</w:t>
      </w:r>
    </w:p>
    <w:p>
      <w:pPr>
        <w:spacing w:after="0" w:line="6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interest on the debt securities of such series that continues for a period of 30 days after payment is due;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the principal or premium, if any, on the debt securities of such series when due upon maturity, redemption (otherwise than pursuant to a sinking fund), acceleration or otherwise;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the covenant described above under the caption “—Consolidation, Merger and Sale of Assets”;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(x) any of the Company’s and the guarantors’ other applicable agreements contained in the indenture and applicable to the debt securities of such series (other than (i) a failure that is subject to the foregoing clause (1), (2) or (3) or (ii) a failure to comply with the covenant described above under the caption “—Reports”) for a period of 60 days after receipt by the Company of written notice of such failure from the trustee (or receipt by the Company and the trustee of written notice of such failure from the holders of at least 25% of the principal amount of the applicable series of debt securities) or (y) the requirements set forth in the covenant described above under the caption “—Reports” for a period of 120 days after receipt by the Company of written notice of such failure from the trustee (or receipt by the Company and the trustee of written notice of such failure from the holders of at least 25% of the principal amount of the applicable series of debt securities);</w:t>
      </w:r>
    </w:p>
    <w:p>
      <w:pPr>
        <w:spacing w:after="0" w:line="9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defaults shall have occurred under any of the agreements, indentures or instruments under which the Company or any significant subsidiary of the Company has outstanding indebtedness in excess of $250.0 million, individually or in the aggregate, and either</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default results from the failure to pay such indebtedness at its stated final maturity and such default has not been cured or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82" w:lineRule="auto"/>
        <w:rPr>
          <w:sz w:val="20"/>
          <w:szCs w:val="20"/>
          <w:color w:val="auto"/>
        </w:rPr>
      </w:pPr>
      <w:r>
        <w:rPr>
          <w:rFonts w:ascii="Times New Roman" w:cs="Times New Roman" w:eastAsia="Times New Roman" w:hAnsi="Times New Roman"/>
          <w:sz w:val="18"/>
          <w:szCs w:val="18"/>
          <w:color w:val="auto"/>
        </w:rPr>
        <w:t>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7" w:lineRule="exact"/>
        <w:rPr>
          <w:sz w:val="20"/>
          <w:szCs w:val="20"/>
          <w:color w:val="auto"/>
        </w:rPr>
      </w:pPr>
    </w:p>
    <w:p>
      <w:pPr>
        <w:ind w:left="1080" w:right="4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orders that exceed $250.0 million in the aggregate (net of amounts covered by insurance or bonded) for the payment of money have been entered by a court or courts of competent jurisdiction against the Company or any significant subsidiary of the Company and such judgment or judgments have not been satisfied, stayed, annulled or rescinded within 60 days after such judgment or judgments become final and nonappealable;</w:t>
      </w:r>
    </w:p>
    <w:p>
      <w:pPr>
        <w:spacing w:after="0" w:line="85"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by a significant subsidiary of the Company of the Company’s Indenture Obligations (as defined in the indenture) under such series of debt securities shall for any reason cease to be, or shall for any reason be held in any judicial proceeding not to be, or asserted in writing by any significant subsidiary of the Company or the Company not to be, in full force and effect and enforceable in accordance with its terms, except to the extent contemplated by the indenture and any such guarantee by such significant subsidiary of the Company’s Indenture Obligations under such series of debt securities, and any such default continues for 10 days;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Company or any of its significant subsidiaries;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 sinking fund installment, if any, when and as the same shall become payable by the terms of a debt security of such series, which failure shall have continued unremedied for a period of 30 days; and</w:t>
      </w:r>
    </w:p>
    <w:p>
      <w:pPr>
        <w:spacing w:after="0" w:line="67"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of default with respect to debt securities of such series as described in the applicable prospectus supplement or free writing prospectus.</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provides that if there is a continuing event of default (other than an event of default under clause (8) above with respect to the Company) with respect to any series of debt securities, either the trustee or the holders of at least 25% of the outstanding principal amount of the debt securities of such series may declare the principal amount of all of the debt securities of such series to be due and payable immediately. In addition, at any time after the trustee or the holders, as the case may be, declare an acceleration with respect to the debt securities of such series, but before the applicable person has obtained a judgment or decree based on such acceleration, the holders of a majority in principal amount of the outstanding debt securities of such series may, under certain conditions, cancel such acceleration if the Company has cured all events of default (other than the nonpayment of accelerated principal) with respect to the debt securities of such series or all such events of default have been waived as provided in the indenture. For information as to waiver of defaults, see “—Modification and Waiver.” If an event of default specified in clause (8) above with respect to the Company occurs, all outstanding debt securities shall become due and payable without any further action or notice.</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provides that, subject to the duties of the trustee to act with the required standard of care if it has received written notice of a continuing event of default, the trustee need not exercise any of its rights or powers under the indenture at the request or direction of any of the holders of debt securities of any series, unless such holders have offered to the trustee security and/or indemnity to its satisfaction. Subject to such provisions for security and/or indemnification of the trustee and certain other conditions, the holders of a majority in principal amount of the outstanding debt securities of any series will have the right to direct the time, method and place of conducting any proceeding for any remedy available to the trustee or exercising any trust or power the trustee holds with respect to the debt securities of such series.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unless:</w:t>
      </w:r>
    </w:p>
    <w:p>
      <w:pPr>
        <w:spacing w:after="0" w:line="131" w:lineRule="exact"/>
        <w:rPr>
          <w:sz w:val="20"/>
          <w:szCs w:val="20"/>
          <w:color w:val="auto"/>
        </w:rPr>
      </w:pPr>
    </w:p>
    <w:p>
      <w:pPr>
        <w:ind w:left="1080" w:right="6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the debt securities of such series;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such series have made a written request, and offered to the trustee reasonable security and/or indemnity satisfactory to it to institute such proceeding as trustee;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aggregate principal amount of the outstanding debt securities of such series a direction that is inconsistent with such request.</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However, 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spacing w:after="0" w:line="176"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will be required to furnish to the trustee annually a statement as to the absence of certain defaults under the indenture. The indenture will provide that the trustee need not provide holders of the debt securities notice of any default (other than the nonpayment of principal or any premium or interest) if it considers it in the interest of the holders of the debt securities not to provide such notice. Upon becoming aware of any default or event of default, the Company will deliver forthwith to the trustee an officer’s certificate specifying such default or event of default and the action the Company is taking, or proposes to take, with respect thereto.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contemplates that we, any guarantors and the trustee may modify or amend the indenture without the consent of any holder of a debt security of any series to:</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mistake or inconsistency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described above under the caption “—Consolidation, Merger and Sale of Assets” or the covenant in the indenture governing guarantees, including to provide for or evidence the release of any guarantor in accordance with the terms thereof;</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provisions of the indenture as shall be necessary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SEC in order to effect or maintain the qualification of the indenture or any supplemental indenture under the Trust Indenture Act;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debt securities of such series or that does not adversely affect in any material respect the legal rights under the indenture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any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securities of any series pursuant to the indenture, or authorize the issuance of additional debt securities of a series previously authorized;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of such series of debt securities or to surrender any right or power conferred upon the Company or any guarantor;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any supplemental indenture, the debt securities or any guarantees thereof to the extent a provision thereof was intended to be a substantially verbatim recitation of the applicable provision of the “Description of Debt Securities and Guarantees” or the “Description of Notes and Guarantees” (or comparable section) contained in the applicable registration statement, prospectus, prospectus supplement, free-writing prospectus or offering memorandum;</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any guarantor to execute a supplemental indenture and/or guarantee with respect to the debt securities of any series;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the indenture with respect to one or more series of debt securities, so long as any such addition, change or elimination not otherwise permitted under the indenture shall (A) neither apply to any debt security of any series created prior to the execution of such supplemental indenture and entitled to the benefit of such provision nor modify the rights of the holders of any such debt security with respect to the benefit of such provision or (B)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supplement any of the provisions of the indenture to such extent as shall be necessary to permit or facilitate the defeasance and discharge of any series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any other series of debt securities;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authentication and delivery of additional series of debt securities.</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contemplates that we, any guarantors and the trustee may modify or amend the indenture as it applies to a series of the debt securities with the consent of the holders of a majority of the aggregate principal amount of the then outstanding debt securities of such series affected by the modification or amendment. However, no such modification or amendment may, without the consent of each holder of debt securities of a series affected thereby:</w:t>
      </w:r>
    </w:p>
    <w:p>
      <w:pPr>
        <w:spacing w:after="0" w:line="85" w:lineRule="exact"/>
        <w:rPr>
          <w:sz w:val="20"/>
          <w:szCs w:val="20"/>
          <w:color w:val="auto"/>
        </w:rPr>
      </w:pPr>
    </w:p>
    <w:p>
      <w:pPr>
        <w:ind w:left="1080" w:right="4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due date of the principal of, or any installment of principal of or interest on, the debt securities of such series, or reduce the amount of the principal of an original issue discount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economic terms of a right to convert or exchange any debt security,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rate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upon the redemption of any debt security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debt securities of such series after the due date thereof;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debt securities of such series then outstanding, the consent of whose holders is required for modification or amendment of the indenture, for waiver of compliance with certain provisions of the indenture or for waiver of certain defaults.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principal amount of then outstanding debt securities of a series may waive future compliance with certain restrictive covenants of the indenture applicable to such series of debt securities. The holders of at least a majority in principal amount of then outstanding debt securities of any series may waive any past default under the indenture with respect to such series, except a failure by the Company to pay the principal of, or any premium or interest on, any debt securities of such series or a provision that cannot be modified or amended without the consent of the holders of all outstanding debt securities of such series.</w:t>
      </w:r>
    </w:p>
    <w:p>
      <w:pPr>
        <w:spacing w:after="0" w:line="18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a series of debt securities have concurred in any direction, notice, waiver or consent, debt securities owned by the Company, any subsidiary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Company, or by any affiliate of the Company, will be considered as though not outstanding, except that for the purposes of determining whether the trustee will be protected in conclusively relying on any such direction, notice, waiver or consent, only debt securities that a responsible officer of the trustee actually knows are so owned will be so disregarded.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and Defeasance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will be discharged and will cease to be of further effect with respect to any series of debt securities issued thereunder upon:</w:t>
      </w:r>
    </w:p>
    <w:p>
      <w:pPr>
        <w:spacing w:after="0" w:line="67" w:lineRule="exact"/>
        <w:rPr>
          <w:sz w:val="20"/>
          <w:szCs w:val="20"/>
          <w:color w:val="auto"/>
        </w:rPr>
      </w:pPr>
    </w:p>
    <w:p>
      <w:pPr>
        <w:ind w:left="108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delivery to the trustee for cancellation all debt securities of such series or, in the case of a series of debt securities that have become due and payable, will become due and payable within one year or have been called for redemption, the irrevocable deposit with the trustee in trust of cash, U.S. government obligations or a combination thereof sufficient to pay off the entire indebtedness on the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guarantor has paid all sums payable by it under the indenture;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irrevocable instructions to the trustee under the indenture to apply the deposited money toward the payment of the debt securities at maturity or on the redemption date, as the case may be.</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 addition, the indenture in the form initially filed as an exhibit to the Registration Statement of which this prospectus is a part allows us, at our option and subject to the satisfaction of certain conditions, to elect that we and any guarantors, as applicable, with respect to any series of debt securities issued thereunder, be:</w:t>
      </w:r>
    </w:p>
    <w:p>
      <w:pPr>
        <w:spacing w:after="0" w:line="81" w:lineRule="exact"/>
        <w:rPr>
          <w:sz w:val="20"/>
          <w:szCs w:val="20"/>
          <w:color w:val="auto"/>
        </w:rPr>
      </w:pPr>
    </w:p>
    <w:p>
      <w:pPr>
        <w:ind w:left="1080" w:right="5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to have paid and discharged the entire indebtedness of the debt securities of such series and any guarantees thereof (a “legal defeasance option”); or</w:t>
      </w:r>
    </w:p>
    <w:p>
      <w:pPr>
        <w:spacing w:after="0" w:line="67" w:lineRule="exact"/>
        <w:rPr>
          <w:rFonts w:ascii="Times New Roman" w:cs="Times New Roman" w:eastAsia="Times New Roman" w:hAnsi="Times New Roman"/>
          <w:sz w:val="18"/>
          <w:szCs w:val="18"/>
          <w:color w:val="auto"/>
        </w:rPr>
      </w:pPr>
    </w:p>
    <w:p>
      <w:pPr>
        <w:jc w:val="both"/>
        <w:ind w:left="1080" w:right="3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our obligations and any of our guarantor’s obligations under certain restrictive covenants in the indenture and, following such release, noncompliance with such covenants shall not constitute a default or an event of default (a “covenant defeasance option”).</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 The applicable prospectus supplement or free writing prospectus will describe the procedures we must follow in order to exercise our defeasance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trustee, other than during the continuance of an event of default under any applicable indenture, undertakes to perform only those duties specifically set forth in the indenture. Upon the occurrence of a continuing event of default under any applicable indenture, the trustee must exercise the rights and powers vested in it by the indenture and use the same degree of care and skill as a prudent person would exercise or use in the conduct of such person’s own affairs in those circumstances.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The indenture in the form initially filed as an exhibit to the Registration Statement of which this prospectus is a part contains certain limitations on the rights of the trustee, should it become a creditor of us or any guarantor, to obtain payment of claims in certain cases or to realize on certain property received by it in respect of any such claims, as security or otherwise. The trustee is permitted to engage in other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it acquires any conflicting interest, it must eliminate such conflict within 90 days or resign. We may, from time to time, borrow from or maintain deposit accounts and conduct other banking transactions with the trustee or its affiliates in the ordinary course of business.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Each series of debt securities will be issued pursuant to (i) a company order or (ii) an indenture or a supplemental indenture thereto entered into by us, any guarantors and the trustee. The name, address and any material relationship between us and our affiliates, on the one hand, and the trustee, on the other hand, will be described in the applicable prospectus supplement or free writing prospectus pursuant to which the series of debt securities are offered.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indentures, the debt securities and any guarantees thereof will be construed in accordance with and governed by the laws of the State of New York.</w:t>
      </w:r>
    </w:p>
    <w:p>
      <w:pPr>
        <w:spacing w:after="0" w:line="16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455"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description sets forth certain general terms of our common stock and our authorized but unissued preferred stock. While we believe that the following description covers the material terms of our capital stock, the description may not contain all of the information that is important to you. The following description does not purport to be complete and is subject to and qualified in its entirety by reference to our Amended and Restated Certificate of Incorporation effective as of November 13, 2020 (the “Viatris Charter”), as amended, our Amended and Restated Bylaws, effective as of November 16, 2020 (the “Viatris Bylaws”), and the Delaware General Corporation Law (the “DGCL”) and, for any series of preferred stock, the certificate of designations relating to such particular series of preferred stock. See “Where You Can Find More Information.” The particular terms of any series of preferred stock offered by any prospectus supplement or free writing prospectus and the extent, if any, to which these general provisions may apply to that series of preferred stock will be described in the prospectus supplement or free writing prospectus relating to that series of preferred stock. Copies of the Viatris Charter and the Viatris Bylaws have been filed as exhibits to the Registration Statement of which this prospectus is a part. You are urged to read the Viatris Charter and the Viatris Bylaws in their entirety. As used in this section, unless otherwise expressly stated or the context otherwise requires, the terms “Viatris,” “we” and “our” refer to Viatris Inc. and not to any of its subsidiaries.</w:t>
      </w:r>
    </w:p>
    <w:p>
      <w:pPr>
        <w:spacing w:after="0" w:line="19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Viatris Charter authorizes 3,000,000,000 shares of common stock, par value $0.01 per share, and 300,000,000 shares of preferred stock, par value $0.01 per share.</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 of May 2, 2022, there were 1,212,349,533 shares of Viatris common stock outstanding, par value $0.01. All issued shares of Viatris common stock are fully paid and non-assessable.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May 2, 2022, there were no shares of Viatris preferred stock outstanding. The Viatris board of directors (the “Viatris Board”) may establish the rights and preferences of the preferred stock from time to time as set forth in the Viatris Charter. The Viatris Charter does not authorize any other classes of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spacing w:after="0" w:line="19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Viatris Board may issue shares of preferred stock in one or more series and, subject to the applicable law of the State of Delaware, the Viatris Board may set the powers, rights, preferences, qualifications, limitations and restrictions of such preferred stock. 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terms of each series of preferred stock will be described in any prospectus supplement or free writing prospectus related to such series of preferred stock and will contain a discussion of material U.S. federal income tax considerations applicable to the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the Viatris Charter and the Viatris Bylaws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Until the 2023 annual meeting of Viatris’ stockholders, the Viatris Board will be divided into three classes (Class I, Class II and Class III), one class of which will be elected each year by Viatris’ stockholders. The first term of office of the Class I directors expired at the 2021 annual meeting, the first term of office of the Class II directors will expire at the 2022 annual meeting and the first term of office of the Class III directors will expire at the 2023 annual meeting. The Viatris Charter provides that the Viatris Board will be fully declassified by the 2023 annual meeting, so that:</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2021 annual meeting, the Class I directors were elected for a term of office to expire at the 2023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2022 annual meeting, the Class II directors will be elected for a term of office to expire at the 2023 annual meeting;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2023 annual meeting, all directors will be elected for one-year terms and will be up for election at each successive annual meeting.</w:t>
      </w:r>
    </w:p>
    <w:p>
      <w:pPr>
        <w:spacing w:after="0" w:line="162"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During the time that the Viatris Board is classified, a third party may be discouraged from making a tender offer or otherwise attempting to obtain control of Viatris because it is more difficult and time-consuming for stockholders to replace a majority of the directors on a classified board.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Viatris Board has the power to issue Viatris preferred stock with voting, conversion and exchange rights that could negatively affect the voting power or other rights of Viatris common stockholders, and the Viatris Board could take that action without stockholder approval. The issuance of Viatris preferred stock could delay or prevent a change in control of Viatris.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to Be Filled by Remaining Directors and Not Stockholders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Viatris Charter provides that any vacancies, including any newly created directorships, on the Viatris Board will be filled by the affirmative vote of the majority of the remaining directors then in office, even if such directors constitute less than a quorum, or by a sole remaining director.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by Stockholders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Viatris Charter and the Viatris Bylaws provide that directors may be removed by stockholders (a) until the Viatris Board is no longer classified, only for cause by the affirmative vote of the holders of a majority of the voting power of the outstanding capital stock entitled to vote, and (b) from and after the date the Viatris Board is no longer classified, with or without cause, by the affirmative vote of the holders of a majority of the voting power of the outstanding capital stock entitled to 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Viatris Bylaws provide that special meetings of the stockholders may be called by the chair of the Viatris Board, the Viatris 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Viatris Bylaws and the Viatris Charter do not permit stockholder action by written consent unless such written consent is granted by holders of 100% of the voting power of the outstanding shares of capital stock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Director Nominations and Stockholder Proposals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Viatris Bylaws contain advance notice procedures for stockholders to 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Viatris Board or by a stockholder who is entitled to vote at the meeting and who has complied with the advance notice procedures that are provided in the Viatris Bylaws.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a special meeting of stockholders is called for the purpose of electing one or more directors, any stockholder entitled to vote may nominate a person or persons as specified in the Viatris Bylaws, but only if the stockholder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Viatris Charter and the Viatris Bylaws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the DGCL, the Viatris Charter may not be amended by stockholder action alone. 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Viatris is subject to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1" w:lineRule="exact"/>
        <w:rPr>
          <w:sz w:val="20"/>
          <w:szCs w:val="20"/>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and by the affirmative vote of two-thirds of the outstanding voting stock which is not owned by the interested stockholder.</w:t>
      </w:r>
    </w:p>
    <w:p>
      <w:pPr>
        <w:spacing w:after="0" w:line="162"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Viatris Charter prohibits cumulative voting in the election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Under the Viatris Charter, certain claims can only be brought before the Court of Chancery of the State of Delaware, unless Viatris consents to a different forum. This exclusive forum provision applies to any derivative action brought on behalf of Viatris, any action asserting a claim for breach of fiduciary duty by any director, officer or employee of Viatris, any action brought pursuant to the DGCL or any of Viatris’ organizational documents, actions brought under the internal affairs doctrine, or actions as to which the DGCL confers jurisdiction on the Court of Chancery of the State of Delaware. Under the Viatris Charter, to the fullest extent permitted by law, this exclusive forum provision will apply to state and federal law claims, including claims under the federal securities laws, including the Securities Act and the Exchange Act, although Viatris stockholders will not be deemed to have waived Viatris’ compliance with the federal securities laws and the rules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Viatris Charter and the Viatris Bylaws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the Viatris Bylaws. The Viatris Charter and the Viatris Bylaws also expressly authorize Viatris to carry directors’ and officers’ insurance to protect Viatris and its directors and officers for some liabilities. Viatris currently maintains such an insurance policy. The description of indemnity herein is merely a summary of the provisions in the Viatris Charter, the Viatris Bylaws and other indemnification agreements, and such description shall not limit or alter the provisions in the Viatris Charter, the Viatris Bylaws or other indemnification agreements.</w:t>
      </w:r>
    </w:p>
    <w:p>
      <w:pPr>
        <w:spacing w:after="0" w:line="19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Viatris Charter and the Viatris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Viatris and Viatris’ stockholders. However, these provisions do not limit or eliminate Viatris’ rights, or those of any stockholder, to seek non-monetary relief such as an injunction or rescission if a director breaches their fiduciary duties. Moreover, the provisions do not alter the liability of directors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American Stock Transfer &amp; Trust Company, LLC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“VTRS”.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We may issue warrants for the purchase of debt securities, common stock or preferred stock and may issue warrants independently or together with debt securities, common stock or preferred stock or attached to or separate from such securities. We will issue each series of warrants under a separate warrant agreement between us and a bank or trust company, as warrant agent, as specified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 The warrant agent will act solely as our agent in connection with the warrants and will not act for or on behalf of warrant holders. The following sets forth certain general terms and provisions of the warrants that may be offered under the Registration Statement of which this prospectus is a part, and is qualified in its entirety by reference to the relevant warrant agreement with respect to warrants of a particular series. Further terms of the warrants and the applicable warrant agreement will be set forth in the applicable prospectus supplement or free writing 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or free writing prospectus will describe the terms of the debt warrants in respect of which this prospectus is being delivered, including, where applicable,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 outstanding,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debt warrants being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warrants will be issued;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the debt warrants are issued, and the number of the debt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the debt securities may be purchased upon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changes to or adjustments in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may accelerate the date by which the debt warrants must be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debt warrants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of such warrants,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and, if applicable, Dutch income tax considerations applicable to an investment in the debt warrants;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including terms, procedures and limitations relating to the transferability, exercise and exchange of such warrants.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debt warrants may be exercised at the corporate trust office of the warrant agent or any other office indicated in the applicable prospectus supplement or free writing prospectus. Prior to the exercise of their debt warrants, holders of debt warrants will not have any of the rights of holders of the securities purchasable upon such exercise, and will not be entitled to payments of principal, premium or interest on the securities purchasable upon the exercise of debt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or free writing prospectus will describe the terms of the warrants to purchase common stock or preferred stock (“equity warrants”), in respect of which this prospectus is being delivered, including, where applicable, the following:</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equity warrants outstanding,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warrants being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equity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the equity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upon exercise of the equity warrants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changes to or adjustments in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or related securities will be listed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equity warrants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may accelerate the date by which the equity warrants must be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equity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of such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 applicable to an investment in the equity warrants;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equity warrants, including terms, procedures and limitations relating to the transferability, exercise and exchange of such warrants.</w:t>
      </w:r>
    </w:p>
    <w:p>
      <w:pPr>
        <w:spacing w:after="0" w:line="16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Equity warrant certificates will be exchangeable for new equity warrant certificates of different denominations and warrants may be exercised at the corporate trust office of the warrant agent or any other office indicated in the applicable prospectus supplement or free writing prospectus. Prior to the exercise of their equity warrants, holders of equity warrants will not have any of the rights of holders of the securities purchasable upon such exercise or to any dividend payments or voting rights as to which holders of the common stock or preferred stock purchasable upon such exercise may be entitled.</w:t>
      </w:r>
    </w:p>
    <w:p>
      <w:pPr>
        <w:spacing w:after="0" w:line="16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Except as provided in the applicable prospectus supplement or free writing prospectus, the exercise price and the number of shares of common stock or shares of preferred stock purchasable upon the exercise of each equity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warrant will be subject to adjustment in certain events, including the issuance of a stock dividend to the holders of the underlying common stock or preferred stock or a stock split, reverse stock split, combination, subdivision or reclassification of the underlying common stock or preferred stock, as the case may be. In lieu of adjusting the number of shares purchasable upon exercise of each equity warrant, we may elect to adjust the number of equity warrants. Unless otherwise provided in the applicable prospectus supplement or free writing prospectus, no adjustments in the number of shares purchasable upon exercise of the equity warrants will be required until all cumulative adjustments require an adjustment of at least 1% thereof. We may, at our option, reduce the exercise price at any time. No fractional shares will be issued upon exercise of equity warrants, but we will pay the cash value of any fractional shares otherwise issuable.</w:t>
      </w:r>
    </w:p>
    <w:p>
      <w:pPr>
        <w:spacing w:after="0" w:line="18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Notwithstanding the foregoing, except as otherwise provided in the applicable prospectus supplement or free writing prospectus, in case of any consolidation, merger or sale or conveyance of our property as an entirety or substantially as an entirety, the holder of each outstanding equity warrant will have the right to the kind and amount of shares of stock and other securities and property, including cash, receivable by a holder of the number of shares of common stock or shares of preferred stock into which each equity warrant was exercisable immediately prior to the particular triggering event.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for cash such number of debt securities, shares of common stock or shares of preferred stock at such exercise price as shall, in each case, be set forth in, or be determinable as set forth in, the applicable prospectus supplement or free writing prospectus relating to the warrants offered thereby. Unless otherwise specified in the applicable prospectus supplement or free writing prospectus, warrants may be exercised at any time up to the close of business on the expiration date set forth in applicable prospectus supplement or free writing prospectus. After the close of business on the expiration date, unexercised warrants will be void.</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Warrants may be exercised as set forth in the applicable prospectus supplement or free writing prospectus relating to the warrants. Upon receipt of payment and the warrant certificate properly completed and duly executed at the corporate trust office of the warrant agent or any other office indicated in the applicable prospectus supplement or free writing prospectus, we will, as soon as practicable, forward the securities purchasable upon such exercise. If less than all of the warrants that are represented by such warrant certificate are exercised, a new warrant certificate will be issued for the remaining amount of warrants.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We may issue rights to our shareholders to purchase debt securities, common stock or preferred stock. Each series of rights will be issued under a separate rights agreement to be entered into between us and a bank or trust company, as rights agent, as specified in the applicable prospectus supplement or free writing prospectus.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sets forth certain general terms and provisions of the rights that may be offered under the Registration Statement of which this prospectus is a part, and is qualified in its entirety by reference to the relevant rights agreement with respect to rights of a particular series. Further terms of the rights and the applicable rights agreement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provide in a prospectus supplement or free writing prospectus the following terms of the rights being issued:</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persons entitled to participate in the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the underlying securities purchasable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for changes to or adjustments in 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and, if applicable, Dutch income tax considerations applicable to an investment in the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debt securities, shares of common stock or shares of preferred stock at the exercise price provided in the applicable prospectus supplement or free writing prospectus. Rights may be exercised at any time up to the close of business on the expiration date for the rights provided in the applicable prospectus supplement or free writing prospectus. After the close of business on the expiration date, all unexercised rights will be void.</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or free writing prospectus. Upon receipt of payment and the rights certificate properly completed and duly executed at the corporate trust office of the rights agent or any other office indicated in the prospectus supplement or free writing prospectus, we will, as soon as practicable, forward the debt securities, shares of common stock or shares of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 or free writing prospectus.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We may issue units consisting of two or more other constituent securities. These units may be issuable as, and for a specified period of time may be transferable only as, a single security, rather than as the separate constituent securities comprising such units. The following sets forth certain general terms and provisions of the units that may be offered under the Registration Statement of which this prospectus is a part. Further terms of the units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we issue units, we will provide in a prospectus supplement or free writing prospectus the following terms of the units being issued:</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book-entry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and, if applicable, Dutch income tax considerations applicable to an investment in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have the units traded on a securities exchange or securities quotation system;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320" w:top="455"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any selling securityholder may sell the securities under this prospectus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any selling securityholder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Registration of the securities covered by this prospectus and any prospectus supplement or free writing prospectus does not mean that those securities necessarily will be offered or sold. In addition, we and any selling securityholder may sell any securities covered by this prospectus in private transactions, and any selling securityholder may sell under Rule 144 of the Securities Act, rather than pursuant to this prospectus.</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underwriters, dealers or agents are used in the sale, the securities will be acquired by the underwriters, dealers or agents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including “forward” transactions at a floating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As applicable, we and any underwriters, dealers or agents reserve the right to accept or reject all or part of any proposed purchase of the securities. We will set forth in a prospectus supplement or free writing prospectus the terms and offering of securities by us or any selling securityholder, including:</w:t>
      </w:r>
    </w:p>
    <w:p>
      <w:pPr>
        <w:spacing w:after="0" w:line="4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agents or other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or commissions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under which underwriters may purchase additional securities from us or any selling securityholder,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or any selling securityholder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such securities may be listed, if any.</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or any selling securityholder may enter into derivative transactions with third parties or sell securities not covered by this prospectus to third parties in privately negotiated transactions from time to time. If the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prospectus supplement or free writing prospectus indicates, in connection with those derivative transactions, such third parties (or affiliates of such third parties) may sell securities covered by this prospectus and the applicable prospectus supplement or free writing prospectus, including in short sale transactions. If so, such third parties (or affiliates of such third parties) may use securities pledged by us or any selling securityholder or borrowed from us, any selling securityholder or others to settle those sales or to close out any related open borrowings of securities, and may use securities received from us or any selling securityholder in settlement of those derivative transactions to close out any related open borrowings of securities. The third parties (or affiliates of such third parties) in such sale transactions by us or any selling securityholder will be underwriters and will be identified in an applicable prospectus supplement or free writing prospectus. We may also sell securities under this prospectus upon the exercise of rights that may be issued to our securityholders.</w:t>
      </w:r>
    </w:p>
    <w:p>
      <w:pPr>
        <w:spacing w:after="0" w:line="19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We or any selling securityholder may loan or pledge securities to a financial institution or other third party that in turn may sell the securities using this prospectus and an applicable prospectus supplement or free writing prospectus. Such financial institution or third party may transfer its economic short position to investors in our securities or in connection with a simultaneous offering of other securities offered by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of our securities, the securities will be acquired by the underwriters for their own account and may be resold from time to time in one or more transactions as described above. The securities may be offered to the public either through underwriting syndicates represented by managing underwriters or directly by underwriters. Generally, the underwriters’ obligations to purchase the securities will be subject to conditions precedent and the underwriters will be obligated to purchase all of the securities if they purchase any of the securities. We may use underwriters, dealers or agents with which we have a material relationship and will describe the nature of any such relationship in the prospectus supplement or free writing prospectus, naming any such underwriters, dealers or agents.</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or any selling securityholder may sell the securities through agents from time to time. When we or any selling securityholder sell securities through agents, the prospectus supplement or free writing prospectus will name any agent involved in the offer or sale of securities and any commissions we or any selling securityholder pay to them. Generally, any agent will be acting on a best efforts basis for the period of its appointment.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or any selling securityholder may authorize underwriters, dealers or agents to solicit offers by certain purchasers to purchase our securities from us or any selling securityholder at the public offering price set forth in the prospectus supplement or free writing prospectus pursuant to delayed delivery contracts providing for payment and delivery on a specified date in the future. The contracts will be subject only to those conditions set forth in the prospectus supplement or free writing prospectus, and the prospectus supplement or free writing prospectus will set forth any commissions we or any selling securityholder pay for solicitation of these contracts.</w:t>
      </w:r>
    </w:p>
    <w:p>
      <w:pPr>
        <w:spacing w:after="0" w:line="183"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or any selling securityholder and the underwriters, dealers and agents.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or any selling securityholder may grant underwriters who participate in the distribution of our securities an option to purchase additional securities to cover over-allotments, if any, in connection with the distribution.</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any selling securityholder or our purchasers, as their agents in connection with the sale of our securities. These underwriters, dealers or agents may be considered to be underwriters under the Securities Act. As a result, discounts, concessions, commissions or profits on resale received by the underwriters, dealers or agents may be treated as underwriting discounts and commissions. The prospectus supplement or free writing prospectus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any securities offered by us or any selling securityholder will identify any such underwriter, dealer or agent and describe any compensation received by them from us or any selling securityholder. Any public offering price and any discounts, concessions or commissions allowed or re-allowed or paid to dealers may be changed from time to time.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Underwriters, dealers or agents who may become involved in the sale of our securities may engage in transactions with and perform other services for us for which they receive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from us or any selling securityholder in the offering, if any. If the underwriters have an over-allotment option to purchase additional securities from us or any selling securityholder, the underwriters may consider, among other things, the price of securities available for purchase in the open market as compared to the price at which they may purchase securities through the over-allotment option. “Naked” short sales, which may be prohibited or restricted by applicable rules and regulations,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the securities to the extent that it discourages resale of the securities. The magnitude or effect of any stabilization or other transactions is uncertain. If commenced, the underwriters may discontinue any of the activities at any time. We make no representation or prediction as to the direction or magnitude of any effect these transactions may have on the price of our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or any selling securityholder may also sell securities directly to one or more purchasers without using underwriters, dealers or agents. In this case, no underwriters, dealers or agents would be involved. We may sell securities upon the exercise of rights that we may issue to our securityholders. We or any selling securityholder may also sell securities directly to institutional investors or others who may be deemed to be underwriters within the meaning of the Securities Act with respect to any sale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on a principal basis. During the term of any such agreement, we may sell securities on a daily basis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exchange transactions or otherwise as we agree with the underwriters or agents. The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each such agreement will be set forth in more detail in a prospectus supplement or free writing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Market and Listing of Securities</w:t>
      </w:r>
    </w:p>
    <w:p>
      <w:pPr>
        <w:spacing w:after="0" w:line="12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Each series of securities sold pursuant to a prospectus supplement or free writing prospectus, other than our common stock which is listed on NASDAQ, will be a new issue of securities with no established trading market. We may elect to list securities other than common stock on an exchange, but unless specified in the applicable prospectus supplement or free-writing prospectus, we shall have no obligation to do so. It is possible that one or more underwriters may make a market in a class or series of securities, but the underwriters will not be obligated to do so and may discontinue any market making activities at any time without notice. We cannot give any assurance as to the liquidity of the trading market for any of the securities.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Unless otherwise indicated in any prospectus supplement, certain legal matters regarding the securities offered hereby relating to: (i) New York law will be passed upon for us by Cravath, Swaine &amp; Moore LLP, New York, New York, (ii) Dutch law will be passed upon for us by NautaDutilh N.V., our Dutch counsel, and (iii) Pennsylvania law will be passed upon for us by Parker Poe Adams &amp; Bernstein LLP, our Pennsylvania counsel. If the securities are being distributed in an underwritten offering, certain legal matters regarding such securities will be passed upon for the underwriters by counsel identified in the related prospectus supplement.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financial statement schedules incorporated by reference into this prospectus from Viatris Inc.’s Annual Report on Form 10-K for the year ended December 31, 2021 and the effectiveness of Viatris Inc.’s internal control over financial reporting as of December 31, 2021 have been audited by Deloitte &amp; Touche LLP, an independent registered public accounting firm, as stated in their report, which is incorporated by reference herein. Such financial statements have been so incorporated in reliance upon the report of such firm given upon their authority as experts in accounting and auditing.</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455"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Mylan II B.V. is incorporated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 the laws of the Netherlands. Certain of Mylan II B.V.’s directors may reside outside the 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such judgment was not contrary to the public policy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19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INSOLVENCY LAW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Mylan II B.V. is incorporated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in the Netherlands. Provided that the center of main interest of Mylan II B.V. would deemed to 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Times New Roman" w:cs="Times New Roman" w:eastAsia="Times New Roman" w:hAnsi="Times New Roman"/>
          <w:sz w:val="18"/>
          <w:szCs w:val="18"/>
          <w:i w:val="1"/>
          <w:iCs w:val="1"/>
          <w:color w:val="auto"/>
        </w:rPr>
        <w:t>surseance van betaling</w:t>
      </w:r>
      <w:r>
        <w:rPr>
          <w:rFonts w:ascii="Times New Roman" w:cs="Times New Roman" w:eastAsia="Times New Roman" w:hAnsi="Times New Roman"/>
          <w:sz w:val="18"/>
          <w:szCs w:val="18"/>
          <w:color w:val="auto"/>
        </w:rPr>
        <w:t>), is intended to facilitate the reorganization of a debtor’s indebtedness and enable the debtor to continue as a going concern. The second,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 A general description of the principles of both insolvency regimes is set out below.</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Times New Roman" w:cs="Times New Roman" w:eastAsia="Times New Roman" w:hAnsi="Times New Roman"/>
          <w:sz w:val="18"/>
          <w:szCs w:val="18"/>
          <w:i w:val="1"/>
          <w:iCs w:val="1"/>
          <w:color w:val="auto"/>
        </w:rPr>
        <w:t>dadelijk</w:t>
      </w:r>
      <w:r>
        <w:rPr>
          <w:rFonts w:ascii="Times New Roman" w:cs="Times New Roman" w:eastAsia="Times New Roman" w:hAnsi="Times New Roman"/>
          <w:sz w:val="18"/>
          <w:szCs w:val="18"/>
          <w:color w:val="auto"/>
        </w:rPr>
        <w:t>) grant a provisional moratorium and appoint at least one administrator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 of the debtor’s estate. A court hearing of, among others, creditors is required to decide on the definitive moratorium. If a draft composition (</w:t>
      </w:r>
      <w:r>
        <w:rPr>
          <w:rFonts w:ascii="Times New Roman" w:cs="Times New Roman" w:eastAsia="Times New Roman" w:hAnsi="Times New Roman"/>
          <w:sz w:val="18"/>
          <w:szCs w:val="18"/>
          <w:i w:val="1"/>
          <w:iCs w:val="1"/>
          <w:color w:val="auto"/>
        </w:rPr>
        <w:t>ontwerp akkoord</w:t>
      </w:r>
      <w:r>
        <w:rPr>
          <w:rFonts w:ascii="Times New Roman" w:cs="Times New Roman" w:eastAsia="Times New Roman" w:hAnsi="Times New Roman"/>
          <w:sz w:val="18"/>
          <w:szCs w:val="18"/>
          <w:color w:val="auto"/>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Times New Roman" w:cs="Times New Roman" w:eastAsia="Times New Roman" w:hAnsi="Times New Roman"/>
          <w:sz w:val="18"/>
          <w:szCs w:val="18"/>
          <w:i w:val="1"/>
          <w:iCs w:val="1"/>
          <w:color w:val="auto"/>
        </w:rPr>
        <w:t>gehomologeerd</w:t>
      </w:r>
      <w:r>
        <w:rPr>
          <w:rFonts w:ascii="Times New Roman" w:cs="Times New Roman" w:eastAsia="Times New Roman" w:hAnsi="Times New Roman"/>
          <w:sz w:val="18"/>
          <w:szCs w:val="18"/>
          <w:color w:val="auto"/>
        </w:rPr>
        <w:t>), the provisional moratorium ends. The definitive moratorium will generally be granted unless (i) 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Times New Roman" w:cs="Times New Roman" w:eastAsia="Times New Roman" w:hAnsi="Times New Roman"/>
          <w:sz w:val="18"/>
          <w:szCs w:val="18"/>
          <w:i w:val="1"/>
          <w:iCs w:val="1"/>
          <w:color w:val="auto"/>
        </w:rPr>
        <w:t>afkoelingsperiode</w:t>
      </w:r>
      <w:r>
        <w:rPr>
          <w:rFonts w:ascii="Times New Roman" w:cs="Times New Roman" w:eastAsia="Times New Roman" w:hAnsi="Times New Roman"/>
          <w:sz w:val="18"/>
          <w:szCs w:val="18"/>
          <w:color w:val="auto"/>
        </w:rPr>
        <w:t>) for a maximum period of four months during which enforcement actions by secured or preferential creditors are barred. In a moratorium of payments, whether definitive or temporary, a composition (</w:t>
      </w:r>
      <w:r>
        <w:rPr>
          <w:rFonts w:ascii="Times New Roman" w:cs="Times New Roman" w:eastAsia="Times New Roman" w:hAnsi="Times New Roman"/>
          <w:sz w:val="18"/>
          <w:szCs w:val="18"/>
          <w:i w:val="1"/>
          <w:iCs w:val="1"/>
          <w:color w:val="auto"/>
        </w:rPr>
        <w:t>akkoord</w:t>
      </w:r>
      <w:r>
        <w:rPr>
          <w:rFonts w:ascii="Times New Roman" w:cs="Times New Roman" w:eastAsia="Times New Roman" w:hAnsi="Times New Roman"/>
          <w:sz w:val="18"/>
          <w:szCs w:val="18"/>
          <w:color w:val="auto"/>
        </w:rPr>
        <w:t>) may be offered to creditors. A composition will be binding on all unsecured and non-preferential creditors if it is (i) approved by a simple majority of the meeting of the recognized and of the admitted creditors representing at least 50% of the amount of the recognized and of the admitted claims, and (ii) subsequently</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irrevocably ratified (</w:t>
      </w:r>
      <w:r>
        <w:rPr>
          <w:rFonts w:ascii="Times New Roman" w:cs="Times New Roman" w:eastAsia="Times New Roman" w:hAnsi="Times New Roman"/>
          <w:sz w:val="18"/>
          <w:szCs w:val="18"/>
          <w:i w:val="1"/>
          <w:iCs w:val="1"/>
          <w:color w:val="auto"/>
        </w:rPr>
        <w:t>gehomologeerd</w:t>
      </w:r>
      <w:r>
        <w:rPr>
          <w:rFonts w:ascii="Times New Roman" w:cs="Times New Roman" w:eastAsia="Times New Roman" w:hAnsi="Times New Roman"/>
          <w:sz w:val="18"/>
          <w:szCs w:val="18"/>
          <w:color w:val="auto"/>
        </w:rPr>
        <w:t>)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 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w:t>
      </w:r>
    </w:p>
    <w:p>
      <w:pPr>
        <w:spacing w:after="0" w:line="18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Times New Roman" w:cs="Times New Roman" w:eastAsia="Times New Roman" w:hAnsi="Times New Roman"/>
          <w:sz w:val="18"/>
          <w:szCs w:val="18"/>
          <w:i w:val="1"/>
          <w:iCs w:val="1"/>
          <w:color w:val="auto"/>
        </w:rPr>
        <w:t>boedelschuldeisers</w:t>
      </w:r>
      <w:r>
        <w:rPr>
          <w:rFonts w:ascii="Times New Roman" w:cs="Times New Roman" w:eastAsia="Times New Roman" w:hAnsi="Times New Roman"/>
          <w:sz w:val="18"/>
          <w:szCs w:val="18"/>
          <w:color w:val="auto"/>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Times New Roman" w:cs="Times New Roman" w:eastAsia="Times New Roman" w:hAnsi="Times New Roman"/>
          <w:sz w:val="18"/>
          <w:szCs w:val="18"/>
          <w:i w:val="1"/>
          <w:iCs w:val="1"/>
          <w:color w:val="auto"/>
        </w:rPr>
        <w:t>Wet collectieve afwikkeling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massaschade</w:t>
      </w:r>
      <w:r>
        <w:rPr>
          <w:rFonts w:ascii="Times New Roman" w:cs="Times New Roman" w:eastAsia="Times New Roman" w:hAnsi="Times New Roman"/>
          <w:sz w:val="18"/>
          <w:szCs w:val="18"/>
          <w:color w:val="auto"/>
        </w:rPr>
        <w:t>). Verification under Dutch law means that the receiver takes a preliminary decision on the value of the claim and whether and to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Times New Roman" w:cs="Times New Roman" w:eastAsia="Times New Roman" w:hAnsi="Times New Roman"/>
          <w:sz w:val="18"/>
          <w:szCs w:val="18"/>
          <w:i w:val="1"/>
          <w:iCs w:val="1"/>
          <w:color w:val="auto"/>
        </w:rPr>
        <w:t>verificatievergadering</w:t>
      </w:r>
      <w:r>
        <w:rPr>
          <w:rFonts w:ascii="Times New Roman" w:cs="Times New Roman" w:eastAsia="Times New Roman" w:hAnsi="Times New Roman"/>
          <w:sz w:val="18"/>
          <w:szCs w:val="18"/>
          <w:color w:val="auto"/>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Times New Roman" w:cs="Times New Roman" w:eastAsia="Times New Roman" w:hAnsi="Times New Roman"/>
          <w:sz w:val="18"/>
          <w:szCs w:val="18"/>
          <w:i w:val="1"/>
          <w:iCs w:val="1"/>
          <w:color w:val="auto"/>
        </w:rPr>
        <w:t>renvooiprocedure</w:t>
      </w:r>
      <w:r>
        <w:rPr>
          <w:rFonts w:ascii="Times New Roman" w:cs="Times New Roman" w:eastAsia="Times New Roman" w:hAnsi="Times New Roman"/>
          <w:sz w:val="18"/>
          <w:szCs w:val="18"/>
          <w:color w:val="auto"/>
        </w:rPr>
        <w:t xml:space="preserve">). These </w:t>
      </w:r>
      <w:r>
        <w:rPr>
          <w:rFonts w:ascii="Times New Roman" w:cs="Times New Roman" w:eastAsia="Times New Roman" w:hAnsi="Times New Roman"/>
          <w:sz w:val="18"/>
          <w:szCs w:val="18"/>
          <w:i w:val="1"/>
          <w:iCs w:val="1"/>
          <w:color w:val="auto"/>
        </w:rPr>
        <w:t>renvooi procedures</w:t>
      </w:r>
      <w:r>
        <w:rPr>
          <w:rFonts w:ascii="Times New Roman" w:cs="Times New Roman" w:eastAsia="Times New Roman" w:hAnsi="Times New Roman"/>
          <w:sz w:val="18"/>
          <w:szCs w:val="18"/>
          <w:color w:val="auto"/>
        </w:rPr>
        <w:t xml:space="preserve"> could cause holders of the notes to recover less than the percentage they would receive if their claim was fully acknowledged or less than they could recover in a United States liquidation. Such </w:t>
      </w:r>
      <w:r>
        <w:rPr>
          <w:rFonts w:ascii="Times New Roman" w:cs="Times New Roman" w:eastAsia="Times New Roman" w:hAnsi="Times New Roman"/>
          <w:sz w:val="18"/>
          <w:szCs w:val="18"/>
          <w:i w:val="1"/>
          <w:iCs w:val="1"/>
          <w:color w:val="auto"/>
        </w:rPr>
        <w:t>renvooi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w:t>
      </w:r>
      <w:r>
        <w:rPr>
          <w:rFonts w:ascii="Times New Roman" w:cs="Times New Roman" w:eastAsia="Times New Roman" w:hAnsi="Times New Roman"/>
          <w:sz w:val="18"/>
          <w:szCs w:val="18"/>
          <w:color w:val="auto"/>
        </w:rPr>
        <w:t>or proceedings for granting a collective settlement agreement binding effect could also cause payments to the holders of the notes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Times New Roman" w:cs="Times New Roman" w:eastAsia="Times New Roman" w:hAnsi="Times New Roman"/>
          <w:sz w:val="18"/>
          <w:szCs w:val="18"/>
          <w:i w:val="1"/>
          <w:iCs w:val="1"/>
          <w:color w:val="auto"/>
        </w:rPr>
        <w:t>gehomologeerd</w:t>
      </w:r>
      <w:r>
        <w:rPr>
          <w:rFonts w:ascii="Times New Roman" w:cs="Times New Roman" w:eastAsia="Times New Roman" w:hAnsi="Times New Roman"/>
          <w:sz w:val="18"/>
          <w:szCs w:val="18"/>
          <w:color w:val="auto"/>
        </w:rPr>
        <w:t>)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 Act does not in itself recognize the concept of classes of creditors. Remaining amounts, if any, after satisfaction</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w:t>
      </w:r>
    </w:p>
    <w:p>
      <w:pPr>
        <w:spacing w:after="0" w:line="17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With the entry into force of the Act on Court Confirmation of Extrajudicial Restructuring Plans (</w:t>
      </w:r>
      <w:r>
        <w:rPr>
          <w:rFonts w:ascii="Times New Roman" w:cs="Times New Roman" w:eastAsia="Times New Roman" w:hAnsi="Times New Roman"/>
          <w:sz w:val="17"/>
          <w:szCs w:val="17"/>
          <w:i w:val="1"/>
          <w:iCs w:val="1"/>
          <w:color w:val="auto"/>
        </w:rPr>
        <w:t>Wet homologatie onderhands akkoord</w:t>
      </w:r>
      <w:r>
        <w:rPr>
          <w:rFonts w:ascii="Times New Roman" w:cs="Times New Roman" w:eastAsia="Times New Roman" w:hAnsi="Times New Roman"/>
          <w:sz w:val="17"/>
          <w:szCs w:val="17"/>
          <w:color w:val="auto"/>
        </w:rPr>
        <w:t>) (“WHOA”) on January 1, 2021, debtors now have the possibility to offer a composition outside of formal insolvency proceedings. The WHOA is inspired on the UK Scheme of Arrangements and the U.S. Chapter 11 procedure and it offers debtors additional possibilities to restructure their debt.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 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w:t>
      </w:r>
    </w:p>
    <w:p>
      <w:pPr>
        <w:spacing w:after="0" w:line="2" w:lineRule="exact"/>
        <w:rPr>
          <w:sz w:val="20"/>
          <w:szCs w:val="20"/>
          <w:color w:val="auto"/>
        </w:rPr>
      </w:pPr>
    </w:p>
    <w:p>
      <w:pPr>
        <w:ind w:left="120" w:right="40" w:hanging="4"/>
        <w:spacing w:after="0" w:line="251"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the composition plan to be binding on a dissenting class, i.e. cross-class cram downs. Under the WHOA, the court will confirm a composition plan if at least one class of creditors (other than a class of shareholders) that can be expected to receive a distribution in case of a bankruptcy of the debtor approves the plan, unless there is a statutory ground for refusal.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w:t>
      </w:r>
    </w:p>
    <w:p>
      <w:pPr>
        <w:spacing w:after="0" w:line="19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Times New Roman" w:cs="Times New Roman" w:eastAsia="Times New Roman" w:hAnsi="Times New Roman"/>
          <w:sz w:val="18"/>
          <w:szCs w:val="18"/>
          <w:i w:val="1"/>
          <w:iCs w:val="1"/>
          <w:color w:val="auto"/>
        </w:rPr>
        <w:t>onverplichte</w:t>
      </w:r>
      <w:r>
        <w:rPr>
          <w:rFonts w:ascii="Times New Roman" w:cs="Times New Roman" w:eastAsia="Times New Roman" w:hAnsi="Times New Roman"/>
          <w:sz w:val="18"/>
          <w:szCs w:val="18"/>
          <w:color w:val="auto"/>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Times New Roman" w:cs="Times New Roman" w:eastAsia="Times New Roman" w:hAnsi="Times New Roman"/>
          <w:sz w:val="18"/>
          <w:szCs w:val="18"/>
          <w:i w:val="1"/>
          <w:iCs w:val="1"/>
          <w:color w:val="auto"/>
        </w:rPr>
        <w:t>hij die betaling ontving</w:t>
      </w:r>
      <w:r>
        <w:rPr>
          <w:rFonts w:ascii="Times New Roman" w:cs="Times New Roman" w:eastAsia="Times New Roman" w:hAnsi="Times New Roman"/>
          <w:sz w:val="18"/>
          <w:szCs w:val="18"/>
          <w:color w:val="auto"/>
        </w:rPr>
        <w:t>) knew that the application for bankruptcy of the debtor was filed at the moment of payment or (ii) the debtor and the payee engaged in this payment in a conspiracy in order to prejudice other creditors.</w:t>
      </w:r>
    </w:p>
    <w:p>
      <w:pPr>
        <w:spacing w:after="0" w:line="18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underwriting discounts and commissions, payable by us in connection with the issuance and distribution of the securities being registered under this registration statement.</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Printing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Rules 456(b) and 457(r) of the Securities Act of 1933, as amended (the “Securities Act”), applicable U.S. Securities and Exchange</w:t>
      </w:r>
    </w:p>
    <w:p>
      <w:pPr>
        <w:spacing w:after="0" w:line="27" w:lineRule="exact"/>
        <w:rPr>
          <w:sz w:val="20"/>
          <w:szCs w:val="20"/>
          <w:color w:val="auto"/>
        </w:rPr>
      </w:pPr>
    </w:p>
    <w:p>
      <w:pPr>
        <w:ind w:left="540" w:right="560"/>
        <w:spacing w:after="0" w:line="250" w:lineRule="auto"/>
        <w:rPr>
          <w:sz w:val="20"/>
          <w:szCs w:val="20"/>
          <w:color w:val="auto"/>
        </w:rPr>
      </w:pPr>
      <w:r>
        <w:rPr>
          <w:rFonts w:ascii="Times New Roman" w:cs="Times New Roman" w:eastAsia="Times New Roman" w:hAnsi="Times New Roman"/>
          <w:sz w:val="18"/>
          <w:szCs w:val="18"/>
          <w:color w:val="auto"/>
        </w:rPr>
        <w:t>Commission (the “SEC”) registration fees have been deferred and will be paid at the time of any particular offering of securities under this registration statement, and are therefore not estimable at this time.</w:t>
      </w:r>
    </w:p>
    <w:p>
      <w:pPr>
        <w:spacing w:after="0" w:line="1" w:lineRule="exact"/>
        <w:rPr>
          <w:sz w:val="20"/>
          <w:szCs w:val="20"/>
          <w:color w:val="auto"/>
        </w:rPr>
      </w:pPr>
    </w:p>
    <w:p>
      <w:pPr>
        <w:ind w:left="540" w:right="58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an indeterminate amount of securities is covered by this registration statement, the expenses in connection with the issuance and distribution of the securities are not currently determinable. An estimate of the aggregate amount of these expenses will be reflected in the applicable prospectus supplement or free writing prospectus.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Registrants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Viatris Inc. and Utah Acquisition Sub Inc. are Delaware corporations.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such person may be involved by reason of the fact that such person served or is serving in these capacities, if such person acted in good faith and in a manner such person reasonably believed to be in or not opposed to the best interest of the corporation and, with respect to any criminal action or proceeding, had no cause to believe such person’s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7"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Viatris Inc.’s Amended and Restated Certificate of Incorporation (the “Viatris Charter”) and Amended and Restated Bylaws (the “Viatris Bylaws”) include provisions that require Viatris Inc. to indemnify, to the fullest extent allowable under the laws of the State of Delaware, directors or officers against monetary damages for actions taken as a director or officer of Viatris Inc., or for serving at Viatris Inc.’s request in any capacity at another corporation or enterprise, as the case may be. The Viatris Charter and the Viatris Bylaws also provide that Viatris Inc. must indemnify and advance reasonable expenses to its directors and officers, subject to Viatris Inc.’s receipt of an undertaking from the indemnified party to repay all amounts advanced if it is determined ultimately that the indemnified party is not entitled to be indemnified. Viatris Inc. is also expressly authorized to carry directors’ and officers’ insurance to protect Viatris Inc. and its directors and officers for some liabilities. In addition, as permitted by Delaware law, the Viatris Charter provides that no director shall be liable to Viatris Inc. or its stockholders for monetary damages for breach of fiduciary duty as a director.</w:t>
      </w:r>
    </w:p>
    <w:p>
      <w:pPr>
        <w:spacing w:after="0" w:line="17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contemplated by the Business Combination Agreement, dated as of July 29, 2019, as amended from time to time, among Viatris Inc., Mylan N.V., Pfizer Inc. and certain of their affiliates, on November 20, 2020, Viatris Inc. approved indemnification agreements with each of the directors and executive officers of Viatris Inc. The indemnification agreements provide indemnification, to the fullest extent permitted by applicable law, to each such director or officer who was, is or becomes or is threatened to be made, in their capacity as a director or officer of Viatris Inc. or any of its subsidiaries or any capacity of any other corporation, partnership, joint venture, trust, employee benefit plan or other enterprise at the request of Viatris Inc.,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Utah Acquisition Sub Inc.’s Certificate of Incorporation (the “Utah Acquisition Sub Charter”) and Bylaws (the “Utah Acquisition Sub Bylaws”) include provisions that require Utah Acquisition Sub Inc. to indemnify its directors and officers to the extent not prohibited by the DGCL or any other applicable law; provided, however, that Utah Acquisition Sub Inc. may modify the extent of such indemnification by individual contracts with its directors and officers; and, provided further, that Utah Acquisition Sub Inc. shall not be required to indemnify any director or officer in connection with any proceeding (or part thereof) initiated by such person, with certain exceptions enumerated in the Utah Acquisition Sub Bylaws. The Utah Acquisition Sub Bylaws also provide that Utah Acquisition Sub Inc. must advance all expenses incurred by its directors and officers, subject to Utah Acquisition Sub Inc.’s receipt of an undertaking from the indemnified party to repay all amounts advanced it is ultimately determined that the indemnified party is not entitled to be indemnified. Utah Acquisition Sub Inc. is also expressly authorized to purchase insurance on behalf of directors and officers indemnified pursuant to the Utah Acquisition Sub Bylaws. Further, the Utah Acquisition Sub Charter includes provisions that state that a director of Utah Acquisition Sub Inc. shall not be personally liable to Utah Acquisition Sub Inc. or its stockholders for monetary damages for breach of fiduciary duty as a director, except for liability under certain circumstances enumerated in the Utah Acquisition Sub Charter.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Registrant</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Mylan II B.V. is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and existing under the laws of the Netherlands.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Without prejudice to any indemnity to which any person may be contractually or otherwise entitled and to the fullest extent permitted by applicable Dutch law, as the same exists or may be amended (but, in the case of such amendment, only to the extent that such amendment permits Mylan II B.V. to provide broader indemnification rights than such law permitted Mylan II B.V. to provide prior to such amendment), Mylan II B.V.’s articles of association (the “Articles”) provide that Mylan II B.V. will indemnify and hold harmless each of its current or former directors, liquidators or officers against any financial losses or damages incurred by such person and any expense reasonably paid or incurred by such indemnified person in connection with any threatened, pending or completed suit, claim, action or legal proceedings of a civil, criminal, administrative or other nature, formal or informal, in which such indemnified person becomes involved, to the extent this relates to such person’s current or former position with Mylan II B.V. and in each case to the extent permitted by applicable law.</w:t>
      </w:r>
    </w:p>
    <w:p>
      <w:pPr>
        <w:spacing w:after="0" w:line="192"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No indemnification under the Articles shall be given to an indemnified person: (i) 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 (ii) to the extent that such person’s financial losses, damages and expenses are covered under insurance and the relevant insurer has settled, or has provided reimbursement for, these financial losses, damages and expenses (or has irrevocably undertaken to do so), (iii) in relation to proceedings brought by such indemnified person against Mylan II B.V., except for proceedings brought to enforce indemnification to which such person is entitled pursuant to the Articles, pursuant to an agreement between such indemnified person and Mylan II B.V. which has been approved by the board of directors of Mylan II B.V. or pursuant to insurance taken out by Mylan II B.V. for the benefit of such indemnified person and (iv) for any financial losses, damages or expenses incurred in connection with a settlement of any proceedings effected without Mylan II B.V.’s prior consent.</w:t>
      </w:r>
    </w:p>
    <w:p>
      <w:pPr>
        <w:spacing w:after="0" w:line="19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Under the Articles, the board of directors of Mylan II B.V. may stipulate additional terms, conditions and restrictions in relation to the indemnification described above.</w:t>
      </w:r>
    </w:p>
    <w:p>
      <w:pPr>
        <w:spacing w:after="0" w:line="16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Mylan II B.V. currently maintains an insurance policy which insures directors and officers against certain liabilities which might be incurred in connection with the performance of their duties.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description of indemnity herein is merely a summary of the provisions in the Articles, and such description shall not limit or alter the provisions in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Registrant</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Mylan Inc. is organized under the laws of Pennsylvania. The Pennsylvania Business Corporation Law of 1988, as amended (“BCL”), authorizes a Pennsylvania corporation to indemnify its officers, directors, employees and agents under certain circumstances against expenses and liabilities incurred in legal proceedings involving such persons because of their holding or having held such positions with the corporation and to purchase and maintain insurance for such indemnification. Mylan Inc.’s bylaws provide that each person who is or was serving as a director or officer of the corporation and any other person designated as an indemnified representative by the board of directors shall be entitled to indemnification as and to the fullest extent permitted by law, including the BCL or any successor statutory provision, as from time to time amended.</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BCL also permits a Pennsylvania corporation, by so providing in its bylaws, to eliminate the personal liability of a director for monetary damages for any action taken unless the director has breached or failed to perform the duties of such person’s office and the breach or failure constitutes self-dealing, willful misconduct or recklessness. In addition, no such limitation of liability is available with respect to the responsibility or liability of a director pursuant to any criminal statute or for the payment of taxes pursuant to federal, state or local law. Mylan Inc.’s bylaws eliminate the personal liability of the directors to the fullest extent permitted by the BCL.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Mylan Inc.’s bylaws also provide that it may maintain an insurance policy which insures Mylan Inc. and any directors, officers or other indemnified representatives as described in this section against certain liabilities which might be incurred in connection with the performance of their duties.</w:t>
      </w:r>
    </w:p>
    <w:p>
      <w:pPr>
        <w:spacing w:after="0" w:line="14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Mylan Inc. has indemnification agreements with its directors and contractual indemnification obligations to certain of its officers, which provide that Mylan Inc. will indemnify such persons against any and all expenses, liabilities and losses incurred by such person in connection with any threatened, pending or completed claim, action, suit, proceeding or investigation (provided generally that any such claim, action, suit, proceeding or investigation initiated by the indemnitee was authorized by its board of directors) to which such person was or is a party, or is threatened to be made a party, because such person is or was a director or officer of Mylan Inc. or of any of its subsidiaries, or served at the request of Mylan Inc. as a director, officer, trustee, employee or agent of another entity.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registration statement on Form S-3.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4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9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and Restated Certificate of Incorporation of Upjohn Inc., effective as of November 13, 2020, filed as Exhibit 3.1 to the</w:t>
              </w:r>
            </w:hyperlink>
          </w:p>
        </w:tc>
        <w:tc>
          <w:tcPr>
            <w:tcW w:w="140" w:type="dxa"/>
            <w:vAlign w:val="bottom"/>
            <w:gridSpan w:val="4"/>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8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Report on Form 8-K filed by Viatris Inc. with the SEC on November 19, 2020, and incorporated herein by reference.</w:t>
              </w:r>
            </w:hyperlink>
          </w:p>
        </w:tc>
        <w:tc>
          <w:tcPr>
            <w:tcW w:w="1020" w:type="dxa"/>
            <w:vAlign w:val="bottom"/>
            <w:gridSpan w:val="10"/>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9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Amendment to the Amended and Restated Certificate of Incorporation of Upjohn Inc., effective as of November 16,</w:t>
              </w:r>
            </w:hyperlink>
          </w:p>
        </w:tc>
        <w:tc>
          <w:tcPr>
            <w:tcW w:w="8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440" w:type="dxa"/>
            <w:vAlign w:val="bottom"/>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2020, filed as Exhibit 3.3 to the Report on Form 8-K filed by Viatris Inc. with the SEC on November 19, 2020, and incorporated</w:t>
              </w:r>
            </w:hyperlink>
          </w:p>
        </w:tc>
      </w:tr>
      <w:tr>
        <w:trPr>
          <w:trHeight w:val="196"/>
        </w:trPr>
        <w:tc>
          <w:tcPr>
            <w:tcW w:w="156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herein by reference.</w:t>
              </w:r>
            </w:hyperlink>
          </w:p>
        </w:tc>
        <w:tc>
          <w:tcPr>
            <w:tcW w:w="7800" w:type="dxa"/>
            <w:vAlign w:val="bottom"/>
            <w:tcBorders>
              <w:top w:val="single" w:sz="8" w:color="0000EE"/>
            </w:tcBorders>
            <w:gridSpan w:val="11"/>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and Restated Bylaws of Viatris Inc., effective as of November 16, 2020, filed as Exhibit 3.2 to the Report on Form 10-K</w:t>
              </w:r>
            </w:hyperlink>
          </w:p>
        </w:tc>
      </w:tr>
      <w:tr>
        <w:trPr>
          <w:trHeight w:val="196"/>
        </w:trPr>
        <w:tc>
          <w:tcPr>
            <w:tcW w:w="1560" w:type="dxa"/>
            <w:vAlign w:val="bottom"/>
          </w:tcPr>
          <w:p>
            <w:pPr>
              <w:spacing w:after="0"/>
              <w:rPr>
                <w:sz w:val="17"/>
                <w:szCs w:val="17"/>
                <w:color w:val="auto"/>
              </w:rPr>
            </w:pPr>
          </w:p>
        </w:tc>
        <w:tc>
          <w:tcPr>
            <w:tcW w:w="6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filed by Viatris Inc. with the SEC on March 1, 2021, and incorporated herein by reference.</w:t>
              </w:r>
            </w:hyperlink>
          </w:p>
        </w:tc>
        <w:tc>
          <w:tcPr>
            <w:tcW w:w="2920" w:type="dxa"/>
            <w:vAlign w:val="bottom"/>
            <w:gridSpan w:val="13"/>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Certificate of Incorporation of Utah Acquisition Sub Inc., filed as Exhibit 3.4 to the Registration Statement on Form S-4 filed by</w:t>
              </w:r>
            </w:hyperlink>
          </w:p>
        </w:tc>
        <w:tc>
          <w:tcPr>
            <w:tcW w:w="180" w:type="dxa"/>
            <w:vAlign w:val="bottom"/>
            <w:gridSpan w:val="6"/>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440" w:type="dxa"/>
            <w:vAlign w:val="bottom"/>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Viatris Inc. with the SEC on September 10, 2021, and incorporated herein by reference.</w:t>
              </w:r>
            </w:hyperlink>
          </w:p>
        </w:tc>
      </w:tr>
      <w:tr>
        <w:trPr>
          <w:trHeight w:val="20"/>
        </w:trPr>
        <w:tc>
          <w:tcPr>
            <w:tcW w:w="15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9440" w:type="dxa"/>
            <w:vAlign w:val="bottom"/>
            <w:gridSpan w:val="19"/>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Bylaws of Utah Acquisition Sub Inc., filed as Exhibit 3.5 to the Registration Statement on Form S-4 filed by Viatris Inc. with the</w:t>
              </w:r>
            </w:hyperlink>
          </w:p>
        </w:tc>
      </w:tr>
      <w:tr>
        <w:trPr>
          <w:trHeight w:val="196"/>
        </w:trPr>
        <w:tc>
          <w:tcPr>
            <w:tcW w:w="1560" w:type="dxa"/>
            <w:vAlign w:val="bottom"/>
          </w:tcPr>
          <w:p>
            <w:pPr>
              <w:spacing w:after="0"/>
              <w:rPr>
                <w:sz w:val="17"/>
                <w:szCs w:val="17"/>
                <w:color w:val="auto"/>
              </w:rPr>
            </w:pPr>
          </w:p>
        </w:tc>
        <w:tc>
          <w:tcPr>
            <w:tcW w:w="92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 on September 10, 2021, and incorporated herein by reference.</w:t>
              </w:r>
            </w:hyperlink>
          </w:p>
        </w:tc>
        <w:tc>
          <w:tcPr>
            <w:tcW w:w="160" w:type="dxa"/>
            <w:vAlign w:val="bottom"/>
            <w:gridSpan w:val="5"/>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Deed of Incorporation of Mylan II B.V., filed as Exhibit 3.6 to the Registration Statement on Form S-4 filed by Viatris Inc. with</w:t>
              </w:r>
            </w:hyperlink>
          </w:p>
        </w:tc>
        <w:tc>
          <w:tcPr>
            <w:tcW w:w="240" w:type="dxa"/>
            <w:vAlign w:val="bottom"/>
            <w:gridSpan w:val="8"/>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5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the SEC on September 10, 2021, and incorporated herein by reference.</w:t>
              </w:r>
            </w:hyperlink>
          </w:p>
        </w:tc>
        <w:tc>
          <w:tcPr>
            <w:tcW w:w="4340" w:type="dxa"/>
            <w:vAlign w:val="bottom"/>
            <w:gridSpan w:val="15"/>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9440" w:type="dxa"/>
            <w:vAlign w:val="bottom"/>
            <w:gridSpan w:val="19"/>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Amended and Restated Articles of Incorporation, as Amended, of Mylan Inc., filed as Exhibit 3.7 to the Registration Statement on</w:t>
              </w:r>
            </w:hyperlink>
          </w:p>
        </w:tc>
      </w:tr>
      <w:tr>
        <w:trPr>
          <w:trHeight w:val="196"/>
        </w:trPr>
        <w:tc>
          <w:tcPr>
            <w:tcW w:w="156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S-4 filed by Viatris Inc. with the SEC on September 10, 2021, and incorporated herein by reference.</w:t>
              </w:r>
            </w:hyperlink>
          </w:p>
        </w:tc>
        <w:tc>
          <w:tcPr>
            <w:tcW w:w="174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93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Third Amended and Restated Bylaws, as Amended, of Mylan Inc., filed as Exhibit 3.8 to the Registration Statement on Form S-4</w:t>
              </w:r>
            </w:hyperlink>
          </w:p>
        </w:tc>
        <w:tc>
          <w:tcPr>
            <w:tcW w:w="120" w:type="dxa"/>
            <w:vAlign w:val="bottom"/>
            <w:gridSpan w:val="3"/>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440" w:type="dxa"/>
            <w:vAlign w:val="bottom"/>
            <w:gridSpan w:val="1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filed by Viatris Inc. with the SEC on September 10, 2021, and incorporated herein by reference.</w:t>
              </w:r>
            </w:hyperlink>
          </w:p>
        </w:tc>
      </w:tr>
      <w:tr>
        <w:trPr>
          <w:trHeight w:val="20"/>
        </w:trPr>
        <w:tc>
          <w:tcPr>
            <w:tcW w:w="15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480" w:type="dxa"/>
            <w:vAlign w:val="bottom"/>
            <w:gridSpan w:val="5"/>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Form of Indenture among Viatris Inc., as issuer, the guarantors party thereto and The Bank of New York Mellon, as trustee (the</w:t>
            </w:r>
          </w:p>
        </w:tc>
      </w:tr>
      <w:tr>
        <w:trPr>
          <w:trHeight w:val="196"/>
        </w:trPr>
        <w:tc>
          <w:tcPr>
            <w:tcW w:w="1560" w:type="dxa"/>
            <w:vAlign w:val="bottom"/>
          </w:tcPr>
          <w:p>
            <w:pPr>
              <w:spacing w:after="0"/>
              <w:rPr>
                <w:sz w:val="17"/>
                <w:szCs w:val="17"/>
                <w:color w:val="auto"/>
              </w:rPr>
            </w:pPr>
          </w:p>
        </w:tc>
        <w:tc>
          <w:tcPr>
            <w:tcW w:w="91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“Form of Viatris Inc. Indenture”).</w:t>
            </w:r>
          </w:p>
        </w:tc>
        <w:tc>
          <w:tcPr>
            <w:tcW w:w="300" w:type="dxa"/>
            <w:vAlign w:val="bottom"/>
            <w:gridSpan w:val="9"/>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4.10(a)</w:t>
            </w:r>
          </w:p>
        </w:tc>
        <w:tc>
          <w:tcPr>
            <w:tcW w:w="9440" w:type="dxa"/>
            <w:vAlign w:val="bottom"/>
            <w:gridSpan w:val="24"/>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Indenture, dated December 21, 2012, between and among Mylan Inc., as issuer, the guarantors named therein, and The Bank of</w:t>
              </w:r>
            </w:hyperlink>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New York Mellon, as trustee, filed as Exhibit 4.1 to the Report on Form 8-K filed by Mylan Inc. with the SEC on December 24,</w:t>
              </w:r>
            </w:hyperlink>
          </w:p>
        </w:tc>
        <w:tc>
          <w:tcPr>
            <w:tcW w:w="220" w:type="dxa"/>
            <w:vAlign w:val="bottom"/>
            <w:gridSpan w:val="10"/>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2012, and incorporated herein by reference.</w:t>
              </w:r>
            </w:hyperlink>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4.10(b)</w:t>
            </w:r>
          </w:p>
        </w:tc>
        <w:tc>
          <w:tcPr>
            <w:tcW w:w="9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First Supplemental Indenture, dated February 27, 2015, between and among Mylan Inc., as issuer, Mylan N.V., as guarantor, and</w:t>
              </w:r>
            </w:hyperlink>
          </w:p>
        </w:tc>
        <w:tc>
          <w:tcPr>
            <w:tcW w:w="160" w:type="dxa"/>
            <w:vAlign w:val="bottom"/>
            <w:gridSpan w:val="7"/>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The Bank of New York Mellon, as trustee, to the Indenture, dated December 21, 2012, filed as Exhibit 4.4 to the Report on Form</w:t>
              </w:r>
            </w:hyperlink>
          </w:p>
        </w:tc>
        <w:tc>
          <w:tcPr>
            <w:tcW w:w="140" w:type="dxa"/>
            <w:vAlign w:val="bottom"/>
            <w:gridSpan w:val="6"/>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4"/>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8-K filed by Mylan N.V. with the SEC on February 27, 2015, and incorporated herein by reference.</w:t>
              </w:r>
            </w:hyperlink>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4.10(c)</w:t>
            </w:r>
          </w:p>
        </w:tc>
        <w:tc>
          <w:tcPr>
            <w:tcW w:w="9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Second Supplemental Indenture, dated March 12, 2015, between and among Mylan Inc., as issuer, Mylan N.V., as parent, and The</w:t>
              </w:r>
            </w:hyperlink>
          </w:p>
        </w:tc>
        <w:tc>
          <w:tcPr>
            <w:tcW w:w="6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Bank of New York Mellon, as trustee, to the Indenture, dated December 21, 2012, filed by Mylan N.V. as Exhibit 4.3(b) to Form</w:t>
              </w:r>
            </w:hyperlink>
          </w:p>
        </w:tc>
        <w:tc>
          <w:tcPr>
            <w:tcW w:w="160" w:type="dxa"/>
            <w:vAlign w:val="bottom"/>
            <w:gridSpan w:val="7"/>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5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10-Q for the quarter ended March 31, 2015, and incorporated herein by reference.</w:t>
              </w:r>
            </w:hyperlink>
          </w:p>
        </w:tc>
        <w:tc>
          <w:tcPr>
            <w:tcW w:w="3540" w:type="dxa"/>
            <w:vAlign w:val="bottom"/>
            <w:gridSpan w:val="18"/>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4.10(d)</w:t>
            </w:r>
          </w:p>
        </w:tc>
        <w:tc>
          <w:tcPr>
            <w:tcW w:w="94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Third Supplemental Indenture dated November 16, 2020, by and among Mylan Inc., Viatris Inc., Utah Acquisition Sub Inc., Mylan</w:t>
              </w:r>
            </w:hyperlink>
          </w:p>
        </w:tc>
      </w:tr>
      <w:tr>
        <w:trPr>
          <w:trHeight w:val="196"/>
        </w:trPr>
        <w:tc>
          <w:tcPr>
            <w:tcW w:w="1560" w:type="dxa"/>
            <w:vAlign w:val="bottom"/>
          </w:tcPr>
          <w:p>
            <w:pPr>
              <w:spacing w:after="0"/>
              <w:rPr>
                <w:sz w:val="17"/>
                <w:szCs w:val="17"/>
                <w:color w:val="auto"/>
              </w:rPr>
            </w:pPr>
          </w:p>
        </w:tc>
        <w:tc>
          <w:tcPr>
            <w:tcW w:w="9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II B.V. and The Bank of New York Mellon, as trustee, to the Indenture dated December 21, 2012, by and between Mylan Inc. and</w:t>
              </w:r>
            </w:hyperlink>
          </w:p>
        </w:tc>
        <w:tc>
          <w:tcPr>
            <w:tcW w:w="100" w:type="dxa"/>
            <w:vAlign w:val="bottom"/>
            <w:gridSpan w:val="4"/>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The Bank of New York Mellon, as trustee, filed as Exhibit 4.6 to the Report on Form 8-K/A filed by Viatris Inc. with the SEC on</w:t>
              </w:r>
            </w:hyperlink>
          </w:p>
        </w:tc>
        <w:tc>
          <w:tcPr>
            <w:tcW w:w="140" w:type="dxa"/>
            <w:vAlign w:val="bottom"/>
            <w:gridSpan w:val="6"/>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November 19, 2020, and incorporated herein by reference.</w:t>
              </w:r>
            </w:hyperlink>
          </w:p>
        </w:tc>
        <w:tc>
          <w:tcPr>
            <w:tcW w:w="5220" w:type="dxa"/>
            <w:vAlign w:val="bottom"/>
            <w:gridSpan w:val="20"/>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4.11(a)</w:t>
            </w:r>
          </w:p>
        </w:tc>
        <w:tc>
          <w:tcPr>
            <w:tcW w:w="94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Indenture, dated November 29, 2013, between Mylan Inc. and The Bank of New York Mellon, as trustee, filed as Exhibit 4.1 to the</w:t>
              </w:r>
            </w:hyperlink>
          </w:p>
        </w:tc>
      </w:tr>
      <w:tr>
        <w:trPr>
          <w:trHeight w:val="196"/>
        </w:trPr>
        <w:tc>
          <w:tcPr>
            <w:tcW w:w="1560" w:type="dxa"/>
            <w:vAlign w:val="bottom"/>
          </w:tcPr>
          <w:p>
            <w:pPr>
              <w:spacing w:after="0"/>
              <w:rPr>
                <w:sz w:val="17"/>
                <w:szCs w:val="17"/>
                <w:color w:val="auto"/>
              </w:rPr>
            </w:pPr>
          </w:p>
        </w:tc>
        <w:tc>
          <w:tcPr>
            <w:tcW w:w="9440" w:type="dxa"/>
            <w:vAlign w:val="bottom"/>
            <w:gridSpan w:val="24"/>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by Mylan Inc. with the SEC on November 29, 2013, and incorporated herein by reference.</w:t>
              </w:r>
            </w:hyperlink>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4.11(b)</w:t>
            </w:r>
          </w:p>
        </w:tc>
        <w:tc>
          <w:tcPr>
            <w:tcW w:w="9440" w:type="dxa"/>
            <w:vAlign w:val="bottom"/>
            <w:gridSpan w:val="24"/>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First Supplemental Indenture, dated November 29, 2013, between Mylan Inc. and The Bank of New York Mellon, as trustee, filed</w:t>
              </w:r>
            </w:hyperlink>
          </w:p>
        </w:tc>
      </w:tr>
      <w:tr>
        <w:trPr>
          <w:trHeight w:val="196"/>
        </w:trPr>
        <w:tc>
          <w:tcPr>
            <w:tcW w:w="156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as Exhibit 4.2 to the Report on Form 8-K filed by Mylan Inc. with the SEC on November 29, 2013, and incorporated herein by</w:t>
              </w:r>
            </w:hyperlink>
          </w:p>
        </w:tc>
        <w:tc>
          <w:tcPr>
            <w:tcW w:w="200" w:type="dxa"/>
            <w:vAlign w:val="bottom"/>
            <w:tcBorders>
              <w:top w:val="single" w:sz="8" w:color="0000EE"/>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reference.</w:t>
              </w:r>
            </w:hyperlink>
          </w:p>
        </w:tc>
        <w:tc>
          <w:tcPr>
            <w:tcW w:w="8720" w:type="dxa"/>
            <w:vAlign w:val="bottom"/>
            <w:gridSpan w:val="23"/>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4.11(c)</w:t>
            </w:r>
          </w:p>
        </w:tc>
        <w:tc>
          <w:tcPr>
            <w:tcW w:w="9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Second Supplemental Indenture, dated February 27, 2015, among Mylan Inc., as issuer, Mylan N.V., as guarantor, and The Bank</w:t>
              </w:r>
            </w:hyperlink>
          </w:p>
        </w:tc>
        <w:tc>
          <w:tcPr>
            <w:tcW w:w="160" w:type="dxa"/>
            <w:vAlign w:val="bottom"/>
            <w:gridSpan w:val="7"/>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of New York Mellon, as trustee, to the Indenture, dated November 29, 2013, filed as Exhibit 4.6 to the Report on Form 8-K filed</w:t>
              </w:r>
            </w:hyperlink>
          </w:p>
        </w:tc>
        <w:tc>
          <w:tcPr>
            <w:tcW w:w="160" w:type="dxa"/>
            <w:vAlign w:val="bottom"/>
            <w:gridSpan w:val="7"/>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4"/>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by Mylan N.V. with the SEC on February 27, 2015, and incorporated herein by reference.</w:t>
              </w:r>
            </w:hyperlink>
          </w:p>
        </w:tc>
      </w:tr>
      <w:tr>
        <w:trPr>
          <w:trHeight w:val="20"/>
        </w:trPr>
        <w:tc>
          <w:tcPr>
            <w:tcW w:w="15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4.11(d)</w:t>
            </w:r>
          </w:p>
        </w:tc>
        <w:tc>
          <w:tcPr>
            <w:tcW w:w="92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Third Supplemental Indenture, dated March 12, 2015, between and among Mylan Inc., as issuer, Mylan N.V., as parent, and The</w:t>
              </w:r>
            </w:hyperlink>
          </w:p>
        </w:tc>
        <w:tc>
          <w:tcPr>
            <w:tcW w:w="180" w:type="dxa"/>
            <w:vAlign w:val="bottom"/>
            <w:gridSpan w:val="8"/>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Bank of New York Mellon, as trustee, to the Indenture, dated November 29, 2013, filed by Mylan N.V. as Exhibit 4.5(b) to Form</w:t>
              </w:r>
            </w:hyperlink>
          </w:p>
        </w:tc>
        <w:tc>
          <w:tcPr>
            <w:tcW w:w="160" w:type="dxa"/>
            <w:vAlign w:val="bottom"/>
            <w:gridSpan w:val="7"/>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5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10-Q for the quarter ended March 31, 2015, and incorporated herein by reference.</w:t>
              </w:r>
            </w:hyperlink>
          </w:p>
        </w:tc>
        <w:tc>
          <w:tcPr>
            <w:tcW w:w="3540" w:type="dxa"/>
            <w:vAlign w:val="bottom"/>
            <w:gridSpan w:val="18"/>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4.11(e)</w:t>
            </w:r>
          </w:p>
        </w:tc>
        <w:tc>
          <w:tcPr>
            <w:tcW w:w="9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Fourth Supplemental Indenture dated November 16, 2020, by and among Mylan Inc., Viatris Inc., Utah Acquisition Sub Inc.,</w:t>
              </w:r>
            </w:hyperlink>
          </w:p>
        </w:tc>
        <w:tc>
          <w:tcPr>
            <w:tcW w:w="420" w:type="dxa"/>
            <w:vAlign w:val="bottom"/>
            <w:gridSpan w:val="13"/>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Mylan II B.V. and The Bank of New York Mellon, as trustee, to the Indenture dated November 29, 2013, by and between Mylan</w:t>
              </w:r>
            </w:hyperlink>
          </w:p>
        </w:tc>
        <w:tc>
          <w:tcPr>
            <w:tcW w:w="200" w:type="dxa"/>
            <w:vAlign w:val="bottom"/>
            <w:gridSpan w:val="9"/>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Inc. and The Bank of New York Mellon, as trustee, filed as Exhibit 4.7 to the Report on Form 8-K/A filed by Viatris Inc. with the</w:t>
              </w:r>
            </w:hyperlink>
          </w:p>
        </w:tc>
        <w:tc>
          <w:tcPr>
            <w:tcW w:w="120" w:type="dxa"/>
            <w:vAlign w:val="bottom"/>
            <w:gridSpan w:val="5"/>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SEC on November 19, 2020, and incorporated herein by reference.</w:t>
              </w:r>
            </w:hyperlink>
          </w:p>
        </w:tc>
        <w:tc>
          <w:tcPr>
            <w:tcW w:w="4620" w:type="dxa"/>
            <w:vAlign w:val="bottom"/>
            <w:gridSpan w:val="19"/>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4.12(a)</w:t>
            </w:r>
          </w:p>
        </w:tc>
        <w:tc>
          <w:tcPr>
            <w:tcW w:w="94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Indenture, dated as of June 9, 2016, among Mylan N.V., as issuer, Mylan Inc., as guarantor, and The Bank of New York Mellon, as</w:t>
              </w:r>
            </w:hyperlink>
          </w:p>
        </w:tc>
        <w:tc>
          <w:tcPr>
            <w:tcW w:w="2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89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trustee, filed as Exhibit 4.1 to the Report on Form 8-K filed by Mylan N.V. with the SEC on June 15, 2016, and incorporated</w:t>
              </w:r>
            </w:hyperlink>
          </w:p>
        </w:tc>
        <w:tc>
          <w:tcPr>
            <w:tcW w:w="460" w:type="dxa"/>
            <w:vAlign w:val="bottom"/>
            <w:gridSpan w:val="14"/>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herein by reference.</w:t>
              </w:r>
            </w:hyperlink>
          </w:p>
        </w:tc>
        <w:tc>
          <w:tcPr>
            <w:tcW w:w="8000" w:type="dxa"/>
            <w:vAlign w:val="bottom"/>
            <w:gridSpan w:val="22"/>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4.12(b)</w:t>
            </w:r>
          </w:p>
        </w:tc>
        <w:tc>
          <w:tcPr>
            <w:tcW w:w="9440" w:type="dxa"/>
            <w:vAlign w:val="bottom"/>
            <w:gridSpan w:val="2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Supplemental Indenture dated November 16, 2020, by and among Viatris Inc., Utah Acquisition Sub Inc., Mylan II B.V.,</w:t>
              </w:r>
            </w:hyperlink>
          </w:p>
        </w:tc>
      </w:tr>
      <w:tr>
        <w:trPr>
          <w:trHeight w:val="20"/>
        </w:trPr>
        <w:tc>
          <w:tcPr>
            <w:tcW w:w="1560" w:type="dxa"/>
            <w:vAlign w:val="bottom"/>
          </w:tcPr>
          <w:p>
            <w:pPr>
              <w:spacing w:after="0" w:line="20" w:lineRule="exact"/>
              <w:rPr>
                <w:sz w:val="1"/>
                <w:szCs w:val="1"/>
                <w:color w:val="auto"/>
              </w:rPr>
            </w:pPr>
          </w:p>
        </w:tc>
        <w:tc>
          <w:tcPr>
            <w:tcW w:w="9060" w:type="dxa"/>
            <w:vAlign w:val="bottom"/>
            <w:gridSpan w:val="12"/>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Mylan Inc. and The Bank of New York Mellon, as trustee, to the Indenture dated June 9, 2016, by and among Mylan N.V., Mylan</w:t>
              </w:r>
            </w:hyperlink>
          </w:p>
        </w:tc>
        <w:tc>
          <w:tcPr>
            <w:tcW w:w="100" w:type="dxa"/>
            <w:vAlign w:val="bottom"/>
            <w:gridSpan w:val="4"/>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 and The Bank of New York Mellon, as trustee, filed as Exhibit 4.4 to the Report on Form 8-K/A filed by Viatris Inc. with the</w:t>
              </w:r>
            </w:hyperlink>
          </w:p>
        </w:tc>
        <w:tc>
          <w:tcPr>
            <w:tcW w:w="120" w:type="dxa"/>
            <w:vAlign w:val="bottom"/>
            <w:gridSpan w:val="5"/>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SEC on November 19, 2020, and incorporated herein by reference.</w:t>
              </w:r>
            </w:hyperlink>
          </w:p>
        </w:tc>
        <w:tc>
          <w:tcPr>
            <w:tcW w:w="4620" w:type="dxa"/>
            <w:vAlign w:val="bottom"/>
            <w:gridSpan w:val="19"/>
          </w:tcPr>
          <w:p>
            <w:pPr>
              <w:spacing w:after="0"/>
              <w:rPr>
                <w:sz w:val="17"/>
                <w:szCs w:val="17"/>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4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4.13(a)</w:t>
            </w:r>
          </w:p>
        </w:tc>
        <w:tc>
          <w:tcPr>
            <w:tcW w:w="9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Indenture, dated November 22, 2016, among Mylan N.V., as issuer, Mylan, Inc., as guarantor and Citibank, N.A., London Branch,</w:t>
              </w:r>
            </w:hyperlink>
          </w:p>
        </w:tc>
        <w:tc>
          <w:tcPr>
            <w:tcW w:w="40" w:type="dxa"/>
            <w:vAlign w:val="bottom"/>
          </w:tcPr>
          <w:p>
            <w:pPr>
              <w:spacing w:after="0"/>
              <w:rPr>
                <w:sz w:val="23"/>
                <w:szCs w:val="23"/>
                <w:color w:val="auto"/>
              </w:rPr>
            </w:pPr>
          </w:p>
        </w:tc>
      </w:tr>
      <w:tr>
        <w:trPr>
          <w:trHeight w:val="196"/>
        </w:trPr>
        <w:tc>
          <w:tcPr>
            <w:tcW w:w="1560" w:type="dxa"/>
            <w:vAlign w:val="bottom"/>
          </w:tcPr>
          <w:p>
            <w:pPr>
              <w:spacing w:after="0"/>
              <w:rPr>
                <w:sz w:val="17"/>
                <w:szCs w:val="17"/>
                <w:color w:val="auto"/>
              </w:rPr>
            </w:pPr>
          </w:p>
        </w:tc>
        <w:tc>
          <w:tcPr>
            <w:tcW w:w="9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as trustee, paying agent, transfer agent, registrar and calculation agent, filed by Mylan N.V. as Exhibit 4.9 to Form 10-K for the</w:t>
              </w:r>
            </w:hyperlink>
          </w:p>
        </w:tc>
        <w:tc>
          <w:tcPr>
            <w:tcW w:w="240" w:type="dxa"/>
            <w:vAlign w:val="bottom"/>
            <w:gridSpan w:val="8"/>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fiscal year ended December 31, 2016, and incorporated herein by reference.</w:t>
              </w:r>
            </w:hyperlink>
          </w:p>
        </w:tc>
      </w:tr>
      <w:tr>
        <w:trPr>
          <w:trHeight w:val="20"/>
        </w:trPr>
        <w:tc>
          <w:tcPr>
            <w:tcW w:w="15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4.13(b)</w:t>
            </w:r>
          </w:p>
        </w:tc>
        <w:tc>
          <w:tcPr>
            <w:tcW w:w="9440" w:type="dxa"/>
            <w:vAlign w:val="bottom"/>
            <w:gridSpan w:val="21"/>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First Supplemental Indenture dated November 16, 2020, by and among Viatris Inc., Utah Acquisition Sub Inc., Mylan II B.V.,</w:t>
              </w:r>
            </w:hyperlink>
          </w:p>
        </w:tc>
      </w:tr>
      <w:tr>
        <w:trPr>
          <w:trHeight w:val="196"/>
        </w:trPr>
        <w:tc>
          <w:tcPr>
            <w:tcW w:w="156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Mylan Inc. and Citibank, N.A., London Branch, as trustee, paying agent, transfer agent, and registrar, to the Indenture dated</w:t>
              </w:r>
            </w:hyperlink>
          </w:p>
        </w:tc>
        <w:tc>
          <w:tcPr>
            <w:tcW w:w="200" w:type="dxa"/>
            <w:vAlign w:val="bottom"/>
            <w:tcBorders>
              <w:top w:val="single" w:sz="8" w:color="0000EE"/>
            </w:tcBorders>
            <w:gridSpan w:val="3"/>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November 22, 2016, by and among Mylan N.V., Mylan Inc. and Citibank, N.A., London Branch, as trustee, paying agent, transfer</w:t>
              </w:r>
            </w:hyperlink>
          </w:p>
        </w:tc>
        <w:tc>
          <w:tcPr>
            <w:tcW w:w="80" w:type="dxa"/>
            <w:vAlign w:val="bottom"/>
            <w:gridSpan w:val="3"/>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8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agent, registrar and calculation agent, filed as Exhibit 4.5 to the Report on Form 8-K/A filed by Viatris Inc. with the SEC on</w:t>
              </w:r>
            </w:hyperlink>
          </w:p>
        </w:tc>
        <w:tc>
          <w:tcPr>
            <w:tcW w:w="500" w:type="dxa"/>
            <w:vAlign w:val="bottom"/>
            <w:gridSpan w:val="12"/>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November 19, 2020, and incorporated herein by reference.</w:t>
              </w:r>
            </w:hyperlink>
          </w:p>
        </w:tc>
        <w:tc>
          <w:tcPr>
            <w:tcW w:w="5220" w:type="dxa"/>
            <w:vAlign w:val="bottom"/>
            <w:gridSpan w:val="18"/>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4.14(a)</w:t>
            </w:r>
          </w:p>
        </w:tc>
        <w:tc>
          <w:tcPr>
            <w:tcW w:w="9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Indenture, dated as of April 9, 2018, among Mylan Inc., as issuer, Mylan N.V., as guarantor, and The Bank of New York Mellon,</w:t>
              </w:r>
            </w:hyperlink>
          </w:p>
        </w:tc>
        <w:tc>
          <w:tcPr>
            <w:tcW w:w="160" w:type="dxa"/>
            <w:vAlign w:val="bottom"/>
            <w:gridSpan w:val="5"/>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as trustee, filed as Exhibit 4.1 to the Report on Form 8-K filed by Mylan N.V. with the SEC on April 9, 2018, and incorporated</w:t>
              </w:r>
            </w:hyperlink>
          </w:p>
        </w:tc>
        <w:tc>
          <w:tcPr>
            <w:tcW w:w="300" w:type="dxa"/>
            <w:vAlign w:val="bottom"/>
            <w:gridSpan w:val="9"/>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herein by reference.</w:t>
              </w:r>
            </w:hyperlink>
          </w:p>
        </w:tc>
        <w:tc>
          <w:tcPr>
            <w:tcW w:w="8000" w:type="dxa"/>
            <w:vAlign w:val="bottom"/>
            <w:gridSpan w:val="20"/>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4.14(b)</w:t>
            </w:r>
          </w:p>
        </w:tc>
        <w:tc>
          <w:tcPr>
            <w:tcW w:w="9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First Supplemental Indenture dated November 16, 2020, by and among Mylan Inc., Viatris Inc., Utah Acquisition Sub Inc., Mylan</w:t>
              </w:r>
            </w:hyperlink>
          </w:p>
        </w:tc>
        <w:tc>
          <w:tcPr>
            <w:tcW w:w="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4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II B.V. and The Bank of New York Mellon, as trustee, to the Indenture dated April 9, 2018, by and among Mylan Inc., Mylan N.V.</w:t>
              </w:r>
            </w:hyperlink>
          </w:p>
        </w:tc>
        <w:tc>
          <w:tcPr>
            <w:tcW w:w="4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and The Bank of New York Mellon, as trustee, filed as Exhibit 4.8 to the Report on Form 8-K/A filed by Viatris Inc. with the SEC</w:t>
              </w:r>
            </w:hyperlink>
          </w:p>
        </w:tc>
      </w:tr>
      <w:tr>
        <w:trPr>
          <w:trHeight w:val="196"/>
        </w:trPr>
        <w:tc>
          <w:tcPr>
            <w:tcW w:w="1560" w:type="dxa"/>
            <w:vAlign w:val="bottom"/>
          </w:tcPr>
          <w:p>
            <w:pPr>
              <w:spacing w:after="0"/>
              <w:rPr>
                <w:sz w:val="17"/>
                <w:szCs w:val="17"/>
                <w:color w:val="auto"/>
              </w:rPr>
            </w:pPr>
          </w:p>
        </w:tc>
        <w:tc>
          <w:tcPr>
            <w:tcW w:w="93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on November 19, 2020, and incorporated herein by reference.</w:t>
              </w:r>
            </w:hyperlink>
          </w:p>
        </w:tc>
        <w:tc>
          <w:tcPr>
            <w:tcW w:w="80" w:type="dxa"/>
            <w:vAlign w:val="bottom"/>
            <w:gridSpan w:val="3"/>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tcBorders>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4.15(a)</w:t>
            </w:r>
          </w:p>
        </w:tc>
        <w:tc>
          <w:tcPr>
            <w:tcW w:w="9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Indenture, dated as of May 23, 2018, among Mylan Inc., as issuer, Mylan N.V., as guarantor, and Citibank, N.A., London Branch,</w:t>
              </w:r>
            </w:hyperlink>
          </w:p>
        </w:tc>
        <w:tc>
          <w:tcPr>
            <w:tcW w:w="100" w:type="dxa"/>
            <w:vAlign w:val="bottom"/>
            <w:gridSpan w:val="4"/>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as trustee, paying agent, transfer agent and registrar, filed as Exhibit 4.1 to the Report on Form 8-K filed by Mylan N.V. with the</w:t>
              </w:r>
            </w:hyperlink>
          </w:p>
        </w:tc>
        <w:tc>
          <w:tcPr>
            <w:tcW w:w="180" w:type="dxa"/>
            <w:vAlign w:val="bottom"/>
            <w:gridSpan w:val="6"/>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 on May 23, 2018, and incorporated herein by reference.</w:t>
              </w:r>
            </w:hyperlink>
          </w:p>
        </w:tc>
      </w:tr>
      <w:tr>
        <w:trPr>
          <w:trHeight w:val="20"/>
        </w:trPr>
        <w:tc>
          <w:tcPr>
            <w:tcW w:w="15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4.15(b)</w:t>
            </w:r>
          </w:p>
        </w:tc>
        <w:tc>
          <w:tcPr>
            <w:tcW w:w="93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First Supplemental Indenture dated November 16, 2020, by and among Mylan Inc., Viatris Inc., Utah Acquisition Sub Inc., Mylan</w:t>
              </w:r>
            </w:hyperlink>
          </w:p>
        </w:tc>
        <w:tc>
          <w:tcPr>
            <w:tcW w:w="6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II B.V. and Citibank, N.A., London Branch, as trustee, paying agent, transfer agent, and registrar, to the Indenture dated May 23,</w:t>
              </w:r>
            </w:hyperlink>
          </w:p>
        </w:tc>
        <w:tc>
          <w:tcPr>
            <w:tcW w:w="180" w:type="dxa"/>
            <w:vAlign w:val="bottom"/>
            <w:gridSpan w:val="6"/>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2018, by and among Mylan Inc., Mylan N.V. and Citibank, N.A., London Branch, as trustee, paying agent, transfer agent, and</w:t>
              </w:r>
            </w:hyperlink>
          </w:p>
        </w:tc>
      </w:tr>
      <w:tr>
        <w:trPr>
          <w:trHeight w:val="196"/>
        </w:trPr>
        <w:tc>
          <w:tcPr>
            <w:tcW w:w="1560" w:type="dxa"/>
            <w:vAlign w:val="bottom"/>
          </w:tcPr>
          <w:p>
            <w:pPr>
              <w:spacing w:after="0"/>
              <w:rPr>
                <w:sz w:val="17"/>
                <w:szCs w:val="17"/>
                <w:color w:val="auto"/>
              </w:rPr>
            </w:pPr>
          </w:p>
        </w:tc>
        <w:tc>
          <w:tcPr>
            <w:tcW w:w="90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registrar, filed as Exhibit 4.9 to the Report on Form 8-K/A filed by Viatris Inc. with the SEC on November 19, 2020, and</w:t>
              </w:r>
            </w:hyperlink>
          </w:p>
        </w:tc>
        <w:tc>
          <w:tcPr>
            <w:tcW w:w="380" w:type="dxa"/>
            <w:vAlign w:val="bottom"/>
            <w:gridSpan w:val="10"/>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87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herein by reference.</w:t>
              </w:r>
            </w:hyperlink>
          </w:p>
        </w:tc>
        <w:tc>
          <w:tcPr>
            <w:tcW w:w="740" w:type="dxa"/>
            <w:vAlign w:val="bottom"/>
            <w:gridSpan w:val="14"/>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4.16(a)</w:t>
            </w:r>
          </w:p>
        </w:tc>
        <w:tc>
          <w:tcPr>
            <w:tcW w:w="9440" w:type="dxa"/>
            <w:vAlign w:val="bottom"/>
            <w:gridSpan w:val="21"/>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Indenture, dated as of June 22, 2020, between Upjohn Inc., as issuer, and The Bank of New York Mellon, as trustee, filed as</w:t>
              </w:r>
            </w:hyperlink>
          </w:p>
        </w:tc>
      </w:tr>
      <w:tr>
        <w:trPr>
          <w:trHeight w:val="20"/>
        </w:trPr>
        <w:tc>
          <w:tcPr>
            <w:tcW w:w="1560" w:type="dxa"/>
            <w:vAlign w:val="bottom"/>
          </w:tcPr>
          <w:p>
            <w:pPr>
              <w:spacing w:after="0" w:line="20" w:lineRule="exact"/>
              <w:rPr>
                <w:sz w:val="1"/>
                <w:szCs w:val="1"/>
                <w:color w:val="auto"/>
              </w:rPr>
            </w:pPr>
          </w:p>
        </w:tc>
        <w:tc>
          <w:tcPr>
            <w:tcW w:w="5920" w:type="dxa"/>
            <w:vAlign w:val="bottom"/>
            <w:gridSpan w:val="6"/>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3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4.1 to the Report on Form 8-K filed by Upjohn Inc. with the SEC on June 26, 2020, and incorporated herein by reference.</w:t>
              </w:r>
            </w:hyperlink>
          </w:p>
        </w:tc>
        <w:tc>
          <w:tcPr>
            <w:tcW w:w="100" w:type="dxa"/>
            <w:vAlign w:val="bottom"/>
            <w:gridSpan w:val="4"/>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4.16(b)</w:t>
            </w:r>
          </w:p>
        </w:tc>
        <w:tc>
          <w:tcPr>
            <w:tcW w:w="9440" w:type="dxa"/>
            <w:vAlign w:val="bottom"/>
            <w:gridSpan w:val="21"/>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First Supplemental Indenture dated November 16, 2020, by and among Viatris Inc., Utah Acquisition Sub Inc., Mylan II B.V.,</w:t>
              </w:r>
            </w:hyperlink>
          </w:p>
        </w:tc>
      </w:tr>
      <w:tr>
        <w:trPr>
          <w:trHeight w:val="20"/>
        </w:trPr>
        <w:tc>
          <w:tcPr>
            <w:tcW w:w="1560" w:type="dxa"/>
            <w:vAlign w:val="bottom"/>
          </w:tcPr>
          <w:p>
            <w:pPr>
              <w:spacing w:after="0" w:line="20" w:lineRule="exact"/>
              <w:rPr>
                <w:sz w:val="1"/>
                <w:szCs w:val="1"/>
                <w:color w:val="auto"/>
              </w:rPr>
            </w:pPr>
          </w:p>
        </w:tc>
        <w:tc>
          <w:tcPr>
            <w:tcW w:w="5920" w:type="dxa"/>
            <w:vAlign w:val="bottom"/>
            <w:gridSpan w:val="6"/>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4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Mylan Inc. and The Bank of New York Mellon, as trustee, to the Indenture dated June 22, 2020, by and among Viatris Inc. and The</w:t>
              </w:r>
            </w:hyperlink>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Bank of New York Mellon, as trustee, filed as Exhibit 4.1 to the Report on Form 8-K/A filed by Viatris Inc. with the SEC on</w:t>
              </w:r>
            </w:hyperlink>
          </w:p>
        </w:tc>
      </w:tr>
      <w:tr>
        <w:trPr>
          <w:trHeight w:val="196"/>
        </w:trPr>
        <w:tc>
          <w:tcPr>
            <w:tcW w:w="15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November 19, 2020, and incorporated herein by reference.</w:t>
              </w:r>
            </w:hyperlink>
          </w:p>
        </w:tc>
        <w:tc>
          <w:tcPr>
            <w:tcW w:w="4740" w:type="dxa"/>
            <w:vAlign w:val="bottom"/>
            <w:tcBorders>
              <w:top w:val="single" w:sz="8" w:color="0000EE"/>
            </w:tcBorders>
            <w:gridSpan w:val="7"/>
          </w:tcPr>
          <w:p>
            <w:pPr>
              <w:spacing w:after="0"/>
              <w:rPr>
                <w:sz w:val="17"/>
                <w:szCs w:val="17"/>
                <w:color w:val="auto"/>
              </w:rPr>
            </w:pPr>
          </w:p>
        </w:tc>
        <w:tc>
          <w:tcPr>
            <w:tcW w:w="480" w:type="dxa"/>
            <w:vAlign w:val="bottom"/>
            <w:gridSpan w:val="11"/>
          </w:tcPr>
          <w:p>
            <w:pPr>
              <w:spacing w:after="0"/>
              <w:rPr>
                <w:sz w:val="17"/>
                <w:szCs w:val="17"/>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4.17(a)</w:t>
            </w:r>
          </w:p>
        </w:tc>
        <w:tc>
          <w:tcPr>
            <w:tcW w:w="9440" w:type="dxa"/>
            <w:vAlign w:val="bottom"/>
            <w:gridSpan w:val="21"/>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Indenture, dated as of June 23, 2020, among Upjohn Finance B.V., as issuer, Upjohn Inc., as guarantor, and Citibank, N.A.,</w:t>
              </w:r>
            </w:hyperlink>
          </w:p>
        </w:tc>
      </w:tr>
      <w:tr>
        <w:trPr>
          <w:trHeight w:val="20"/>
        </w:trPr>
        <w:tc>
          <w:tcPr>
            <w:tcW w:w="1560" w:type="dxa"/>
            <w:vAlign w:val="bottom"/>
          </w:tcPr>
          <w:p>
            <w:pPr>
              <w:spacing w:after="0" w:line="20" w:lineRule="exact"/>
              <w:rPr>
                <w:sz w:val="1"/>
                <w:szCs w:val="1"/>
                <w:color w:val="auto"/>
              </w:rPr>
            </w:pPr>
          </w:p>
        </w:tc>
        <w:tc>
          <w:tcPr>
            <w:tcW w:w="5920" w:type="dxa"/>
            <w:vAlign w:val="bottom"/>
            <w:gridSpan w:val="6"/>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London Branch, as trustee, transfer agent, paying agent and registrar, filed as Exhibit 4.9 to the Report on Form 8-K filed by</w:t>
              </w:r>
            </w:hyperlink>
          </w:p>
        </w:tc>
      </w:tr>
      <w:tr>
        <w:trPr>
          <w:trHeight w:val="196"/>
        </w:trPr>
        <w:tc>
          <w:tcPr>
            <w:tcW w:w="1560" w:type="dxa"/>
            <w:vAlign w:val="bottom"/>
          </w:tcPr>
          <w:p>
            <w:pPr>
              <w:spacing w:after="0"/>
              <w:rPr>
                <w:sz w:val="17"/>
                <w:szCs w:val="17"/>
                <w:color w:val="auto"/>
              </w:rPr>
            </w:pPr>
          </w:p>
        </w:tc>
        <w:tc>
          <w:tcPr>
            <w:tcW w:w="8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Upjohn Inc. with the SEC on June 26, 2020, and incorporated herein by reference.</w:t>
              </w:r>
            </w:hyperlink>
          </w:p>
        </w:tc>
        <w:tc>
          <w:tcPr>
            <w:tcW w:w="500" w:type="dxa"/>
            <w:vAlign w:val="bottom"/>
            <w:gridSpan w:val="1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5920" w:type="dxa"/>
            <w:vAlign w:val="bottom"/>
            <w:gridSpan w:val="6"/>
            <w:shd w:val="clear" w:color="auto" w:fill="0000EE"/>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1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4.17(b)</w:t>
            </w:r>
          </w:p>
        </w:tc>
        <w:tc>
          <w:tcPr>
            <w:tcW w:w="9440" w:type="dxa"/>
            <w:vAlign w:val="bottom"/>
            <w:gridSpan w:val="21"/>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First Supplemental Indenture dated November 16, 2020, by and among Upjohn Finance B.V., Viatris Inc., Utah Acquisition Sub</w:t>
              </w:r>
            </w:hyperlink>
          </w:p>
        </w:tc>
      </w:tr>
      <w:tr>
        <w:trPr>
          <w:trHeight w:val="196"/>
        </w:trPr>
        <w:tc>
          <w:tcPr>
            <w:tcW w:w="1560" w:type="dxa"/>
            <w:vAlign w:val="bottom"/>
          </w:tcPr>
          <w:p>
            <w:pPr>
              <w:spacing w:after="0"/>
              <w:rPr>
                <w:sz w:val="17"/>
                <w:szCs w:val="17"/>
                <w:color w:val="auto"/>
              </w:rPr>
            </w:pPr>
          </w:p>
        </w:tc>
        <w:tc>
          <w:tcPr>
            <w:tcW w:w="9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Inc., Mylan II B.V., Mylan Inc. and Citibank, N.A., London Branch, as trustee, paying agent, transfer agent, and registrar, to the</w:t>
              </w:r>
            </w:hyperlink>
          </w:p>
        </w:tc>
        <w:tc>
          <w:tcPr>
            <w:tcW w:w="220" w:type="dxa"/>
            <w:vAlign w:val="bottom"/>
            <w:gridSpan w:val="7"/>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1680" w:right="180"/>
        <w:spacing w:after="0" w:line="266" w:lineRule="auto"/>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Indenture dated June 23, 2020, by and among Upjohn Finance B.V., Viatris Inc. and Citibank, N.A., London Branch, as trustee,</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paying agent, transfer agent, and registrar, filed as Exhibit 4.2 to the Report on Form 8-K/A filed by Viatris Inc. with the SEC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November 19, 2020, and incorporated herein by reference.</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4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92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4.18*</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Viatris Inc. Debt Security.</w:t>
            </w:r>
          </w:p>
        </w:tc>
      </w:tr>
      <w:tr>
        <w:trPr>
          <w:trHeight w:val="338"/>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4.19*</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Certificate for Preferred Stock of Viatris Inc.</w:t>
            </w:r>
          </w:p>
        </w:tc>
      </w:tr>
      <w:tr>
        <w:trPr>
          <w:trHeight w:val="32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4.20*</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4.21*</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32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4.22*</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Rights Agreement.</w:t>
            </w:r>
          </w:p>
        </w:tc>
      </w:tr>
      <w:tr>
        <w:trPr>
          <w:trHeight w:val="283"/>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5.1**</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Cravath, Swaine &amp; Moore LLP.</w:t>
            </w: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NautaDutilh N.V.</w:t>
            </w:r>
          </w:p>
        </w:tc>
        <w:tc>
          <w:tcPr>
            <w:tcW w:w="1020" w:type="dxa"/>
            <w:vAlign w:val="bottom"/>
            <w:tcBorders>
              <w:top w:val="single" w:sz="8" w:color="0000EE"/>
            </w:tcBorders>
          </w:tcPr>
          <w:p>
            <w:pPr>
              <w:spacing w:after="0"/>
              <w:rPr>
                <w:sz w:val="24"/>
                <w:szCs w:val="24"/>
                <w:color w:val="auto"/>
              </w:rPr>
            </w:pPr>
          </w:p>
        </w:tc>
        <w:tc>
          <w:tcPr>
            <w:tcW w:w="6140" w:type="dxa"/>
            <w:vAlign w:val="bottom"/>
            <w:gridSpan w:val="10"/>
          </w:tcPr>
          <w:p>
            <w:pPr>
              <w:spacing w:after="0"/>
              <w:rPr>
                <w:sz w:val="24"/>
                <w:szCs w:val="24"/>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5.3**</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Parker Poe Adams &amp; Bernstein LLP.</w:t>
            </w:r>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4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22.1</w:t>
            </w: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List of subsidiary guarantors and issuers of guaranteed securities, filed as Exhibit 22 to the Report on Form 10-K filed by Viatris</w:t>
              </w:r>
            </w:hyperlink>
          </w:p>
        </w:tc>
      </w:tr>
      <w:tr>
        <w:trPr>
          <w:trHeight w:val="196"/>
        </w:trPr>
        <w:tc>
          <w:tcPr>
            <w:tcW w:w="1460" w:type="dxa"/>
            <w:vAlign w:val="bottom"/>
          </w:tcPr>
          <w:p>
            <w:pPr>
              <w:spacing w:after="0"/>
              <w:rPr>
                <w:sz w:val="17"/>
                <w:szCs w:val="17"/>
                <w:color w:val="auto"/>
              </w:rPr>
            </w:pPr>
          </w:p>
        </w:tc>
        <w:tc>
          <w:tcPr>
            <w:tcW w:w="9260" w:type="dxa"/>
            <w:vAlign w:val="bottom"/>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 with the SEC on February 28, 2022, and incorporated herein by reference.</w:t>
              </w:r>
            </w:hyperlink>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23.1**</w:t>
            </w:r>
          </w:p>
        </w:tc>
        <w:tc>
          <w:tcPr>
            <w:tcW w:w="5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280" w:type="dxa"/>
            <w:vAlign w:val="bottom"/>
            <w:gridSpan w:val="2"/>
          </w:tcPr>
          <w:p>
            <w:pPr>
              <w:spacing w:after="0"/>
              <w:rPr>
                <w:sz w:val="24"/>
                <w:szCs w:val="24"/>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23.2**</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Cravath, Swaine &amp; Moore LLP (included as part of Exhibit 5.1).</w:t>
            </w: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23.3**</w:t>
            </w:r>
          </w:p>
        </w:tc>
        <w:tc>
          <w:tcPr>
            <w:tcW w:w="54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Consent of NautaDutilh N.V. (included as part of Exhibit 5.2).</w:t>
            </w:r>
          </w:p>
        </w:tc>
        <w:tc>
          <w:tcPr>
            <w:tcW w:w="3780" w:type="dxa"/>
            <w:vAlign w:val="bottom"/>
            <w:gridSpan w:val="5"/>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23.4**</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Parker Poe Adams &amp; Bernstein LLP (included as part of Exhibit 5.3).</w:t>
            </w: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24.1**</w:t>
            </w:r>
          </w:p>
        </w:tc>
        <w:tc>
          <w:tcPr>
            <w:tcW w:w="36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Powers of Attorney (included in signature pages).</w:t>
            </w:r>
          </w:p>
        </w:tc>
        <w:tc>
          <w:tcPr>
            <w:tcW w:w="2240" w:type="dxa"/>
            <w:vAlign w:val="bottom"/>
            <w:tcBorders>
              <w:top w:val="single" w:sz="8" w:color="0000EE"/>
            </w:tcBorders>
            <w:gridSpan w:val="5"/>
          </w:tcPr>
          <w:p>
            <w:pPr>
              <w:spacing w:after="0"/>
              <w:rPr>
                <w:sz w:val="24"/>
                <w:szCs w:val="24"/>
                <w:color w:val="auto"/>
              </w:rPr>
            </w:pPr>
          </w:p>
        </w:tc>
        <w:tc>
          <w:tcPr>
            <w:tcW w:w="3420" w:type="dxa"/>
            <w:vAlign w:val="bottom"/>
            <w:gridSpan w:val="3"/>
          </w:tcPr>
          <w:p>
            <w:pPr>
              <w:spacing w:after="0"/>
              <w:rPr>
                <w:sz w:val="24"/>
                <w:szCs w:val="24"/>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25.1**</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Statement of Eligibility on Form T-1 under the Trust Indenture Act of 1939, as amended, of The Bank of New York Mellon, as</w:t>
            </w:r>
          </w:p>
        </w:tc>
      </w:tr>
      <w:tr>
        <w:trPr>
          <w:trHeight w:val="196"/>
        </w:trPr>
        <w:tc>
          <w:tcPr>
            <w:tcW w:w="146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trustee, with respect to the Form of Viatris Inc. Indenture.</w:t>
            </w:r>
          </w:p>
        </w:tc>
        <w:tc>
          <w:tcPr>
            <w:tcW w:w="496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r>
      <w:tr>
        <w:trPr>
          <w:trHeight w:val="304"/>
        </w:trPr>
        <w:tc>
          <w:tcPr>
            <w:tcW w:w="146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w w:val="95"/>
              </w:rPr>
              <w:t>107.1**</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1200" w:hanging="4"/>
        <w:spacing w:after="0" w:line="282" w:lineRule="auto"/>
        <w:tabs>
          <w:tab w:leader="none" w:pos="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a particular class or series of securities. ** Filed herewith.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360" w:hanging="244"/>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registrants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hanging="439"/>
        <w:spacing w:after="0" w:line="255" w:lineRule="auto"/>
        <w:tabs>
          <w:tab w:leader="none" w:pos="15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100" w:right="4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registrants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 under the Securities Act;</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reports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w:t>
      </w:r>
    </w:p>
    <w:p>
      <w:pPr>
        <w:spacing w:after="0" w:line="130"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this registration statement in reliance upon Rule 430A and contained in a form of prospectus filed by the registrants pursuant to Rule 424(b)(1) or (4) or 497(h) under the Securities Act shall be deemed to be part of this registration statement as of the time it was declared effective; and</w:t>
      </w:r>
    </w:p>
    <w:p>
      <w:pPr>
        <w:spacing w:after="0" w:line="81" w:lineRule="exact"/>
        <w:rPr>
          <w:rFonts w:ascii="Times New Roman" w:cs="Times New Roman" w:eastAsia="Times New Roman" w:hAnsi="Times New Roman"/>
          <w:sz w:val="18"/>
          <w:szCs w:val="18"/>
          <w:color w:val="auto"/>
        </w:rPr>
      </w:pPr>
    </w:p>
    <w:p>
      <w:pPr>
        <w:jc w:val="both"/>
        <w:ind w:left="1540" w:right="140" w:hanging="439"/>
        <w:spacing w:after="0" w:line="312" w:lineRule="auto"/>
        <w:tabs>
          <w:tab w:leader="none" w:pos="15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45" w:lineRule="exact"/>
        <w:rPr>
          <w:rFonts w:ascii="Times New Roman" w:cs="Times New Roman" w:eastAsia="Times New Roman" w:hAnsi="Times New Roman"/>
          <w:sz w:val="17"/>
          <w:szCs w:val="17"/>
          <w:color w:val="auto"/>
        </w:rPr>
      </w:pPr>
    </w:p>
    <w:p>
      <w:pPr>
        <w:ind w:left="1080" w:right="14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as amended (the “Trust Indenture Act”), in accordance with the rules and regulations prescribed by the SEC under Section 305(b)(2) of the Trust Indenture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State of Pennsylvania, on May 6, 2022.</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of the undersigned officers and directors of Viatris Inc., a Delaware corporation, hereby constitutes and appoints each of Sanjeev Narula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20" w:type="dxa"/>
            <w:vAlign w:val="bottom"/>
          </w:tcPr>
          <w:p>
            <w:pPr>
              <w:spacing w:after="0"/>
              <w:rPr>
                <w:sz w:val="15"/>
                <w:szCs w:val="15"/>
                <w:color w:val="auto"/>
              </w:rPr>
            </w:pP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spacing w:after="0"/>
              <w:rPr>
                <w:sz w:val="15"/>
                <w:szCs w:val="15"/>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J. Coury</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Robert J. Coury</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Goettler</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Goettler</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Sanjeev Narula</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Sanjeev Narula</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Paul B. Campbell</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B. Campbell</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 Don Cornwell</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 Don Cornwell</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JoEllen Lyons Dillon</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JoEllen Lyons Dillon</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Neil Dimick</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Neil Dimick</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20" w:type="dxa"/>
            <w:vAlign w:val="bottom"/>
          </w:tcPr>
          <w:p>
            <w:pPr>
              <w:spacing w:after="0"/>
              <w:rPr>
                <w:sz w:val="15"/>
                <w:szCs w:val="15"/>
                <w:color w:val="auto"/>
              </w:rPr>
            </w:pP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40" w:type="dxa"/>
            <w:vAlign w:val="bottom"/>
          </w:tcPr>
          <w:p>
            <w:pPr>
              <w:spacing w:after="0"/>
              <w:rPr>
                <w:sz w:val="15"/>
                <w:szCs w:val="15"/>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6"/>
        </w:trPr>
        <w:tc>
          <w:tcPr>
            <w:tcW w:w="3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Melina Higgins</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Melina Higgins</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James M. Kilts</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James M. Kilts</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Harry A. Korman</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Harry A. Korman</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Rajiv Malik</w:t>
            </w:r>
          </w:p>
        </w:tc>
        <w:tc>
          <w:tcPr>
            <w:tcW w:w="486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color w:val="auto"/>
                <w:w w:val="99"/>
              </w:rPr>
              <w:t>President and 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Rajiv Malik</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A. Mark</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A. Mark</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Mark W. Parrish</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Mark W. Parrish</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Ian Read</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Ian Read</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Pauline van der Meer Mohr</w:t>
            </w:r>
          </w:p>
        </w:tc>
        <w:tc>
          <w:tcPr>
            <w:tcW w:w="48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Pauline van der Meer Mohr</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0760"/>
          </w:cols>
          <w:pgMar w:left="320" w:top="455" w:right="8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State of Pennsylvania, on May 6, 2022.</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MYLAN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of the undersigned officers and directors of Mylan Inc., a Pennsylvania corporation, hereby constitutes and appoints each of Sanjeev Narula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20" w:type="dxa"/>
            <w:vAlign w:val="bottom"/>
          </w:tcPr>
          <w:p>
            <w:pPr>
              <w:spacing w:after="0"/>
              <w:rPr>
                <w:sz w:val="15"/>
                <w:szCs w:val="15"/>
                <w:color w:val="auto"/>
              </w:rPr>
            </w:pP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spacing w:after="0"/>
              <w:rPr>
                <w:sz w:val="15"/>
                <w:szCs w:val="15"/>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Goettler</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Goettler</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Sanjeev Narula</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Sanjeev Narula</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Paul B. Campbell</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B. Campbell</w:t>
            </w:r>
          </w:p>
        </w:tc>
        <w:tc>
          <w:tcPr>
            <w:tcW w:w="53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JoEllen Lyons Dillon</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JoEllen Lyons Dillon</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Mauro</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Anthony Mauro</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3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Mark W. Parrish</w:t>
            </w:r>
          </w:p>
        </w:tc>
        <w:tc>
          <w:tcPr>
            <w:tcW w:w="53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228"/>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Mark W. Parrish</w:t>
            </w: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State of Pennsylvania, on May 6,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MYLAN II B.V.</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Mylan II B.V. has duly caused this registration statement to be signed by the following duly authorized representative in the United States.</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MYLAN II B.V.</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of the undersigned officers and directors of Mylan II B.V., a private limited liability company organized and existing under the laws of the Netherlands, hereby constitutes and appoints each of Sanjeev Narula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Miraglia</w:t>
            </w:r>
          </w:p>
        </w:tc>
        <w:tc>
          <w:tcPr>
            <w:tcW w:w="35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May 6, 2022</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Miraglia</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Alan Weiner</w:t>
            </w:r>
          </w:p>
        </w:tc>
        <w:tc>
          <w:tcPr>
            <w:tcW w:w="35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May 6, 2022</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Alan Weiner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000"/>
          </w:cols>
          <w:pgMar w:left="320" w:top="455" w:right="5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State of Pennsylvania, on May 6,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UTAH ACQUISITION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of the undersigned officers and directors of Utah Acquisition Sub Inc., a Delaware corporation, hereby constitutes and appoints each of Sanjeev Narula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8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Goettler</w:t>
            </w: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President</w:t>
            </w:r>
          </w:p>
        </w:tc>
        <w:tc>
          <w:tcPr>
            <w:tcW w:w="14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May 6, 2022</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Goettler</w:t>
            </w:r>
          </w:p>
        </w:tc>
        <w:tc>
          <w:tcPr>
            <w:tcW w:w="4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Sanjeev Narula</w:t>
            </w: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Treasurer</w:t>
            </w:r>
          </w:p>
        </w:tc>
        <w:tc>
          <w:tcPr>
            <w:tcW w:w="14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May 6, 2022</w:t>
            </w:r>
          </w:p>
        </w:tc>
      </w:tr>
      <w:tr>
        <w:trPr>
          <w:trHeight w:val="176"/>
        </w:trPr>
        <w:tc>
          <w:tcPr>
            <w:tcW w:w="496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auto"/>
              </w:rPr>
              <w:t>Sanjeev Narula</w:t>
            </w:r>
          </w:p>
        </w:tc>
        <w:tc>
          <w:tcPr>
            <w:tcW w:w="4180" w:type="dxa"/>
            <w:vAlign w:val="bottom"/>
            <w:gridSpan w:val="3"/>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36"/>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Miraglia</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May 6, 2022</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Miraglia</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Alan Weiner</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May 6, 2022</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Alan Weiner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120"/>
          </w:cols>
          <w:pgMar w:left="320" w:top="455"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300"/>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Dated as of</w:t>
      </w:r>
      <w:r>
        <w:rPr>
          <w:sz w:val="20"/>
          <w:szCs w:val="20"/>
          <w:color w:val="auto"/>
        </w:rPr>
        <w:tab/>
      </w:r>
      <w:r>
        <w:rPr>
          <w:rFonts w:ascii="Times New Roman" w:cs="Times New Roman" w:eastAsia="Times New Roman" w:hAnsi="Times New Roman"/>
          <w:sz w:val="16"/>
          <w:szCs w:val="16"/>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BANK OF NEW YORK MELLON</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Trustee</w:t>
      </w:r>
    </w:p>
    <w:p>
      <w:pPr>
        <w:sectPr>
          <w:pgSz w:w="11900" w:h="16838" w:orient="portrait"/>
          <w:cols w:equalWidth="0" w:num="1">
            <w:col w:w="10020"/>
          </w:cols>
          <w:pgMar w:left="1440" w:top="117" w:right="439" w:bottom="1440" w:gutter="0" w:footer="0" w:header="0"/>
        </w:sectPr>
      </w:pPr>
    </w:p>
    <w:bookmarkStart w:id="60" w:name="page61"/>
    <w:bookmarkEnd w:id="60"/>
    <w:tbl>
      <w:tblPr>
        <w:tblLayout w:type="fixed"/>
        <w:tblInd w:w="4"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180" w:type="dxa"/>
            <w:vAlign w:val="bottom"/>
            <w:gridSpan w:val="3"/>
          </w:tcPr>
          <w:p>
            <w:pPr>
              <w:jc w:val="center"/>
              <w:ind w:right="2860"/>
              <w:spacing w:after="0"/>
              <w:rPr>
                <w:sz w:val="20"/>
                <w:szCs w:val="20"/>
                <w:color w:val="auto"/>
              </w:rPr>
            </w:pPr>
            <w:r>
              <w:rPr>
                <w:rFonts w:ascii="Times New Roman" w:cs="Times New Roman" w:eastAsia="Times New Roman" w:hAnsi="Times New Roman"/>
                <w:sz w:val="18"/>
                <w:szCs w:val="18"/>
                <w:color w:val="auto"/>
                <w:w w:val="99"/>
              </w:rPr>
              <w:t>Table Showing Reflection in Indenture of Certain</w:t>
            </w:r>
          </w:p>
        </w:tc>
      </w:tr>
      <w:tr>
        <w:trPr>
          <w:trHeight w:val="216"/>
        </w:trPr>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18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color w:val="auto"/>
                <w:w w:val="99"/>
              </w:rPr>
              <w:t>Provisions of Trust Indenture Act of 1939, as</w:t>
            </w:r>
          </w:p>
        </w:tc>
      </w:tr>
      <w:tr>
        <w:trPr>
          <w:trHeight w:val="234"/>
        </w:trPr>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18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color w:val="auto"/>
                <w:w w:val="99"/>
              </w:rPr>
              <w:t>amended*</w:t>
            </w:r>
          </w:p>
        </w:tc>
      </w:tr>
      <w:tr>
        <w:trPr>
          <w:trHeight w:val="256"/>
        </w:trPr>
        <w:tc>
          <w:tcPr>
            <w:tcW w:w="1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6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r>
      <w:tr>
        <w:trPr>
          <w:trHeight w:val="129"/>
        </w:trPr>
        <w:tc>
          <w:tcPr>
            <w:tcW w:w="17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318"/>
        </w:trPr>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80" w:type="dxa"/>
            <w:vAlign w:val="bottom"/>
            <w:gridSpan w:val="3"/>
          </w:tcPr>
          <w:p>
            <w:pPr>
              <w:jc w:val="center"/>
              <w:ind w:right="2860"/>
              <w:spacing w:after="0"/>
              <w:rPr>
                <w:sz w:val="20"/>
                <w:szCs w:val="20"/>
                <w:color w:val="auto"/>
              </w:rPr>
            </w:pPr>
            <w:r>
              <w:rPr>
                <w:rFonts w:ascii="Times New Roman" w:cs="Times New Roman" w:eastAsia="Times New Roman" w:hAnsi="Times New Roman"/>
                <w:sz w:val="18"/>
                <w:szCs w:val="18"/>
                <w:color w:val="auto"/>
                <w:w w:val="99"/>
              </w:rPr>
              <w:t>Reflected in Indenture</w:t>
            </w:r>
          </w:p>
        </w:tc>
      </w:tr>
      <w:tr>
        <w:trPr>
          <w:trHeight w:val="135"/>
        </w:trPr>
        <w:tc>
          <w:tcPr>
            <w:tcW w:w="17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662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85"/>
        </w:trPr>
        <w:tc>
          <w:tcPr>
            <w:tcW w:w="1720" w:type="dxa"/>
            <w:vAlign w:val="bottom"/>
            <w:tcBorders>
              <w:top w:val="single" w:sz="8" w:color="auto"/>
            </w:tcBorders>
          </w:tcPr>
          <w:p>
            <w:pPr>
              <w:ind w:left="360"/>
              <w:spacing w:after="0" w:line="185" w:lineRule="exact"/>
              <w:rPr>
                <w:sz w:val="20"/>
                <w:szCs w:val="20"/>
                <w:color w:val="auto"/>
              </w:rPr>
            </w:pPr>
            <w:r>
              <w:rPr>
                <w:rFonts w:ascii="Times New Roman" w:cs="Times New Roman" w:eastAsia="Times New Roman" w:hAnsi="Times New Roman"/>
                <w:sz w:val="18"/>
                <w:szCs w:val="18"/>
                <w:color w:val="auto"/>
              </w:rPr>
              <w:t>310 (a) (1)</w:t>
            </w:r>
          </w:p>
        </w:tc>
        <w:tc>
          <w:tcPr>
            <w:tcW w:w="11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4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6"/>
                <w:szCs w:val="16"/>
                <w:color w:val="auto"/>
              </w:rPr>
            </w:pP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(2)</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(3)</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(4)</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(5)</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7.03; 7.09</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311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312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313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 (1)</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 (2)</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314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4.03; 12.02; 12.04</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 (1)</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 (2)</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 (3)</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315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(1)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(1) (B)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(2)</w:t>
            </w:r>
          </w:p>
        </w:tc>
        <w:tc>
          <w:tcPr>
            <w:tcW w:w="66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316 (a) (last sentence)</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317 (a) (1)</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 (2)</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34"/>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318 (a)</w:t>
            </w:r>
          </w:p>
        </w:tc>
        <w:tc>
          <w:tcPr>
            <w:tcW w:w="8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 means not applicable.</w:t>
      </w:r>
    </w:p>
    <w:p>
      <w:pPr>
        <w:spacing w:after="0" w:line="27"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 Reference Table is not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4"/>
          </w:cols>
          <w:pgMar w:left="436" w:top="405" w:right="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90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2"/>
        </w:trPr>
        <w:tc>
          <w:tcPr>
            <w:tcW w:w="9040" w:type="dxa"/>
            <w:vAlign w:val="bottom"/>
            <w:vMerge w:val="restart"/>
          </w:tcPr>
          <w:p>
            <w:pPr>
              <w:jc w:val="center"/>
              <w:ind w:left="1310"/>
              <w:spacing w:after="0"/>
              <w:rPr>
                <w:sz w:val="20"/>
                <w:szCs w:val="20"/>
                <w:color w:val="auto"/>
              </w:rPr>
            </w:pPr>
            <w:r>
              <w:rPr>
                <w:rFonts w:ascii="Times New Roman" w:cs="Times New Roman" w:eastAsia="Times New Roman" w:hAnsi="Times New Roman"/>
                <w:sz w:val="18"/>
                <w:szCs w:val="18"/>
                <w:color w:val="auto"/>
                <w:w w:val="97"/>
              </w:rPr>
              <w:t>ARTICLE I</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904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 Other 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1.04. Incorporation by Reference of Trust Indenture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ARTICLE II</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THE SECURITIES</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2.01. Terms of the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 Amount Unlimited; Issuable in Series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2.03. Execution and Authentication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2.04. Forms of Certificate of Authentication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 Registrar and Paying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2.06. Paying Agent To Hold Money in Trust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2.07. Holder Lists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 Transfer and Exchange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 Replacement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 Outstanding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 Treasury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 Temporary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 Cancellation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2.14. Defaulted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2.15. Identifying Number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2.16. Deposit of Moneys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2.17. Global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2.18. Issuance of Additional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2.19. Computation of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2.20. Currency of Payments in Respect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2.21. Judgments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6"/>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7"/>
              </w:rPr>
              <w:t>ARTICLE III</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3.01. Applicability of Right of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3.02. Election To Redeem; Notices to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 Selection by Trustee of Securities To Be Redeemed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3.04. Notice of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3.05. Effect of Notice of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 Deposit of Redemption Price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3.07. Securities Redeemed in Part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6"/>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ARTICLE IV</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COVENANTS</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 Reports to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4.04. Additional Guarantees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4.05. Compliance Certificate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w:t>
            </w:r>
          </w:p>
        </w:tc>
        <w:tc>
          <w:tcPr>
            <w:tcW w:w="1580" w:type="dxa"/>
            <w:vAlign w:val="bottom"/>
          </w:tcPr>
          <w:p>
            <w:pPr>
              <w:spacing w:after="0"/>
              <w:rPr>
                <w:sz w:val="24"/>
                <w:szCs w:val="24"/>
                <w:color w:val="auto"/>
              </w:rPr>
            </w:pPr>
          </w:p>
        </w:tc>
      </w:tr>
      <w:tr>
        <w:trPr>
          <w:trHeight w:val="234"/>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SUCCESSORS</w:t>
            </w:r>
          </w:p>
        </w:tc>
        <w:tc>
          <w:tcPr>
            <w:tcW w:w="1580" w:type="dxa"/>
            <w:vAlign w:val="bottom"/>
          </w:tcPr>
          <w:p>
            <w:pPr>
              <w:spacing w:after="0"/>
              <w:rPr>
                <w:sz w:val="20"/>
                <w:szCs w:val="20"/>
                <w:color w:val="auto"/>
              </w:rPr>
            </w:pPr>
          </w:p>
        </w:tc>
      </w:tr>
      <w:tr>
        <w:trPr>
          <w:trHeight w:val="32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5.01. Consolidation, Merger and Sale of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ARTICLE VI</w:t>
            </w:r>
          </w:p>
        </w:tc>
        <w:tc>
          <w:tcPr>
            <w:tcW w:w="1580" w:type="dxa"/>
            <w:vAlign w:val="bottom"/>
          </w:tcPr>
          <w:p>
            <w:pPr>
              <w:spacing w:after="0"/>
              <w:rPr>
                <w:sz w:val="24"/>
                <w:szCs w:val="24"/>
                <w:color w:val="auto"/>
              </w:rPr>
            </w:pPr>
          </w:p>
        </w:tc>
      </w:tr>
      <w:tr>
        <w:trPr>
          <w:trHeight w:val="234"/>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1580" w:type="dxa"/>
            <w:vAlign w:val="bottom"/>
          </w:tcPr>
          <w:p>
            <w:pPr>
              <w:spacing w:after="0"/>
              <w:rPr>
                <w:sz w:val="20"/>
                <w:szCs w:val="20"/>
                <w:color w:val="auto"/>
              </w:rPr>
            </w:pPr>
          </w:p>
        </w:tc>
      </w:tr>
      <w:tr>
        <w:trPr>
          <w:trHeight w:val="30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6.02. Acceleration of Maturity; Rescission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6.03. Other Remedies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6.04. Waiver of Past Defaults and Events of Default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6.07. Rights of Holders To Receive Payment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6.10. Priorities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6.12. Delay or Omission Not Waiver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VII</w:t>
            </w:r>
          </w:p>
        </w:tc>
        <w:tc>
          <w:tcPr>
            <w:tcW w:w="1580" w:type="dxa"/>
            <w:vAlign w:val="bottom"/>
          </w:tcPr>
          <w:p>
            <w:pPr>
              <w:spacing w:after="0"/>
              <w:rPr>
                <w:sz w:val="24"/>
                <w:szCs w:val="24"/>
                <w:color w:val="auto"/>
              </w:rPr>
            </w:pPr>
          </w:p>
        </w:tc>
      </w:tr>
      <w:tr>
        <w:trPr>
          <w:trHeight w:val="234"/>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spacing w:after="0"/>
              <w:rPr>
                <w:sz w:val="20"/>
                <w:szCs w:val="20"/>
                <w:color w:val="auto"/>
              </w:rPr>
            </w:pPr>
          </w:p>
        </w:tc>
      </w:tr>
      <w:tr>
        <w:trPr>
          <w:trHeight w:val="30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7.04. Trustee’s Disclaimer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7.06. Compensation and Indemnity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7.07. Replacement of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7.08. Successor Trustee by Consolidation, Merger, etc.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7.09. Eligibility; Disqualification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7.10. Reports by Trustee to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7.11. Preferential Collection of Claims Against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7.12. Appointment of Authenticating Agent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ARTICLE VIII</w:t>
            </w:r>
          </w:p>
        </w:tc>
        <w:tc>
          <w:tcPr>
            <w:tcW w:w="1580" w:type="dxa"/>
            <w:vAlign w:val="bottom"/>
          </w:tcPr>
          <w:p>
            <w:pPr>
              <w:spacing w:after="0"/>
              <w:rPr>
                <w:sz w:val="24"/>
                <w:szCs w:val="24"/>
                <w:color w:val="auto"/>
              </w:rPr>
            </w:pPr>
          </w:p>
        </w:tc>
      </w:tr>
      <w:tr>
        <w:trPr>
          <w:trHeight w:val="234"/>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1580" w:type="dxa"/>
            <w:vAlign w:val="bottom"/>
          </w:tcPr>
          <w:p>
            <w:pPr>
              <w:spacing w:after="0"/>
              <w:rPr>
                <w:sz w:val="20"/>
                <w:szCs w:val="20"/>
                <w:color w:val="auto"/>
              </w:rPr>
            </w:pPr>
          </w:p>
        </w:tc>
      </w:tr>
      <w:tr>
        <w:trPr>
          <w:trHeight w:val="30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8.01. Without Consent of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8.02. With Consent of 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8.03. Revocation and Effect of Consents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8.04. Notation on or Exchange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8.05. Trustee To Sign Amendments, etc.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8.06. Compliance with Trust Indenture Act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8.07. Effect of Execution of Supplemental Indenture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ARTICLE IX</w:t>
            </w:r>
          </w:p>
        </w:tc>
        <w:tc>
          <w:tcPr>
            <w:tcW w:w="1580" w:type="dxa"/>
            <w:vAlign w:val="bottom"/>
          </w:tcPr>
          <w:p>
            <w:pPr>
              <w:spacing w:after="0"/>
              <w:rPr>
                <w:sz w:val="24"/>
                <w:szCs w:val="24"/>
                <w:color w:val="auto"/>
              </w:rPr>
            </w:pPr>
          </w:p>
        </w:tc>
      </w:tr>
      <w:tr>
        <w:trPr>
          <w:trHeight w:val="234"/>
        </w:trPr>
        <w:tc>
          <w:tcPr>
            <w:tcW w:w="93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SATISFACTION AND DISCHARGE OF INDENTURE; DEFEASANCE</w:t>
            </w:r>
          </w:p>
        </w:tc>
        <w:tc>
          <w:tcPr>
            <w:tcW w:w="1580" w:type="dxa"/>
            <w:vAlign w:val="bottom"/>
          </w:tcPr>
          <w:p>
            <w:pPr>
              <w:spacing w:after="0"/>
              <w:rPr>
                <w:sz w:val="20"/>
                <w:szCs w:val="20"/>
                <w:color w:val="auto"/>
              </w:rPr>
            </w:pPr>
          </w:p>
        </w:tc>
      </w:tr>
      <w:tr>
        <w:trPr>
          <w:trHeight w:val="32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Section 9.01. Applicability of Article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4"/>
        </w:trPr>
        <w:tc>
          <w:tcPr>
            <w:tcW w:w="93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iii</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3" w:name="page64"/>
    <w:bookmarkEnd w:id="63"/>
    <w:tbl>
      <w:tblPr>
        <w:tblLayout w:type="fixed"/>
        <w:tblInd w:w="0" w:type="dxa"/>
        <w:tblCellMar>
          <w:top w:w="0" w:type="dxa"/>
          <w:left w:w="0" w:type="dxa"/>
          <w:bottom w:w="0" w:type="dxa"/>
          <w:right w:w="0" w:type="dxa"/>
        </w:tblCellMar>
      </w:tblP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9.02. Satisfaction and Discharge of Liability on Securities;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9.03. Conditions to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9.04. Deposited Money and U.S. Government Obligations To Be Held in Trust; Other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9.05. 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9.06. Moneys Held by Paying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9.07. Moneys Held by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9.08. Deposits of Non-U.S. Currencies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97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X</w:t>
            </w:r>
          </w:p>
        </w:tc>
        <w:tc>
          <w:tcPr>
            <w:tcW w:w="1260" w:type="dxa"/>
            <w:vAlign w:val="bottom"/>
          </w:tcPr>
          <w:p>
            <w:pPr>
              <w:spacing w:after="0"/>
              <w:rPr>
                <w:sz w:val="24"/>
                <w:szCs w:val="24"/>
                <w:color w:val="auto"/>
              </w:rPr>
            </w:pPr>
          </w:p>
        </w:tc>
      </w:tr>
      <w:tr>
        <w:trPr>
          <w:trHeight w:val="234"/>
        </w:trPr>
        <w:tc>
          <w:tcPr>
            <w:tcW w:w="97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GUARANTEES</w:t>
            </w:r>
          </w:p>
        </w:tc>
        <w:tc>
          <w:tcPr>
            <w:tcW w:w="1260" w:type="dxa"/>
            <w:vAlign w:val="bottom"/>
          </w:tcPr>
          <w:p>
            <w:pPr>
              <w:spacing w:after="0"/>
              <w:rPr>
                <w:sz w:val="20"/>
                <w:szCs w:val="20"/>
                <w:color w:val="auto"/>
              </w:rPr>
            </w:pPr>
          </w:p>
        </w:tc>
      </w:tr>
      <w:tr>
        <w:trPr>
          <w:trHeight w:val="30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Guarantees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 Severability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 Limitation of Liability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10.04. Contribution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10.05. Subrogation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10.06. 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10.07. Release of a Guarantor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10.08. Benefits Acknowledged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97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ARTICLE XI</w:t>
            </w:r>
          </w:p>
        </w:tc>
        <w:tc>
          <w:tcPr>
            <w:tcW w:w="1260" w:type="dxa"/>
            <w:vAlign w:val="bottom"/>
          </w:tcPr>
          <w:p>
            <w:pPr>
              <w:spacing w:after="0"/>
              <w:rPr>
                <w:sz w:val="24"/>
                <w:szCs w:val="24"/>
                <w:color w:val="auto"/>
              </w:rPr>
            </w:pPr>
          </w:p>
        </w:tc>
      </w:tr>
      <w:tr>
        <w:trPr>
          <w:trHeight w:val="234"/>
        </w:trPr>
        <w:tc>
          <w:tcPr>
            <w:tcW w:w="97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SINKING FUNDS</w:t>
            </w:r>
          </w:p>
        </w:tc>
        <w:tc>
          <w:tcPr>
            <w:tcW w:w="1260" w:type="dxa"/>
            <w:vAlign w:val="bottom"/>
          </w:tcPr>
          <w:p>
            <w:pPr>
              <w:spacing w:after="0"/>
              <w:rPr>
                <w:sz w:val="20"/>
                <w:szCs w:val="20"/>
                <w:color w:val="auto"/>
              </w:rPr>
            </w:pPr>
          </w:p>
        </w:tc>
      </w:tr>
      <w:tr>
        <w:trPr>
          <w:trHeight w:val="30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Applicability of Sinking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 Mandatory Sinking Fund Obligation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 Optional Redemption at Sinking Fund Redemption Price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 Application of Sinking Fund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97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ARTICLE XII</w:t>
            </w:r>
          </w:p>
        </w:tc>
        <w:tc>
          <w:tcPr>
            <w:tcW w:w="1260" w:type="dxa"/>
            <w:vAlign w:val="bottom"/>
          </w:tcPr>
          <w:p>
            <w:pPr>
              <w:spacing w:after="0"/>
              <w:rPr>
                <w:sz w:val="24"/>
                <w:szCs w:val="24"/>
                <w:color w:val="auto"/>
              </w:rPr>
            </w:pPr>
          </w:p>
        </w:tc>
      </w:tr>
      <w:tr>
        <w:trPr>
          <w:trHeight w:val="234"/>
        </w:trPr>
        <w:tc>
          <w:tcPr>
            <w:tcW w:w="97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MISCELLANEOUS</w:t>
            </w:r>
          </w:p>
        </w:tc>
        <w:tc>
          <w:tcPr>
            <w:tcW w:w="1260" w:type="dxa"/>
            <w:vAlign w:val="bottom"/>
          </w:tcPr>
          <w:p>
            <w:pPr>
              <w:spacing w:after="0"/>
              <w:rPr>
                <w:sz w:val="20"/>
                <w:szCs w:val="20"/>
                <w:color w:val="auto"/>
              </w:rPr>
            </w:pPr>
          </w:p>
        </w:tc>
      </w:tr>
      <w:tr>
        <w:trPr>
          <w:trHeight w:val="30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12.01. Trust Indenture Act Controls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12.02. Notices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12.03. Certificate and Opinion as to Conditions Precedent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12.04. Statements Required in Certificate and Opinion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12.05. Communications by Holders with Other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12.06. Rules by Trustee and Agents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12.07. No Personal Liability of Directors, Officers, Employees and Stockholders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12.08. Governing Law; Waiver of Jury Trial; Jurisdiction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12.09. No Adverse Interpretation of Other Agreements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12.10. Successors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12.11. Separability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12.12. Counterpart Originals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12.13. Table of Contents, Headings,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12.14. Benefits of Indenture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Section 12.15. Electronic Delivery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NOTATION OF GUARANTEE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64" w:name="page65"/>
    <w:bookmarkEnd w:id="64"/>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 among Viatris Inc., a Delaware corporation, as issuer, the Guarantors (as defined in Section 1.01) and The Bank of New York Mellon, a New York banking corporation, as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the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1.01. Definitions.</w:t>
      </w:r>
    </w:p>
    <w:p>
      <w:pPr>
        <w:spacing w:after="0" w:line="117"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Securities</w:t>
      </w:r>
      <w:r>
        <w:rPr>
          <w:rFonts w:ascii="Times New Roman" w:cs="Times New Roman" w:eastAsia="Times New Roman" w:hAnsi="Times New Roman"/>
          <w:sz w:val="18"/>
          <w:szCs w:val="18"/>
          <w:color w:val="auto"/>
        </w:rPr>
        <w:t>” means, with respect to a series of Securities, additional Securities of such series (other than the Initial Securities of such series) issued hereunder from time to time in accordance with Sections 2.02 and 2.18, as part of the same or a different series as the Initial Securities of such series.</w:t>
      </w:r>
    </w:p>
    <w:p>
      <w:pPr>
        <w:spacing w:after="0" w:line="17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co-Registrar or Paying Agent.</w:t>
      </w:r>
    </w:p>
    <w:p>
      <w:pPr>
        <w:spacing w:after="0" w:line="225"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w:t>
      </w:r>
      <w:r>
        <w:rPr>
          <w:rFonts w:ascii="Times New Roman" w:cs="Times New Roman" w:eastAsia="Times New Roman" w:hAnsi="Times New Roman"/>
          <w:sz w:val="18"/>
          <w:szCs w:val="18"/>
          <w:color w:val="auto"/>
        </w:rPr>
        <w:t>” means amend, modify, supplement, restate or amend and restate, including successively; and “</w:t>
      </w:r>
      <w:r>
        <w:rPr>
          <w:rFonts w:ascii="Times New Roman" w:cs="Times New Roman" w:eastAsia="Times New Roman" w:hAnsi="Times New Roman"/>
          <w:sz w:val="18"/>
          <w:szCs w:val="18"/>
          <w:i w:val="1"/>
          <w:iCs w:val="1"/>
          <w:color w:val="auto"/>
        </w:rPr>
        <w:t>amending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amended</w:t>
      </w:r>
      <w:r>
        <w:rPr>
          <w:rFonts w:ascii="Times New Roman" w:cs="Times New Roman" w:eastAsia="Times New Roman" w:hAnsi="Times New Roman"/>
          <w:sz w:val="18"/>
          <w:szCs w:val="18"/>
          <w:color w:val="auto"/>
        </w:rPr>
        <w:t>” have correlative meanings.</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Receivables Indebtedness</w:t>
      </w:r>
      <w:r>
        <w:rPr>
          <w:rFonts w:ascii="Times New Roman" w:cs="Times New Roman" w:eastAsia="Times New Roman" w:hAnsi="Times New Roman"/>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United States Code, or any similar U.S. Federal or state law, the Netherlands Bankruptcy 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 or law of any other jurisdiction relating to bankruptcy, insolvency, winding-up, liquidation, reorganization or relief of debtors.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in the place of payment for a series of Securities are authorized or obligated by law or executive order to close.</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Obligations</w:t>
      </w:r>
      <w:r>
        <w:rPr>
          <w:rFonts w:ascii="Times New Roman" w:cs="Times New Roman" w:eastAsia="Times New Roman" w:hAnsi="Times New Roman"/>
          <w:sz w:val="18"/>
          <w:szCs w:val="18"/>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Indenture, the amount of such obligations at any time shall be the capitalized amount thereof at such time determined in accordance with GAAP.</w:t>
      </w:r>
    </w:p>
    <w:p>
      <w:pPr>
        <w:sectPr>
          <w:pgSz w:w="11900" w:h="16838" w:orient="portrait"/>
          <w:cols w:equalWidth="0" w:num="1">
            <w:col w:w="10980"/>
          </w:cols>
          <w:pgMar w:left="440" w:top="270" w:right="479" w:bottom="1440" w:gutter="0" w:footer="0" w:header="0"/>
        </w:sectPr>
      </w:pPr>
    </w:p>
    <w:bookmarkStart w:id="65" w:name="page66"/>
    <w:bookmarkEnd w:id="65"/>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Commodity Price Protection Agreement</w:t>
      </w:r>
      <w:r>
        <w:rPr>
          <w:rFonts w:ascii="Times New Roman" w:cs="Times New Roman" w:eastAsia="Times New Roman" w:hAnsi="Times New Roman"/>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Viatris Inc., a Delaware corporation, until a successor replaces it in accordance with the applicable provisions of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thereafter means the successor serving hereunder and any and all successors thereto hereunder.</w:t>
      </w:r>
    </w:p>
    <w:p>
      <w:pPr>
        <w:spacing w:after="0" w:line="158"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request or order signed in the name of the Company by its chairman or executive chairman, as applicable, of the Board of Directors, its chief executive officer or chief financial officer, its president or a vice president, a treasurer, an assistant treasurer, its controller, an assistant controller, its secretary or an assistant secretary, or any other officer designated in an Officer’s Certificate, and delivered to the Trustee.</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Company’s Indenture Obligations</w:t>
      </w:r>
      <w:r>
        <w:rPr>
          <w:rFonts w:ascii="Times New Roman" w:cs="Times New Roman" w:eastAsia="Times New Roman" w:hAnsi="Times New Roman"/>
          <w:sz w:val="18"/>
          <w:szCs w:val="18"/>
          <w:color w:val="auto"/>
        </w:rPr>
        <w:t>” means, with respect to any series of Securities, the Obligations with respect to the Securities of such series of the Company and any other obligor under this Indenture or under the Securities of such series to pay principal, premium, if any, and interest when due and payable, and all other amounts due or to become due, under or in connection with this Indenture and the Securities of such series, and the performance of all other Obligations with respect to the Securities of such series, to the Trustee and to the Holders of the Securities of such series under this Indenture and the Securities of such series, in each case according to the respective terms thereof.</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in Pittsburgh, Pennsylvania shall be principally administered, which office as of the date of this Indenture is located at 500 Ross Street,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Pittsburgh, PA 15262, Attention: BNY Mellon Client Service Center—Viatris Inc., or such other address as the Trustee may designate from time to time by notice to the Holders and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includes corporations, associations, companies (including any limited liability company), business trusts and limited partnerships.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means U.S. Dollars or any Foreign Currency.</w:t>
      </w:r>
    </w:p>
    <w:p>
      <w:pPr>
        <w:spacing w:after="0" w:line="225"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Currency Agreement</w:t>
      </w:r>
      <w:r>
        <w:rPr>
          <w:rFonts w:ascii="Times New Roman" w:cs="Times New Roman" w:eastAsia="Times New Roman" w:hAnsi="Times New Roman"/>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7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interim receiver, receiver and manager, trustee, assignee, liquidator, custodian, curator or similar official under any Bankruptcy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issued in the form of one or more Global Securities, the Person designated as the Depositary by the Company pursuant to Section 2.02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8" w:right="47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Subsidiary that is not a Foreign Subsidiary.</w:t>
      </w:r>
    </w:p>
    <w:p>
      <w:pPr>
        <w:spacing w:after="0" w:line="225" w:lineRule="exact"/>
        <w:rPr>
          <w:sz w:val="20"/>
          <w:szCs w:val="20"/>
          <w:color w:val="auto"/>
        </w:rPr>
      </w:pPr>
    </w:p>
    <w:p>
      <w:pPr>
        <w:jc w:val="both"/>
        <w:ind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Electronic Means</w:t>
      </w:r>
      <w:r>
        <w:rPr>
          <w:rFonts w:ascii="Times New Roman" w:cs="Times New Roman" w:eastAsia="Times New Roman" w:hAnsi="Times New Roman"/>
          <w:sz w:val="18"/>
          <w:szCs w:val="18"/>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by the Commission thereunder.</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80"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 currency issued by the government of any country other than the United States or a composite currency, the value of which is determined by reference to the values of the currencies of any group of countries.</w:t>
      </w:r>
    </w:p>
    <w:p>
      <w:pPr>
        <w:spacing w:after="0" w:line="15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80"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means any Security that evidences all or part of a series of Securities, issued in fully-registered certificated form to the Depositary for such series in accordance with Section 2.17 and bearing the legend prescribed in Section 2.17(a).</w:t>
      </w:r>
    </w:p>
    <w:p>
      <w:pPr>
        <w:spacing w:after="0" w:line="15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and any obligation, direct or indirect, contingent or otherwise, of such Person:</w:t>
      </w:r>
    </w:p>
    <w:p>
      <w:pPr>
        <w:spacing w:after="0" w:line="99" w:lineRule="exact"/>
        <w:rPr>
          <w:sz w:val="20"/>
          <w:szCs w:val="20"/>
          <w:color w:val="auto"/>
        </w:rPr>
      </w:pPr>
    </w:p>
    <w:p>
      <w:pPr>
        <w:ind w:left="440" w:right="100" w:firstLine="419"/>
        <w:spacing w:after="0" w:line="266"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against loss in respect thereof (in whole or in part);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“Guarantee” shall not include:</w:t>
      </w:r>
    </w:p>
    <w:p>
      <w:pPr>
        <w:spacing w:after="0" w:line="133"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for collection or deposit in the ordinary course of business;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contractual commitment by one Person to invest in another Person.</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used as a verb has a corresponding meaning. The term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xml:space="preserve">” means (i) initially on the execution of this Indenture, each of the entities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attached hereto, and (ii) any other Subsidiary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7" w:name="page68"/>
    <w:bookmarkEnd w:id="67"/>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that Guarantees the Company’s Indenture Obligations from time to time, in each case during such periods that such entity Guarantees the Company’s Indenture Obligations in accordance with the terms of this Indenture.</w:t>
      </w:r>
    </w:p>
    <w:p>
      <w:pPr>
        <w:spacing w:after="0" w:line="160"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the Person in whose name a Security is registered on the Security register.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119" w:lineRule="exact"/>
        <w:rPr>
          <w:sz w:val="20"/>
          <w:szCs w:val="20"/>
          <w:color w:val="auto"/>
        </w:rPr>
      </w:pPr>
    </w:p>
    <w:p>
      <w:pPr>
        <w:jc w:val="both"/>
        <w:ind w:left="440" w:right="220" w:firstLine="419"/>
        <w:spacing w:after="0" w:line="266"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Lease Obligations of such Person and all Attributable Debt in respect of Sale Leaseback Transactions entered into by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98" w:lineRule="exact"/>
        <w:rPr>
          <w:rFonts w:ascii="Times New Roman" w:cs="Times New Roman" w:eastAsia="Times New Roman" w:hAnsi="Times New Roman"/>
          <w:sz w:val="18"/>
          <w:szCs w:val="18"/>
          <w:color w:val="auto"/>
        </w:rPr>
      </w:pPr>
    </w:p>
    <w:p>
      <w:pPr>
        <w:jc w:val="both"/>
        <w:ind w:left="440" w:right="480" w:firstLine="419"/>
        <w:spacing w:after="0" w:line="266"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the reimbursement of any obligor on any letter of credit, bankers’ acceptance or similar credit transaction (other than obligations with respect to letters of credit securing 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Hedging Obligations of such Person;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Receivables Indebtedness;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67"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1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in connection with the purchase by the Company or any Subsidiary of the Company of any business, the term “Indebtedness”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within 60 days thereafter.</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amount of Indebtedness of any Person at any date shall be the outstanding balance at such date of all obligations as described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 Indebtedness sold at a discount, the amount of such Indebtedness at any time will be the accreted value thereof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time.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8" w:name="page69"/>
    <w:bookmarkEnd w:id="6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TIA that are deemed to be a part of and govern this instrument and any such supplemental indenture, respectively. The term “Indenture” shall also include the terms of particular series of Securities established as contemplated by Section 2.02;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2.02,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8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Individual Securities</w:t>
      </w:r>
      <w:r>
        <w:rPr>
          <w:rFonts w:ascii="Times New Roman" w:cs="Times New Roman" w:eastAsia="Times New Roman" w:hAnsi="Times New Roman"/>
          <w:sz w:val="18"/>
          <w:szCs w:val="18"/>
          <w:color w:val="auto"/>
        </w:rPr>
        <w:t>” means a Security that is substantially in the form attached to the supplemental indenture or Company Order authorizing such Security and that is not a Global Security.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means, for a series of Securities, the first Securities of such series issued under this Indenture.</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means, unless the context otherwise requires, interest payable on any Securities, and with respect to an Original Issue Discount Security that by its terms bears interest only after the Maturity Date, interest payable after the Maturity Date.</w:t>
      </w:r>
    </w:p>
    <w:p>
      <w:pPr>
        <w:spacing w:after="0" w:line="15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means, with respect to any Securities, the date specified in such Securities for the payment of any installment of interest on those Securities.</w:t>
      </w:r>
    </w:p>
    <w:p>
      <w:pPr>
        <w:spacing w:after="0" w:line="158"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with respect to a series of Securities, the date on which such Securities are initially issued.</w:t>
      </w:r>
    </w:p>
    <w:p>
      <w:pPr>
        <w:spacing w:after="0" w:line="225"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58"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 Date</w:t>
      </w:r>
      <w:r>
        <w:rPr>
          <w:rFonts w:ascii="Times New Roman" w:cs="Times New Roman" w:eastAsia="Times New Roman" w:hAnsi="Times New Roman"/>
          <w:sz w:val="18"/>
          <w:szCs w:val="18"/>
          <w:color w:val="auto"/>
        </w:rPr>
        <w:t>,” when used with respect to any Security, means the date on which the principal amount of such Security becomes due and payable as therein or herein provided.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Mylan Indentures</w:t>
      </w:r>
      <w:r>
        <w:rPr>
          <w:rFonts w:ascii="Times New Roman" w:cs="Times New Roman" w:eastAsia="Times New Roman" w:hAnsi="Times New Roman"/>
          <w:sz w:val="18"/>
          <w:szCs w:val="18"/>
          <w:color w:val="auto"/>
        </w:rPr>
        <w:t>” means the following:</w:t>
      </w:r>
    </w:p>
    <w:p>
      <w:pPr>
        <w:spacing w:after="0" w:line="119" w:lineRule="exact"/>
        <w:rPr>
          <w:sz w:val="20"/>
          <w:szCs w:val="20"/>
          <w:color w:val="auto"/>
        </w:rPr>
      </w:pPr>
    </w:p>
    <w:p>
      <w:pPr>
        <w:ind w:left="440" w:right="520" w:firstLine="419"/>
        <w:spacing w:after="0" w:line="282" w:lineRule="auto"/>
        <w:tabs>
          <w:tab w:leader="none" w:pos="11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December 21, 2012, among Mylan Inc., as issuer, the subsidiaries party thereto, and The Bank of New York Mellon, as trustee;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8" w:right="499" w:bottom="1440" w:gutter="0" w:footer="0" w:header="0"/>
        </w:sectPr>
      </w:pPr>
    </w:p>
    <w:bookmarkStart w:id="69" w:name="page70"/>
    <w:bookmarkEnd w:id="69"/>
    <w:p>
      <w:pPr>
        <w:ind w:right="30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supplemental indenture dated as of February 27, 2015, among Mylan Inc., as issuer, Mylan N.V., as guarantor, and The Bank of New York Mellon, as trustee, to the indenture dated as of December 21, 2012;</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supplemental indenture dated as of March 12, 2015, among Mylan Inc., as issuer, Mylan N.V., as parent, and The Bank of New York Mellon, as trustee, to the indenture dated as of December 21, 2012;</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supplemental indenture dated as of November 16, 2020, among Mylan Inc., Viatris Inc., Utah Acquisition Sub Inc., Mylan II B.V. and The Bank of New York Mellon, as trustee, to the indenture dated as of December 21, 2012;</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November 29, 2013, between Mylan Inc., as issuer, and The Bank of New York Mellon, as trustee;</w:t>
      </w:r>
    </w:p>
    <w:p>
      <w:pPr>
        <w:spacing w:after="0" w:line="117" w:lineRule="exact"/>
        <w:rPr>
          <w:rFonts w:ascii="Times New Roman" w:cs="Times New Roman" w:eastAsia="Times New Roman" w:hAnsi="Times New Roman"/>
          <w:sz w:val="18"/>
          <w:szCs w:val="18"/>
          <w:color w:val="auto"/>
        </w:rPr>
      </w:pPr>
    </w:p>
    <w:p>
      <w:pPr>
        <w:ind w:right="40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29, 2013, between Mylan Inc., as issuer, and The Bank of New York Mellon, as trustee, to the indenture dated as of November 29, 2013;</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supplemental indenture dated as of March 12, 2015, among Mylan Inc., as issuer, Mylan N.V., as parent, and The Bank of New York Mellon, as trustee, to the indenture dated as of November 29, 2013;</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supplemental indenture dated as of November 16, 2020, among Mylan Inc., Viatris Inc., Utah Acquisition Sub Inc., Mylan II B.V. and The Bank of New York Mellon, as trustee, to the indenture dated as of November 29, 2013;</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June 9, 2016, among Mylan N.V., as issuer, Mylan Inc., as guarantor, and The Bank of New York Mellon,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98" w:lineRule="exact"/>
        <w:rPr>
          <w:rFonts w:ascii="Times New Roman" w:cs="Times New Roman" w:eastAsia="Times New Roman" w:hAnsi="Times New Roman"/>
          <w:sz w:val="18"/>
          <w:szCs w:val="18"/>
          <w:color w:val="auto"/>
        </w:rPr>
      </w:pPr>
    </w:p>
    <w:p>
      <w:pPr>
        <w:ind w:right="80" w:firstLine="419"/>
        <w:spacing w:after="0" w:line="282" w:lineRule="auto"/>
        <w:tabs>
          <w:tab w:leader="none" w:pos="7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among Viatris Inc., Utah Acquisition Sub Inc., Mylan II B.V., Mylan Inc. and The Bank of New York Mellon, as trustee, to the indenture dated as of June 9, 2016;</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November 22, 2016, among Mylan N.V., as issuer, Mylan Inc., as guarantor, and Citibank, N.A., London Branch,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trustee;</w:t>
      </w:r>
    </w:p>
    <w:p>
      <w:pPr>
        <w:spacing w:after="0" w:line="98" w:lineRule="exact"/>
        <w:rPr>
          <w:rFonts w:ascii="Times New Roman" w:cs="Times New Roman" w:eastAsia="Times New Roman" w:hAnsi="Times New Roman"/>
          <w:sz w:val="18"/>
          <w:szCs w:val="18"/>
          <w:color w:val="auto"/>
        </w:rPr>
      </w:pPr>
    </w:p>
    <w:p>
      <w:pPr>
        <w:ind w:right="60" w:firstLine="419"/>
        <w:spacing w:after="0" w:line="282" w:lineRule="auto"/>
        <w:tabs>
          <w:tab w:leader="none" w:pos="7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among Viatris Inc., Utah Acquisition Sub Inc., Mylan II B.V., Mylan Inc. and Citibank, N.A., London Branch, as trustee, to the indenture dated as of November 22, 2016;</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April 9, 2018, among Mylan Inc., as issuer, Mylan N.V., as guarantor, and The Bank of New York Mellon,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98" w:lineRule="exact"/>
        <w:rPr>
          <w:rFonts w:ascii="Times New Roman" w:cs="Times New Roman" w:eastAsia="Times New Roman" w:hAnsi="Times New Roman"/>
          <w:sz w:val="18"/>
          <w:szCs w:val="18"/>
          <w:color w:val="auto"/>
        </w:rPr>
      </w:pPr>
    </w:p>
    <w:p>
      <w:pPr>
        <w:ind w:right="60" w:firstLine="419"/>
        <w:spacing w:after="0" w:line="282" w:lineRule="auto"/>
        <w:tabs>
          <w:tab w:leader="none" w:pos="7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among Mylan Inc., Viatris Inc., Utah Acquisition Sub Inc., Mylan II B.V. and The Bank of New York Mellon, as trustee, to the indenture dated as of April 9, 2018;</w:t>
      </w:r>
    </w:p>
    <w:p>
      <w:pPr>
        <w:spacing w:after="0" w:line="53" w:lineRule="exact"/>
        <w:rPr>
          <w:rFonts w:ascii="Times New Roman" w:cs="Times New Roman" w:eastAsia="Times New Roman" w:hAnsi="Times New Roman"/>
          <w:sz w:val="18"/>
          <w:szCs w:val="18"/>
          <w:color w:val="auto"/>
        </w:rPr>
      </w:pPr>
    </w:p>
    <w:p>
      <w:pPr>
        <w:ind w:right="300" w:firstLine="419"/>
        <w:spacing w:after="0" w:line="282" w:lineRule="auto"/>
        <w:tabs>
          <w:tab w:leader="none" w:pos="7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May 23, 2018, among Mylan Inc., as issuer, Mylan N.V., as guarantor, and Citibank, N.A., London Branch, as trustee; and</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7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among Mylan Inc., Viatris Inc., Utah Acquisition Sub Inc., Mylan II B.V. and Citibank, N.A., London Branch, as trustee, to the indenture dated as of May 23,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Mylan Notes</w:t>
      </w:r>
      <w:r>
        <w:rPr>
          <w:rFonts w:ascii="Times New Roman" w:cs="Times New Roman" w:eastAsia="Times New Roman" w:hAnsi="Times New Roman"/>
          <w:sz w:val="18"/>
          <w:szCs w:val="18"/>
          <w:color w:val="auto"/>
        </w:rPr>
        <w:t>” means any senior notes issued under the Mylan Indentures and that remain outstanding on the applicable Issue Date.</w:t>
      </w:r>
    </w:p>
    <w:p>
      <w:pPr>
        <w:spacing w:after="0" w:line="1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70" w:right="47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Notation of Guarantee</w:t>
      </w:r>
      <w:r>
        <w:rPr>
          <w:rFonts w:ascii="Times New Roman" w:cs="Times New Roman" w:eastAsia="Times New Roman" w:hAnsi="Times New Roman"/>
          <w:sz w:val="18"/>
          <w:szCs w:val="18"/>
          <w:color w:val="auto"/>
        </w:rPr>
        <w:t xml:space="preserve">” means a notation of guarantee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the president, the chief financial officer or any vice president, any treasurer, any assistant treasurer, the controller, the secretary or any assistant secretary of the specified Person.</w:t>
      </w:r>
    </w:p>
    <w:p>
      <w:pPr>
        <w:spacing w:after="0" w:line="158"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which meets the requirements of Section 12.03,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7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which meets the requirements of Section 12.03 from legal counsel, who is reasonably acceptable to the Trustee, delivered to the Trustee. The counsel may be an employee of or counsel to the Company, any Subsidiary of the Company or the Trustee.</w:t>
      </w:r>
    </w:p>
    <w:p>
      <w:pPr>
        <w:spacing w:after="0" w:line="158" w:lineRule="exact"/>
        <w:rPr>
          <w:sz w:val="20"/>
          <w:szCs w:val="20"/>
          <w:color w:val="auto"/>
        </w:rPr>
      </w:pPr>
    </w:p>
    <w:p>
      <w:pPr>
        <w:jc w:val="both"/>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Discount Security</w:t>
      </w:r>
      <w:r>
        <w:rPr>
          <w:rFonts w:ascii="Times New Roman" w:cs="Times New Roman" w:eastAsia="Times New Roman" w:hAnsi="Times New Roman"/>
          <w:sz w:val="18"/>
          <w:szCs w:val="18"/>
          <w:color w:val="auto"/>
        </w:rPr>
        <w:t>” means any Security that is issued with “original issue discount” within the meaning of Section 1273(a) of the Internal Revenue Code of 1986, as amended, and Treasury Regulations promulgated thereunder and any other Security designated by the Company as issued with original issue discount for United States federal income tax purposes.</w:t>
      </w:r>
    </w:p>
    <w:p>
      <w:pPr>
        <w:spacing w:after="0" w:line="173"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5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when used with respect to the Securities, means the place or places where the principal of (and premium, if any) and interest on the Securities are payable as specified as contemplated by Section 4.02.</w:t>
      </w:r>
    </w:p>
    <w:p>
      <w:pPr>
        <w:spacing w:after="0" w:line="15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without limitation, Capital Stock.</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Receivables Transaction</w:t>
      </w:r>
      <w:r>
        <w:rPr>
          <w:rFonts w:ascii="Times New Roman" w:cs="Times New Roman" w:eastAsia="Times New Roman" w:hAnsi="Times New Roman"/>
          <w:sz w:val="18"/>
          <w:szCs w:val="18"/>
          <w:color w:val="auto"/>
        </w:rPr>
        <w:t>” means any transaction or series of transactions that may be entered into by the Company or any of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pursuant to which the Company or any of its Subsidiaries may sell, convey or otherwise transfer to:</w:t>
      </w:r>
    </w:p>
    <w:p>
      <w:pPr>
        <w:spacing w:after="0" w:line="112"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Receivables Entity (in the case of a transfer by the Company or any of its Subsidiaries)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(in the case of a transfer by a Receivables Entity),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financing terms, covenants, termination events and other provisions thereof shall be market terms (as determined in good faith by the chief financial officer of the Company).</w:t>
      </w:r>
    </w:p>
    <w:p>
      <w:pPr>
        <w:spacing w:after="0" w:line="185"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Entity</w:t>
      </w:r>
      <w:r>
        <w:rPr>
          <w:rFonts w:ascii="Times New Roman" w:cs="Times New Roman" w:eastAsia="Times New Roman" w:hAnsi="Times New Roman"/>
          <w:sz w:val="18"/>
          <w:szCs w:val="18"/>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71" w:name="page72"/>
    <w:bookmarkEnd w:id="71"/>
    <w:p>
      <w:pPr>
        <w:ind w:left="1120" w:hanging="261"/>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portion of the Indebtedness or any other obligations (contingent or otherwise) of such entity:</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7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Guaranteed by the Company or any Subsidiary of the Company (excluding Guarantees of obligations (other than the principal of, and interest on, Indebtedness) pursuant to Standard Securitization Undertakings),</w:t>
      </w:r>
    </w:p>
    <w:p>
      <w:pPr>
        <w:spacing w:after="0" w:line="53" w:lineRule="exact"/>
        <w:rPr>
          <w:rFonts w:ascii="Times New Roman" w:cs="Times New Roman" w:eastAsia="Times New Roman" w:hAnsi="Times New Roman"/>
          <w:sz w:val="18"/>
          <w:szCs w:val="18"/>
          <w:color w:val="auto"/>
        </w:rPr>
      </w:pPr>
    </w:p>
    <w:p>
      <w:pPr>
        <w:ind w:left="980" w:right="760" w:firstLine="408"/>
        <w:spacing w:after="0" w:line="282" w:lineRule="auto"/>
        <w:tabs>
          <w:tab w:leader="none" w:pos="16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recourse to or obligates the Company or any Subsidiary of the Company in any way (other than pursuant to Standard Securitization Undertakings), or</w:t>
      </w:r>
    </w:p>
    <w:p>
      <w:pPr>
        <w:spacing w:after="0" w:line="53" w:lineRule="exact"/>
        <w:rPr>
          <w:rFonts w:ascii="Times New Roman" w:cs="Times New Roman" w:eastAsia="Times New Roman" w:hAnsi="Times New Roman"/>
          <w:sz w:val="18"/>
          <w:szCs w:val="18"/>
          <w:color w:val="auto"/>
        </w:rPr>
      </w:pPr>
    </w:p>
    <w:p>
      <w:pPr>
        <w:ind w:left="980" w:right="740" w:firstLine="408"/>
        <w:spacing w:after="0" w:line="282" w:lineRule="auto"/>
        <w:tabs>
          <w:tab w:leader="none" w:pos="16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any property or asset of the Company or any Subsidiary of the Company, directly or indirectly, contingently or otherwise, to the satisfaction thereof (other than pursuant to Standard Securitization Undertakings);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such designation shall be evidenced to the Trustee by filing with the Trustee an Officer’s Certificate certifying that such designation complied with the foregoing conditions.</w:t>
      </w:r>
    </w:p>
    <w:p>
      <w:pPr>
        <w:spacing w:after="0" w:line="160"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when used with respect to any Security to be redeemed pursuant to Article III of this Indenture, means the date fixed for such redemption pursuant to the terms of such Article III.</w:t>
      </w:r>
    </w:p>
    <w:p>
      <w:pPr>
        <w:spacing w:after="0" w:line="158"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 this Indenture.</w:t>
      </w:r>
    </w:p>
    <w:p>
      <w:pPr>
        <w:spacing w:after="0" w:line="158"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when used with respect to the Trustee, any officer of the Trustee within the Corporate Trust Division Corporate Finance Unit (or any successor unit) of the Trustee located at the Corporate Trust Office who has direct responsibility for the administration of this Indenture or any other officer of the Trustee to whom any corporate trust matter is referred because of such officer’s knowledge of and familiarity with the particular subject.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Leaseback Transaction</w:t>
      </w:r>
      <w:r>
        <w:rPr>
          <w:rFonts w:ascii="Times New Roman" w:cs="Times New Roman" w:eastAsia="Times New Roman" w:hAnsi="Times New Roman"/>
          <w:sz w:val="18"/>
          <w:szCs w:val="18"/>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80" w:lineRule="exact"/>
        <w:rPr>
          <w:sz w:val="20"/>
          <w:szCs w:val="20"/>
          <w:color w:val="auto"/>
        </w:rPr>
      </w:pPr>
    </w:p>
    <w:p>
      <w:pPr>
        <w:jc w:val="both"/>
        <w:ind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collectively, each series of debentures, notes, bonds or other evidences of indebtedness issued from time to time hereunder. The Securities issued under this Indenture include, for each series of Securities, the Initial Securities of such series and Additional Securities of such series, if any, unless the context otherwise requires.</w:t>
      </w:r>
    </w:p>
    <w:p>
      <w:pPr>
        <w:spacing w:after="0" w:line="173"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 by the Commission thereunder.</w:t>
      </w:r>
    </w:p>
    <w:p>
      <w:pPr>
        <w:spacing w:after="0" w:line="15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Custodian</w:t>
      </w:r>
      <w:r>
        <w:rPr>
          <w:rFonts w:ascii="Times New Roman" w:cs="Times New Roman" w:eastAsia="Times New Roman" w:hAnsi="Times New Roman"/>
          <w:sz w:val="18"/>
          <w:szCs w:val="18"/>
          <w:color w:val="auto"/>
        </w:rPr>
        <w:t>” means, with respect to any Global Security, the custodian appointed by the Depositary, or any successor Person thereto, and shall initially be the Paying Agent.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refers to each separate series of Securities issued under this Indenture.</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2" w:name="page73"/>
    <w:bookmarkEnd w:id="72"/>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58"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Company or any Subsidiary of the Company that, taken as a whole, are customary in an accounts receivable transaction.</w:t>
      </w:r>
    </w:p>
    <w:p>
      <w:pPr>
        <w:spacing w:after="0" w:line="158" w:lineRule="exact"/>
        <w:rPr>
          <w:sz w:val="20"/>
          <w:szCs w:val="20"/>
          <w:color w:val="auto"/>
        </w:rPr>
      </w:pPr>
    </w:p>
    <w:p>
      <w:pPr>
        <w:ind w:right="5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Stated Maturity</w:t>
      </w:r>
      <w:r>
        <w:rPr>
          <w:rFonts w:ascii="Times New Roman" w:cs="Times New Roman" w:eastAsia="Times New Roman" w:hAnsi="Times New Roman"/>
          <w:sz w:val="17"/>
          <w:szCs w:val="17"/>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firstLine="419"/>
        <w:spacing w:after="0" w:line="258"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that Person or one or more Subsidiaries of that Person (or any combination thereof).</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(15 U.S. Code §§ 77aaa-77bbbb).</w:t>
      </w:r>
    </w:p>
    <w:p>
      <w:pPr>
        <w:spacing w:after="0" w:line="225"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Triggering Indebtedness</w:t>
      </w:r>
      <w:r>
        <w:rPr>
          <w:rFonts w:ascii="Times New Roman" w:cs="Times New Roman" w:eastAsia="Times New Roman" w:hAnsi="Times New Roman"/>
          <w:sz w:val="18"/>
          <w:szCs w:val="18"/>
          <w:color w:val="auto"/>
        </w:rPr>
        <w:t>” means Indebtedness of the Company owed to a Person, other than the Company or any Subsidiary of the Company, that has an aggregate principal amount or committed amount in excess of $500.0 million.</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Bank of New York Mellon, a New York banking corporation, until a successor replaces it in accordance with the applicable provisions of this Indenture and thereafter means the successor serving hereunder.</w:t>
      </w:r>
    </w:p>
    <w:p>
      <w:pPr>
        <w:spacing w:after="0" w:line="15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8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means a Subsidiary of the Company of which the Company owns all of the Capital Stock, directly or indirectly, other than directors’ qualifying shares.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1.02. Other Definitions.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48"/>
        </w:trPr>
        <w:tc>
          <w:tcPr>
            <w:tcW w:w="358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3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3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2.17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“Authenticating Agent”</w:t>
            </w:r>
          </w:p>
        </w:tc>
        <w:tc>
          <w:tcPr>
            <w:tcW w:w="3900" w:type="dxa"/>
            <w:vAlign w:val="bottom"/>
            <w:gridSpan w:val="4"/>
          </w:tcPr>
          <w:p>
            <w:pPr>
              <w:ind w:left="35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346"/>
        </w:trPr>
        <w:tc>
          <w:tcPr>
            <w:tcW w:w="3580" w:type="dxa"/>
            <w:vAlign w:val="bottom"/>
          </w:tcPr>
          <w:p>
            <w:pPr>
              <w:spacing w:after="0"/>
              <w:rPr>
                <w:sz w:val="24"/>
                <w:szCs w:val="24"/>
                <w:color w:val="auto"/>
              </w:rPr>
            </w:pPr>
          </w:p>
        </w:tc>
        <w:tc>
          <w:tcPr>
            <w:tcW w:w="300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8" w:right="45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48"/>
        </w:trPr>
        <w:tc>
          <w:tcPr>
            <w:tcW w:w="6940" w:type="dxa"/>
            <w:vAlign w:val="bottom"/>
            <w:gridSpan w:val="2"/>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Officers”</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Currency”</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“Mandatory Sinking Fund Payment”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“Optional Sinking Fund Payment”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“Registrar”</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1.03. Rules of Construction.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“hereunder” and other words of similar import refer to this Indenture as a whole and not to any particular Article, Section or other subsection;</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and “United States Dollars” each refer to United States dollars, or such other money of the United States that at the time of payment is legal tender for payment of public and private debts;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Commission from time to time;</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2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Articles or Exhibits are references to Sections, Articles or Exhibits of or to this Indenture unless context otherwise requires;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2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payment of principal amount of Securities shall, in the case of Original Issue Discount Securities, be read as payment of such portion of principal amount as may be specified in the terms of such series.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1.04. Incorporation by Reference of Trust Indenture Act.</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51" w:right="45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securities” means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“indenture securityholder” means a 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“indenture to be qualified” means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“indenture trustee” or “institutional trustee” means the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“obligor on this indenture securities” means the Company or any other obligor on the Securities.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(other than those defined herein) that are defined by the TIA, defined in the TIA by reference to another statute or defined by Commission rule have the meanings therein assigned to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2.01. Terms of the Securities.</w:t>
      </w:r>
    </w:p>
    <w:p>
      <w:pPr>
        <w:spacing w:after="0" w:line="119" w:lineRule="exact"/>
        <w:rPr>
          <w:sz w:val="20"/>
          <w:szCs w:val="20"/>
          <w:color w:val="auto"/>
        </w:rPr>
      </w:pPr>
    </w:p>
    <w:p>
      <w:pPr>
        <w:ind w:right="40" w:firstLine="436"/>
        <w:spacing w:after="0" w:line="255"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80"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the Securities shall constitute, and are expressly made, a part of this Indenture, and, to the extent applicable, the Company, any Guarantors and the Trustee, by their execution and delivery of this Indenture, expressly agree to such terms and provisions and agree to be bound thereby.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2.02. Amount Unlimited; Issuable in Series.</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at or prior to the issuance of Securities of any series:</w:t>
      </w:r>
    </w:p>
    <w:p>
      <w:pPr>
        <w:spacing w:after="0" w:line="68" w:lineRule="exact"/>
        <w:rPr>
          <w:sz w:val="20"/>
          <w:szCs w:val="20"/>
          <w:color w:val="auto"/>
        </w:rPr>
      </w:pPr>
    </w:p>
    <w:p>
      <w:pPr>
        <w:ind w:right="120" w:firstLine="436"/>
        <w:spacing w:after="0" w:line="28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53" w:lineRule="exact"/>
        <w:rPr>
          <w:rFonts w:ascii="Times New Roman" w:cs="Times New Roman" w:eastAsia="Times New Roman" w:hAnsi="Times New Roman"/>
          <w:sz w:val="18"/>
          <w:szCs w:val="18"/>
          <w:color w:val="auto"/>
        </w:rPr>
      </w:pPr>
    </w:p>
    <w:p>
      <w:pPr>
        <w:ind w:right="460"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2.08, 2.09, 2.12, 2.17, 3.07 or 8.04);</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67" w:lineRule="exact"/>
        <w:rPr>
          <w:rFonts w:ascii="Times New Roman" w:cs="Times New Roman" w:eastAsia="Times New Roman" w:hAnsi="Times New Roman"/>
          <w:sz w:val="18"/>
          <w:szCs w:val="18"/>
          <w:color w:val="auto"/>
        </w:rPr>
      </w:pPr>
    </w:p>
    <w:p>
      <w:pPr>
        <w:ind w:right="200" w:firstLine="436"/>
        <w:spacing w:after="0" w:line="25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5" w:name="page76"/>
    <w:bookmarkEnd w:id="75"/>
    <w:p>
      <w:pPr>
        <w:ind w:right="40" w:firstLine="436"/>
        <w:spacing w:after="0" w:line="282"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53" w:lineRule="exact"/>
        <w:rPr>
          <w:rFonts w:ascii="Times New Roman" w:cs="Times New Roman" w:eastAsia="Times New Roman" w:hAnsi="Times New Roman"/>
          <w:sz w:val="18"/>
          <w:szCs w:val="18"/>
          <w:color w:val="auto"/>
        </w:rPr>
      </w:pPr>
    </w:p>
    <w:p>
      <w:pPr>
        <w:jc w:val="both"/>
        <w:ind w:right="340" w:firstLine="436"/>
        <w:spacing w:after="0" w:line="266"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67" w:lineRule="exact"/>
        <w:rPr>
          <w:rFonts w:ascii="Times New Roman" w:cs="Times New Roman" w:eastAsia="Times New Roman" w:hAnsi="Times New Roman"/>
          <w:sz w:val="18"/>
          <w:szCs w:val="18"/>
          <w:color w:val="auto"/>
        </w:rPr>
      </w:pPr>
    </w:p>
    <w:p>
      <w:pPr>
        <w:jc w:val="both"/>
        <w:ind w:firstLine="436"/>
        <w:spacing w:after="0" w:line="281" w:lineRule="auto"/>
        <w:tabs>
          <w:tab w:leader="none" w:pos="6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principal of, premium, if any, or interest on Securities of the series is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56" w:lineRule="exact"/>
        <w:rPr>
          <w:rFonts w:ascii="Times New Roman" w:cs="Times New Roman" w:eastAsia="Times New Roman" w:hAnsi="Times New Roman"/>
          <w:sz w:val="17"/>
          <w:szCs w:val="17"/>
          <w:color w:val="auto"/>
        </w:rPr>
      </w:pPr>
    </w:p>
    <w:p>
      <w:pPr>
        <w:ind w:right="300"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in addition to or instead of the Corporate Trust Office of the Trustee where the principal of, premium, if any, and interest on Securities of the series shall be payable, and where Securities of such series may be presented for registration of transfer, exchange or conversion, and the place or places where notices and demands to or upon the Company in respect of the Securities of such series may be made;</w:t>
      </w:r>
    </w:p>
    <w:p>
      <w:pPr>
        <w:spacing w:after="0" w:line="67" w:lineRule="exact"/>
        <w:rPr>
          <w:rFonts w:ascii="Times New Roman" w:cs="Times New Roman" w:eastAsia="Times New Roman" w:hAnsi="Times New Roman"/>
          <w:sz w:val="18"/>
          <w:szCs w:val="18"/>
          <w:color w:val="auto"/>
        </w:rPr>
      </w:pPr>
    </w:p>
    <w:p>
      <w:pPr>
        <w:ind w:right="600" w:firstLine="436"/>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53" w:lineRule="exact"/>
        <w:rPr>
          <w:rFonts w:ascii="Times New Roman" w:cs="Times New Roman" w:eastAsia="Times New Roman" w:hAnsi="Times New Roman"/>
          <w:sz w:val="18"/>
          <w:szCs w:val="18"/>
          <w:color w:val="auto"/>
        </w:rPr>
      </w:pPr>
    </w:p>
    <w:p>
      <w:pPr>
        <w:ind w:right="100" w:firstLine="436"/>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7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any integral multiple of $1,000 in excess thereof, the denominations in which Securities of the series shall be issuable;</w:t>
      </w:r>
    </w:p>
    <w:p>
      <w:pPr>
        <w:spacing w:after="0" w:line="53" w:lineRule="exact"/>
        <w:rPr>
          <w:rFonts w:ascii="Times New Roman" w:cs="Times New Roman" w:eastAsia="Times New Roman" w:hAnsi="Times New Roman"/>
          <w:sz w:val="18"/>
          <w:szCs w:val="18"/>
          <w:color w:val="auto"/>
        </w:rPr>
      </w:pPr>
    </w:p>
    <w:p>
      <w:pPr>
        <w:ind w:right="560" w:firstLine="436"/>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which shall be payable upon declaration of acceleration of the maturity thereof pursuant to Section 6.02;</w:t>
      </w:r>
    </w:p>
    <w:p>
      <w:pPr>
        <w:spacing w:after="0" w:line="53" w:lineRule="exact"/>
        <w:rPr>
          <w:rFonts w:ascii="Times New Roman" w:cs="Times New Roman" w:eastAsia="Times New Roman" w:hAnsi="Times New Roman"/>
          <w:sz w:val="18"/>
          <w:szCs w:val="18"/>
          <w:color w:val="auto"/>
        </w:rPr>
      </w:pPr>
    </w:p>
    <w:p>
      <w:pPr>
        <w:ind w:right="100" w:firstLine="436"/>
        <w:spacing w:after="0" w:line="282" w:lineRule="auto"/>
        <w:tabs>
          <w:tab w:leader="none" w:pos="7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53" w:lineRule="exact"/>
        <w:rPr>
          <w:rFonts w:ascii="Times New Roman" w:cs="Times New Roman" w:eastAsia="Times New Roman" w:hAnsi="Times New Roman"/>
          <w:sz w:val="18"/>
          <w:szCs w:val="18"/>
          <w:color w:val="auto"/>
        </w:rPr>
      </w:pPr>
    </w:p>
    <w:p>
      <w:pPr>
        <w:ind w:right="700" w:firstLine="436"/>
        <w:spacing w:after="0" w:line="282"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as Original Issue Discount Securities and the amount of discount with which such Securities may be issued;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provisions related to satisfaction and discharge or defeasance of Securities of the series in whole or in part;</w:t>
      </w:r>
    </w:p>
    <w:p>
      <w:pPr>
        <w:spacing w:after="0" w:line="117"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in whole or in part in the form of one or more Global Securities and, in such case, the Depositary for such Global Security or Global Securities, and any addition to or change in the terms and conditions upon which interests in such Global Security or Global Securities may be exchanged in whole or in part for Individual Securities;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Global Security of the series shall be dated if other than the original issuance of the first Security of the series to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w:t>
      </w:r>
    </w:p>
    <w:p>
      <w:pPr>
        <w:spacing w:after="0" w:line="9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w:t>
      </w:r>
    </w:p>
    <w:p>
      <w:pPr>
        <w:spacing w:after="0" w:line="117"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6" w:name="page77"/>
    <w:bookmarkEnd w:id="76"/>
    <w:p>
      <w:pPr>
        <w:ind w:left="660" w:hanging="224"/>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Securities of such series are subject to subordination and the terms of such subordination;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Securities of such series;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provisions related to compensation and reimbursement of the Trustee which applies to Securities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firstLine="436"/>
        <w:spacing w:after="0" w:line="282" w:lineRule="auto"/>
        <w:tabs>
          <w:tab w:leader="none" w:pos="7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provisions related to supplemental indentures set forth in Sections 8.02 and 8.07 which applies to Securities of such series;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upon the occurrence of specified events;</w:t>
      </w:r>
    </w:p>
    <w:p>
      <w:pPr>
        <w:spacing w:after="0" w:line="117"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Securities of the series and any change in the right of the Trustee or the requisite Holders of such Securities to declare the principal amount thereof due and payable pursuant to Section 6.02 and any addition to or change in the provisions set forth in Article VI which applies to Securities of the series;</w:t>
      </w:r>
    </w:p>
    <w:p>
      <w:pPr>
        <w:spacing w:after="0" w:line="67" w:lineRule="exact"/>
        <w:rPr>
          <w:rFonts w:ascii="Times New Roman" w:cs="Times New Roman" w:eastAsia="Times New Roman" w:hAnsi="Times New Roman"/>
          <w:sz w:val="18"/>
          <w:szCs w:val="18"/>
          <w:color w:val="auto"/>
        </w:rPr>
      </w:pPr>
    </w:p>
    <w:p>
      <w:pPr>
        <w:ind w:right="140" w:firstLine="436"/>
        <w:spacing w:after="0" w:line="312" w:lineRule="auto"/>
        <w:tabs>
          <w:tab w:leader="none" w:pos="6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of such series will be secured by any collateral and, if so, the terms and conditions upon which such Securities shall be secured and, if applicable, upon which such liens may be subordinated to other liens securing other Indebtedness of the Company or any Guarantor;</w:t>
      </w:r>
    </w:p>
    <w:p>
      <w:pPr>
        <w:spacing w:after="0" w:line="32" w:lineRule="exact"/>
        <w:rPr>
          <w:sz w:val="20"/>
          <w:szCs w:val="20"/>
          <w:color w:val="auto"/>
        </w:rPr>
      </w:pPr>
    </w:p>
    <w:p>
      <w:pPr>
        <w:ind w:left="760" w:hanging="32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 IV or Article V which applies to Securities of the series; and</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7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2.03. Execution and Authentication.</w:t>
      </w:r>
    </w:p>
    <w:p>
      <w:pPr>
        <w:spacing w:after="0" w:line="119" w:lineRule="exact"/>
        <w:rPr>
          <w:sz w:val="20"/>
          <w:szCs w:val="20"/>
          <w:color w:val="auto"/>
        </w:rPr>
      </w:pPr>
    </w:p>
    <w:p>
      <w:pPr>
        <w:jc w:val="both"/>
        <w:ind w:right="200" w:firstLine="436"/>
        <w:spacing w:after="0" w:line="272" w:lineRule="auto"/>
        <w:tabs>
          <w:tab w:leader="none" w:pos="6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shall be executed on behalf of the Company by its chairman of the Board of Directors, chief executive officer, chief financial officer, controller or assistant controller, president or any vice president, any treasurer or any assistant treasurer, secretary or any assistant secretary or any other officer designated in an Officer’s Certificate. The signature of any of these officers on the Securities may be manual, facsimile or electronic.</w:t>
      </w:r>
    </w:p>
    <w:p>
      <w:pPr>
        <w:spacing w:after="0" w:line="1"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Typographic and other minor defects in any facsimile or electronic signature shall not affect the validity or enforceability of any Security which has been authenticated and delivered to the Trustee.</w:t>
      </w:r>
    </w:p>
    <w:p>
      <w:pPr>
        <w:spacing w:after="0" w:line="73" w:lineRule="exact"/>
        <w:rPr>
          <w:rFonts w:ascii="Times New Roman" w:cs="Times New Roman" w:eastAsia="Times New Roman" w:hAnsi="Times New Roman"/>
          <w:sz w:val="17"/>
          <w:szCs w:val="17"/>
          <w:color w:val="auto"/>
        </w:rPr>
      </w:pPr>
    </w:p>
    <w:p>
      <w:pPr>
        <w:ind w:right="54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whose signature is on a Security was an Officer at the time of such execution but no longer holds that office at the time the Trustee authenticates the Security, the Security shall be valid nevertheless.</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set forth in Section 2.04(a) executed by the Trustee by manual or electronic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2.13, for all purposes of this Indenture such Security shall be deemed never to have been authenticated and delivered hereunder and shall never be entitled to the benefits of this Indenture.</w:t>
      </w:r>
    </w:p>
    <w:p>
      <w:pPr>
        <w:spacing w:after="0" w:line="79"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issuable only in fully registered form without coupons in denominations of $2,000 and any integral multiple of $1,000 in excess thereof, unless otherwise specified pursuant to Section 2.02 with respect to Securities of any series.</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not previously delivered, a supplemental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77" w:name="page78"/>
    <w:bookmarkEnd w:id="77"/>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or Company Order as contemplated by Section 2.02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68" w:lineRule="exact"/>
        <w:rPr>
          <w:sz w:val="20"/>
          <w:szCs w:val="20"/>
          <w:color w:val="auto"/>
        </w:rPr>
      </w:pPr>
    </w:p>
    <w:p>
      <w:pPr>
        <w:ind w:right="100" w:firstLine="436"/>
        <w:spacing w:after="0" w:line="261" w:lineRule="auto"/>
        <w:tabs>
          <w:tab w:leader="none" w:pos="6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the Securities of any series for original issuance and accepting the additional responsibilities under this Indenture in relation to such Securities, the Trustee shall receive and (subject to Section 7.01) shall be fully protected in relying upon an Officer’s Certificate and an Opinion of Counsel, each prepared in accordance with Section 12.03, stating that the conditions precedent, if any, provided for in this Indenture relating to the authentication and delivery of such Securities have been complied 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Opinion of Counsel shall further state:</w:t>
      </w:r>
    </w:p>
    <w:p>
      <w:pPr>
        <w:spacing w:after="0" w:line="131" w:lineRule="exact"/>
        <w:rPr>
          <w:sz w:val="20"/>
          <w:szCs w:val="20"/>
          <w:color w:val="auto"/>
        </w:rPr>
      </w:pPr>
    </w:p>
    <w:p>
      <w:pPr>
        <w:ind w:left="960" w:right="36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form of such Securities has been established by a supplemental indenture or by or pursuant to a Company Order in accordance with Sections 2.01 and 2.02 and in conformity with the provisions of this Indenture;</w:t>
      </w:r>
    </w:p>
    <w:p>
      <w:pPr>
        <w:spacing w:after="0" w:line="67" w:lineRule="exact"/>
        <w:rPr>
          <w:rFonts w:ascii="Times New Roman" w:cs="Times New Roman" w:eastAsia="Times New Roman" w:hAnsi="Times New Roman"/>
          <w:sz w:val="18"/>
          <w:szCs w:val="18"/>
          <w:color w:val="auto"/>
        </w:rPr>
      </w:pPr>
    </w:p>
    <w:p>
      <w:pPr>
        <w:ind w:left="960" w:right="680" w:hanging="532"/>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accordance with Sections 2.01 and 2.02 and in conformity with the other provisions of this Indenture; and</w:t>
      </w:r>
    </w:p>
    <w:p>
      <w:pPr>
        <w:spacing w:after="0" w:line="67" w:lineRule="exact"/>
        <w:rPr>
          <w:rFonts w:ascii="Times New Roman" w:cs="Times New Roman" w:eastAsia="Times New Roman" w:hAnsi="Times New Roman"/>
          <w:sz w:val="18"/>
          <w:szCs w:val="18"/>
          <w:color w:val="auto"/>
        </w:rPr>
      </w:pPr>
    </w:p>
    <w:p>
      <w:pPr>
        <w:ind w:left="960" w:right="220" w:hanging="532"/>
        <w:spacing w:after="0" w:line="25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moratorium, fraudulent transfer and other laws of general applicability relating to or affecting the enforcement of creditors’ rights from time to time in effect and to general equity principles, including, without limitation, concepts of materiality, reasonableness, good faith and fair dealing, regardless of whether considered in a proceeding in equity or at law.</w:t>
      </w:r>
    </w:p>
    <w:p>
      <w:pPr>
        <w:spacing w:after="0" w:line="79" w:lineRule="exact"/>
        <w:rPr>
          <w:rFonts w:ascii="Times New Roman" w:cs="Times New Roman" w:eastAsia="Times New Roman" w:hAnsi="Times New Roman"/>
          <w:sz w:val="18"/>
          <w:szCs w:val="18"/>
          <w:color w:val="auto"/>
        </w:rPr>
      </w:pPr>
    </w:p>
    <w:p>
      <w:pPr>
        <w:ind w:right="40" w:firstLine="436"/>
        <w:spacing w:after="0" w:line="266" w:lineRule="auto"/>
        <w:tabs>
          <w:tab w:leader="none" w:pos="6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decline to authenticate and deliver the Securities under this Section 2.03 if the issue of the Securities pursuant to this Indenture will affect the Trustee’s own rights, duties or immunities under the Securities or this Indenture or otherwise in a manner which is not reasonably acceptable to the Trustee.</w:t>
      </w:r>
    </w:p>
    <w:p>
      <w:pPr>
        <w:spacing w:after="0" w:line="6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shall be dated the date of its authentication, except as otherwise provided pursuant to Section 2.02 with respect to the Securities of such series.</w:t>
      </w:r>
    </w:p>
    <w:p>
      <w:pPr>
        <w:spacing w:after="0" w:line="53" w:lineRule="exact"/>
        <w:rPr>
          <w:rFonts w:ascii="Times New Roman" w:cs="Times New Roman" w:eastAsia="Times New Roman" w:hAnsi="Times New Roman"/>
          <w:sz w:val="18"/>
          <w:szCs w:val="18"/>
          <w:color w:val="auto"/>
        </w:rPr>
      </w:pPr>
    </w:p>
    <w:p>
      <w:pPr>
        <w:jc w:val="both"/>
        <w:ind w:firstLine="436"/>
        <w:spacing w:after="0" w:line="266" w:lineRule="auto"/>
        <w:tabs>
          <w:tab w:leader="none" w:pos="65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2.01 and of this Section 2.03, if all of the Securities of any series are not to be originally issued at the same time, then the documents required to be delivered pursuant to this Section 2.03 must be delivered only once prior to the authentication and delivery of the first Security of such series.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2.04. Forms of Certificate of Authentication.</w:t>
      </w:r>
    </w:p>
    <w:p>
      <w:pPr>
        <w:spacing w:after="0" w:line="119" w:lineRule="exact"/>
        <w:rPr>
          <w:sz w:val="20"/>
          <w:szCs w:val="20"/>
          <w:color w:val="auto"/>
        </w:rPr>
      </w:pPr>
    </w:p>
    <w:p>
      <w:pPr>
        <w:ind w:left="680" w:hanging="244"/>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certificates of authentication shall be in substantially the following form:</w:t>
      </w:r>
    </w:p>
    <w:p>
      <w:pPr>
        <w:spacing w:after="0" w:line="225" w:lineRule="exact"/>
        <w:rPr>
          <w:rFonts w:ascii="Times New Roman" w:cs="Times New Roman" w:eastAsia="Times New Roman" w:hAnsi="Times New Roman"/>
          <w:sz w:val="18"/>
          <w:szCs w:val="18"/>
          <w:color w:val="auto"/>
        </w:rPr>
      </w:pPr>
    </w:p>
    <w:p>
      <w:pPr>
        <w:ind w:left="3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78" w:name="page79"/>
    <w:bookmarkEnd w:id="78"/>
    <w:p>
      <w:pPr>
        <w:ind w:right="600" w:firstLine="436"/>
        <w:spacing w:after="0" w:line="282"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NAME OF AUTHENTICATING AGENT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2.05. Registrar and Paying Agent.</w:t>
      </w:r>
    </w:p>
    <w:p>
      <w:pPr>
        <w:spacing w:after="0" w:line="117"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The Company shall maintain an office or agency where Securities may be presented for registration of transfer or for exchange (the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an office or agency where Securities may be presented for payment (the “</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 and an office or agency where notices and demands to or upon the Company, if any, in respect of the Securities and this Indenture may be served. The Registrar shall keep a register of the Securities and of their transfer and exchange. The Company may have one or more additional Paying Agents. The term “Paying Agent” includes any additional Paying Agent.</w:t>
      </w:r>
    </w:p>
    <w:p>
      <w:pPr>
        <w:spacing w:after="0" w:line="16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of the name and address of any such Agent. If the Company fails to maintain a Registrar or Paying Agent, or fails to give the foregoing notice, the Trustee shall act as such and shall be entitled to appropriate compensation in accordance with Section 7.06.</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initially appoints the Trustee as Registrar, Paying Agent and Agent for service of notices and demands in connection with the Securities and this Indenture, and the Corporate Trust Office of the Trustee as the office or agency of the Company for such purposes, and the Company may change the Paying Agent without prior notice to the Holders. The Company or any of its Subsidiaries may act as Paying Agent.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2.06. Paying Agent To Hold Money in Trust.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Paying Agent shall hold in trust for the benefit of the Holders or the Trustee all money held by the Paying Agent for the payment of principal of, premium, if any, or interest on the Securities (whether such money has been paid to it by the Company or any other obligor on the Securities), and the Company and the Paying Agent shall notify the Trustee of any default by the Company (or any other obligor on the Securities) in making any such payment. Money held in trust by the Paying Agent need not be segregated except as required by law and in no event shall the Paying Agent be liable for any interest on any money received by it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or an Affiliate thereof acts as Paying Agent, it shall segregate the money held by it as Paying Agent and hold such money in a separate trust fund. The Company at any time may require the Paying Agent to pay all money held by it to the Trustee and account for any funds disbursed, and the Trustee may at any time during the continuance of any Event of Default specified in Section 6.01(1) or (2), upon written request to the Paying Agent, require the Paying Agent to pay forthwith all money so held by it to the Trustee and to account for any funds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disbursed. Upon making such payment, the Paying Agent shall have no further liability for the money delivered to the Trustee.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2.07. Holder Lists.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shall preserve in as current a form as is reasonably practicable the most recent list available to it of the names and addresses of the Holders of each series of Securities.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the Trustee is the Registrar, no such list need be furnished.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2.08. Transfer and Exchange.</w:t>
      </w:r>
    </w:p>
    <w:p>
      <w:pPr>
        <w:spacing w:after="0" w:line="119" w:lineRule="exact"/>
        <w:rPr>
          <w:sz w:val="20"/>
          <w:szCs w:val="20"/>
          <w:color w:val="auto"/>
        </w:rPr>
      </w:pPr>
    </w:p>
    <w:p>
      <w:pPr>
        <w:ind w:right="20" w:firstLine="436"/>
        <w:spacing w:after="0" w:line="253"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Securities are presented to the Registrar with a request from the Holder of such Securities to register a transfer or to exchange them for an equal principal amount of Securities of other authorized denominations of the same series, the Registrar shall register the transfer as requested. Every Security presented or surrendered for registration of transfer or exchange shall be duly endorsed or be accompanied by a written instrument of transfer in form satisfactory to the Company and the Registrar, duly executed by the Holder thereof or its attorney duly authorized in writing. To permit registrations of transfers and exchanges, the Company shall issue and execute, and the Trustee shall authenticate, new Securities evidencing such transfer or exchange at the Registrar’s request. No service charge shall be made to the Holder for any registration of transfer or exchange. The Company may require from the Holder payment of a sum sufficient to cover any transfer taxes or other governmental charge that may be imposed in relation to a transfer or exchange, but this provision shall not apply to any exchange pursuant to Section 2.12, 3.07 or 8.04 (in which events the Company shall be responsible for the payment of such taxes). The Registrar shall not be required to exchange or register a transfer of any Security of any series for a period of 15 days immediately preceding the redemption of Securities of such series, except the unredeemed portion of any Security being redeemed in part.</w:t>
      </w:r>
    </w:p>
    <w:p>
      <w:pPr>
        <w:spacing w:after="0" w:line="83" w:lineRule="exact"/>
        <w:rPr>
          <w:rFonts w:ascii="Times New Roman" w:cs="Times New Roman" w:eastAsia="Times New Roman" w:hAnsi="Times New Roman"/>
          <w:sz w:val="18"/>
          <w:szCs w:val="18"/>
          <w:color w:val="auto"/>
        </w:rPr>
      </w:pPr>
    </w:p>
    <w:p>
      <w:pPr>
        <w:ind w:firstLine="436"/>
        <w:spacing w:after="0" w:line="281" w:lineRule="auto"/>
        <w:tabs>
          <w:tab w:leader="none" w:pos="69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56" w:lineRule="exact"/>
        <w:rPr>
          <w:rFonts w:ascii="Times New Roman" w:cs="Times New Roman" w:eastAsia="Times New Roman" w:hAnsi="Times New Roman"/>
          <w:sz w:val="17"/>
          <w:szCs w:val="17"/>
          <w:color w:val="auto"/>
        </w:rPr>
      </w:pPr>
    </w:p>
    <w:p>
      <w:pPr>
        <w:ind w:right="40" w:firstLine="436"/>
        <w:spacing w:after="0" w:line="254"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Successor Company has executed an indenture supplemental hereto with the Trustee,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2.08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83"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Security agrees to indemnify the Company, the Guarantors and the Trustee against any liability that may result from the transfer, exchange or assignment of such Holder’s Security in violation of any provision of this Indenture and/or applicable United States federal or state securities laws.</w:t>
      </w:r>
    </w:p>
    <w:p>
      <w:pPr>
        <w:spacing w:after="0" w:line="67"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2.09. Replacement Securities.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 mutilated Security of any series is surrendered to the Registrar or the Trustee, or if the Holder of a Security of any series claims that the Security has been lost, destroyed or wrongfully taken, the Company shall issue and the Trustee shall authenticate a replacement Security of such series if the Holder of such Security furnishes to the Company and the Trustee evidence reasonably acceptable to them of the ownership and the destruction, loss or theft of such Security and if the requirements of Section 8-405 of the New York Uniform Commercial Code as in effect on the date of this Indenture are met. If required by the Trustee or the Company, an indemnity bond shall be posted, sufficient in the judgment of all to protect the Company, the Trustee or any Paying Agent from any loss that any of them may suffer if such Security is replaced. The Company may charge such Holder for the Company’s reasonable out-of-pocket expenses in replacing such Security and the Trustee may charge the Company for the Trustee’s expenses (including, without limitation, attorneys’ fees and disbursements) in replacing such Security. Every replacement Security shall constitute a contractual obligation of the Company.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2.10. Outstanding Securities.</w:t>
      </w:r>
    </w:p>
    <w:p>
      <w:pPr>
        <w:spacing w:after="0" w:line="11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The Securities outstanding at any time are all Securities that have been authenticated by the Trustee except for (a) those canceled by it, (b) those delivered to it for cancellation, (c) to the extent set forth in Sections 9.02 and 9.03, on or after the date on which the conditions set forth in Section 9.02 or 9.03 have been satisfied, those Securities theretofore authenticated and delivered by the Trustee hereunder and (d) those described in this Section 2.10 as not outstanding. Subject to Section 2.11, a Security does not cease to be outstanding because the Company or one of its Affiliates holds the Security.</w:t>
      </w:r>
    </w:p>
    <w:p>
      <w:pPr>
        <w:spacing w:after="0" w:line="16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2.09, it ceases to be outstanding unless the Trustee receives proof satisfactory to it that the replaced Security is held by a bona fide purchaser in whose hands such Security is a legal, valid and binding obligation of the Company.</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holds, in its capacity as such, on any Maturity Date, money sufficient to pay all accrued interest and principal with respect to the Securities payable on that date and is not prohibited from paying such money to the Holders thereof pursuant to the terms of this Indenture, then on and after that date such Securities cease to be outstanding and interest on them ceases to accrue.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each series of Original Issue Discount Securities, the principal amount of such Securities that shall be deemed to be outstanding and used to determine whether the necessary Holders have given any request, demand, authorization, direction, notice, consent or waiver shall be the amount of the principal thereof that would be due and payable as of the date of such determination upon a declaration of acceleration of the maturity thereof pursuant to Section 6.02. The principal amount of a Security denominated in a Foreign Currency that shall be deemed to be outstanding for such purposes shall be the amount calculated pursuant to Section 2.20(b).</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2.11. Treasury Securities.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declaration of acceleration or notice of default or direction, waiver or consent or any amendment, modification or other change to this Indenture, Securities owned by the Company or any other Affiliate of the Company shall be disregarded as though they were not outstanding, except that for the purposes of determining whether the Trustee shall be protected in relying on any such direction, waiver or consent or any amendment, modification or other change to this Indenture, only Securities as to which a Responsible Officer of the Trustee has actually received an Officer’s Certificate stating that such Securities are so owned shall be so disregarded. Securities so owned which have been pledged in good faith shall not be disregarded if the pledgee established to the satisfaction of the Trustee the pledgee’s right so to act with respect to the Securities and that the pledgee is not the Company, any other obligor on the Securities or any of their respective Affiliates.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2.12. Temporary Securities.</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Until definitive Securities are prepared and ready for delivery, the Company may prepare and the Trustee shall authenticate temporary Securities. Temporary Securities shall be substantially in the form of definitive Securities but may have variations that the Company considers appropriate for temporary Securities. Any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81" w:name="page82"/>
    <w:bookmarkEnd w:id="8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temporary Security may be in the form of one or more Global Securities, representing all or a portion of the Securities of such series. Without unreasonable delay, the Company shall prepare and the Trustee shall authenticate definitive Securities in exchange for temporary Securities. Until such exchange, temporary Securities shall be entitled to the same rights, benefits and privileges as definitive Securities.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Upon any exchange of a portion of a temporary Global Security for a definitive Global Security or for the Individual Securities represented thereby pursuant to this Section 2.12 or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2.13. Cancellation.</w:t>
      </w:r>
    </w:p>
    <w:p>
      <w:pPr>
        <w:spacing w:after="0" w:line="119"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along with a Company Order directing the cancellation thereof. The Registrar and the Paying Agent shall forward to the Trustee any Securities surrendered to them for registration of transfer, exchange, payment or credit against any sinking fund. The Trustee shall cancel all Securities surrendered for registration of transfer, exchange, payment, replacement or cancellation and shall deliver such canceled Securities to the Company. The Company may not reissue or resell, or issue new Securities to replace Securities that the Company has redeemed or paid, or that have been delivered to the Trustee for cancellation (other than in accordance with this Indenture).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2.14. Defaulted Interest.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Company defaults on a payment of interest on the Securities, it shall pay the defaulted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permitted by law) any interest payable on the defaulted interest, in accordance with the terms hereof, to the Persons who are Holders on a subsequent special record date, which date shall be at least five Business Days prior to the payment date. The Company shall fix such special record date and payment date in a manner satisfactory to the Trustee. At least 10 days before such special record date, the Company shall deliver in accordance with the procedures of the Depositary to each Holder a notice that states the special record date, the payment date and the amount of defaulted interest to be paid. The Company may make payment of any defaulted interest in any other lawful manner not inconsistent with the requirements (if applicable) of any securities exchange on which the Securities may be listed and, upon such notice as may be required by such exchange, if, after written notice given by the Company to the Trustee of the proposed payment pursuant to this sentence, such manner of payment shall be deemed practicable by the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2.15. Identifying Number.</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in issuing the Securities of a series may use a “CUSIP,” “ISIN” or other similar number, and if so, such CUSIP, ISIN or other similar number shall be included in notices of redemption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or accuracy of the CUSIP, ISIN or other similar number printed in the notice or on the Securities of such series, and that reliance may be placed only on the other identification numbers printed on the Securities of such series. The Company shall promptly notify the Trustee of any such CUSIP, ISIN or other similar number used by the Company in connection with the issuance of Securities of a series and of any change in the CUSIP, ISIN or other similar number.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2.16. Deposit of Moneys.</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Prior to 11:00 a.m., New York City time, on each Interest Payment Date and Maturity Date, the Company shall have deposited with the Paying Agent in immediately available funds money in the Currency in which such Securities are denominated sufficient to make cash payments, if any, due on such Interest Payment Date or Maturity Date, as the case may be, in a timely manner which permits the Trustee to remit payment to the Holders on such Interest Payment Date or Maturity Date, as the case may be. The principal and interest on a Global Security shall be payable to the Depositary of such Global Security or its nominee, as the case may be, as the sole registered owner and the sole Holder of the Securities represented thereby. The principal and interest on Individual Securities shall be payable, either in person or by mail, at the office of the Paying Agent.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82" w:name="page83"/>
    <w:bookmarkEnd w:id="82"/>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2.17. Global Securities.</w:t>
      </w:r>
    </w:p>
    <w:p>
      <w:pPr>
        <w:spacing w:after="0" w:line="119" w:lineRule="exact"/>
        <w:rPr>
          <w:sz w:val="20"/>
          <w:szCs w:val="20"/>
          <w:color w:val="auto"/>
        </w:rPr>
      </w:pPr>
    </w:p>
    <w:p>
      <w:pPr>
        <w:ind w:left="4" w:right="140" w:firstLine="436"/>
        <w:spacing w:after="0" w:line="255" w:lineRule="auto"/>
        <w:tabs>
          <w:tab w:leader="none" w:pos="6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2.02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w:t>
      </w:r>
    </w:p>
    <w:p>
      <w:pPr>
        <w:spacing w:after="0" w:line="2" w:lineRule="exact"/>
        <w:rPr>
          <w:rFonts w:ascii="Times New Roman" w:cs="Times New Roman" w:eastAsia="Times New Roman" w:hAnsi="Times New Roman"/>
          <w:sz w:val="18"/>
          <w:szCs w:val="18"/>
          <w:color w:val="auto"/>
        </w:rPr>
      </w:pPr>
    </w:p>
    <w:p>
      <w:pPr>
        <w:ind w:left="4" w:right="340" w:hanging="4"/>
        <w:spacing w:after="0" w:line="260" w:lineRule="auto"/>
        <w:tabs>
          <w:tab w:leader="none" w:pos="3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delivered by the Trustee to such Depositary or pursuant to such Depositary’s instruction and (iv) shall bear a legend substantially to the following effect, or such other legend(s) as the Company and the Depositary may agree:</w:t>
      </w:r>
    </w:p>
    <w:p>
      <w:pPr>
        <w:spacing w:after="0" w:line="73" w:lineRule="exact"/>
        <w:rPr>
          <w:sz w:val="20"/>
          <w:szCs w:val="20"/>
          <w:color w:val="auto"/>
        </w:rPr>
      </w:pPr>
    </w:p>
    <w:p>
      <w:pPr>
        <w:ind w:left="444" w:right="160"/>
        <w:spacing w:after="0" w:line="289"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50" w:lineRule="exact"/>
        <w:rPr>
          <w:sz w:val="20"/>
          <w:szCs w:val="20"/>
          <w:color w:val="auto"/>
        </w:rPr>
      </w:pPr>
    </w:p>
    <w:p>
      <w:pPr>
        <w:ind w:left="444" w:right="2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81"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each Global Security may from time to time be increased or decreased by adjustments made on the records of the Security Custodian, as provided in this Indenture. Any endorsements of a Global Security to reflect the amount of increase or decrease in the amount of outstanding Securities of the series represented thereby shall be made by the Security Custodian in accordance with the standing instructions and procedures existing between the Depositary and the Security Custodian.</w:t>
      </w:r>
    </w:p>
    <w:p>
      <w:pPr>
        <w:spacing w:after="0" w:line="72" w:lineRule="exact"/>
        <w:rPr>
          <w:sz w:val="20"/>
          <w:szCs w:val="20"/>
          <w:color w:val="auto"/>
        </w:rPr>
      </w:pPr>
    </w:p>
    <w:p>
      <w:pPr>
        <w:ind w:left="4" w:right="360" w:firstLine="436"/>
        <w:spacing w:after="0" w:line="282"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Depositary designated pursuant to Section 2.02 for a Global Security in registered form must, at the time of its designation and at all times while it serves as such Depositary, be a clearing agency registered under the Exchange Act and any other applicable statute or regulation.</w:t>
      </w:r>
    </w:p>
    <w:p>
      <w:pPr>
        <w:spacing w:after="0" w:line="5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direct or indirect participants in, the Depositary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(which may be in electronic form) furnished by the Depositary or impair, as between the Depositary and its Agent Members, the operation of customary practices of the Depositary governing the exercise of the rights of an owner of a beneficial interest in any Global Security. The Holder of a Global Security may grant proxies and otherwise authorize any Person, including Agent Members and Persons that may hold interests through Agent Members, to take any action that a Holder is entitled to take under this Indenture or the Securities.</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83" w:name="page84"/>
    <w:bookmarkEnd w:id="83"/>
    <w:p>
      <w:pPr>
        <w:ind w:right="20" w:firstLine="436"/>
        <w:spacing w:after="0" w:line="253"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any Guarantor, the Trustee, the Registrar, any Paying Agent or any agent of any of them shall have any responsibility or liability for any aspect of the records relating to or payments made on account of beneficial ownership interests in the Securities, for maintaining, supervising or reviewing any records relating to such beneficial owner interests, or for any acts or omissions of a Depositary or for any transactions between a Depositary and any beneficial owner or between or among beneficial owners. No owner of a beneficial interest in the Securities shall have any rights under this Indenture, and the Depositary or its nominee, if any, shall be deemed and treated by the Company, any Guarantor, the Trustee, the Registrar, any Paying Agent or any agent of any of them as the absolute owner and holder of such Securities for all purposes whatsoever. Notwithstanding the foregoing, nothing herein shall prevent the Company, any Guarantor, the Trustee, the Registrar, any Paying Agent or any agent of any of them from giving effect to any written certification, proxy or other authorization furnished by a Depositary, or any of its members and any other Person on whose behalf such member may act, the operation of customary practices of such Persons governing the exercise of the rights of a beneficial owner of any Securities.</w:t>
      </w:r>
    </w:p>
    <w:p>
      <w:pPr>
        <w:spacing w:after="0" w:line="8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owners of beneficial interests in Global Securities will not be entitled to receive Individual Securities.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2.17(b)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75" w:lineRule="exact"/>
        <w:rPr>
          <w:sz w:val="20"/>
          <w:szCs w:val="20"/>
          <w:color w:val="auto"/>
        </w:rPr>
      </w:pPr>
    </w:p>
    <w:p>
      <w:pPr>
        <w:ind w:left="440" w:right="100" w:firstLine="423"/>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 an entire Global Security for Individual Securities pursuant to this subsection (e), such Global Security shall be deemed to be surrendered to the Trustee for cancellation, and the Company shall execute, and the Trustee, upon receipt of a Company Order for the authentication and delivery of Individual Securities of such series, shall authenticate and deliver, to each beneficial owner identified by the Depositary in writing in exchange for its beneficial interest in such Global Security, an equal aggregate principal amount of Individual Securities of authorized denominations.</w:t>
      </w:r>
    </w:p>
    <w:p>
      <w:pPr>
        <w:spacing w:after="0" w:line="75" w:lineRule="exact"/>
        <w:rPr>
          <w:sz w:val="20"/>
          <w:szCs w:val="20"/>
          <w:color w:val="auto"/>
        </w:rPr>
      </w:pPr>
    </w:p>
    <w:p>
      <w:pPr>
        <w:ind w:left="440" w:right="40" w:firstLine="419"/>
        <w:spacing w:after="0" w:line="258"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75"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6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notify the Company and the Trustee of such instructions, identifying the owner and amount of such beneficial interest in such Global Security;</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6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6.07, the right of any beneficial Holder of Securities to pursue such remedy with respect to the portion of the Global Security that represents such beneficial Holder’s Securities as if such Individual Securities had been issued.</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by the Company pursuant to Section 2.02 with respect to a series of Securities, the Depositary for such series of Securities may surrender a Global Security for such series of Securities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in whole or in part for Individual Securities of such series on such terms as are acceptable to the Company and such Depositary.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Thereupon, the Company shall execute, and the Trustee shall authenticate and deliver:</w:t>
      </w:r>
    </w:p>
    <w:p>
      <w:pPr>
        <w:spacing w:after="0" w:line="99" w:lineRule="exact"/>
        <w:rPr>
          <w:sz w:val="20"/>
          <w:szCs w:val="20"/>
          <w:color w:val="auto"/>
        </w:rPr>
      </w:pPr>
    </w:p>
    <w:p>
      <w:pPr>
        <w:ind w:left="980" w:right="80" w:firstLine="408"/>
        <w:spacing w:after="0" w:line="266" w:lineRule="auto"/>
        <w:tabs>
          <w:tab w:leader="none" w:pos="167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6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53"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exchange provided for in clauses (1) through (3), the Company will execute and the Trustee will authenticate and deliver Individual Securities in registered form in authorized denominations.</w:t>
      </w:r>
    </w:p>
    <w:p>
      <w:pPr>
        <w:spacing w:after="0" w:line="53"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exchange in full of a Global Security for Individual Securities, such Global Security shall be canceled by the Trustee. Individual Securities issued in exchange for a Global Security pursuant to this Section 2.17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71" w:lineRule="exact"/>
        <w:rPr>
          <w:rFonts w:ascii="Times New Roman" w:cs="Times New Roman" w:eastAsia="Times New Roman" w:hAnsi="Times New Roman"/>
          <w:sz w:val="18"/>
          <w:szCs w:val="18"/>
          <w:color w:val="auto"/>
        </w:rPr>
      </w:pPr>
    </w:p>
    <w:p>
      <w:pPr>
        <w:ind w:firstLine="436"/>
        <w:spacing w:after="0" w:line="272" w:lineRule="auto"/>
        <w:tabs>
          <w:tab w:leader="none" w:pos="66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Individual Securities of a series are issued in exchange for beneficial interests in Global Securities of such series in accordance with this Section 2.17, on or after such event when Individual Securities of such series are presented by a Holder to the Registrar with a request: (x) to register the transfer of such Individual Securities to a person who shall take delivery thereof in the form of Individual Securities only; or (y) to exchange such Individual Securities for an equal principal amount of Individual Securities of such series of other authorized denominations, the Registrar shall register the transfer or make the exchange as requested if the requirements for such transaction under this Indenture are satisfied;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Individual Securities presented or surrendered for register of transfer or exchange shall be duly endorsed or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63" w:lineRule="exact"/>
        <w:rPr>
          <w:rFonts w:ascii="Times New Roman" w:cs="Times New Roman" w:eastAsia="Times New Roman" w:hAnsi="Times New Roman"/>
          <w:sz w:val="17"/>
          <w:szCs w:val="17"/>
          <w:color w:val="auto"/>
        </w:rPr>
      </w:pPr>
    </w:p>
    <w:p>
      <w:pPr>
        <w:ind w:right="20" w:firstLine="436"/>
        <w:spacing w:after="0" w:line="252"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Individual Securities of a series are issued in exchange for beneficial interests in Global Securities of such series and, thereafter, the events or conditions specified in Section 2.17(e)(1) or (2) which required such exchange shall cease to exist, the Company shall send notice to the Trustee and to the Holders of Securities of such series stating that such Holders may exchange Individual Securities of such series for interests in Global Securities of such series by complying with the procedures set forth in this Indenture and briefly describing such procedures and the events or circumstances requiring that such notice be given. Thereafter, if Individual Securities of such series are presented by a Holder to the Registrar with a request: (x) to register the transfer of such Individual Securities to a person who shall take delivery thereof in the form of a beneficial interest in a Global Security of such series; or (y) to exchange such Individual Securities for an equal principal amount of beneficial interests in a Global Security of such series, which beneficial interests shall be owned by the Holder transferring such Individual Securities, the Registrar shall register the transfer or make the exchange as requested by canceling such Individual Security and causing, or directing the Security Custodian to cause, the aggregate principal amount of the applicable Global Security to be increased accordingly and, if no such Global Security is then-outstanding, the Company shall issue and the Trustee shall authenticate and deliver a new Global Security of such series in accordance with Section 2.03;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Individual Securities presented or surrendered for registration of transfer or exchange shall be duly endorsed and accompanied by an assignment form and, if applicable, a transfer certificate, each in the form included in the supplemental indenture or Company Order authorizing the applicable Securities, and in each case in a form satisfactory to the Registrar duly executed by the Holder thereof or its attorney duly authorized in writing.</w:t>
      </w:r>
    </w:p>
    <w:p>
      <w:pPr>
        <w:spacing w:after="0" w:line="89"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Indenture or in the Securities shall prohibit the sale or other transfer of any Securities (including beneficial interests in Global Securities) to the Company or any of its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2.18. Issuance of Additional Securities.</w:t>
      </w:r>
    </w:p>
    <w:p>
      <w:pPr>
        <w:spacing w:after="0" w:line="119" w:lineRule="exact"/>
        <w:rPr>
          <w:sz w:val="20"/>
          <w:szCs w:val="20"/>
          <w:color w:val="auto"/>
        </w:rPr>
      </w:pPr>
    </w:p>
    <w:p>
      <w:pPr>
        <w:ind w:right="120" w:firstLine="436"/>
        <w:spacing w:after="0" w:line="261"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issue date of a series of Securities, the Company shall be entitled to issue Additional Securities of such series, which Additional Securities shall have identical terms as the Initial Securities of such series, other than with respect to the date of issuance and the amount of the issue price. All the Securities of a series issued under this Indenture shall be treated as a single class for all purposes of this Indenture, including waivers, amendments, redemptions and offers to purchase with respect to such series.</w:t>
      </w:r>
    </w:p>
    <w:p>
      <w:pPr>
        <w:spacing w:after="0" w:line="7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Additional Securities of a series, the Company shall set forth in a Company Order, which shall be delivered to the Trustee, the following information: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Securities to be authenticated and delivered pursuant to this Indenture; and</w:t>
      </w:r>
    </w:p>
    <w:p>
      <w:pPr>
        <w:spacing w:after="0" w:line="115"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 price, the issue date and the CUSIP, ISIN or other identifying number of such Additional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Securities of a series may be issued at a price that would cause such Additional Securities to not be fungible for U.S. federal income tax purposes with any other Securities of such series issued under this Indenture, unless such Securities bear a separate CUSIP, ISIN or other identifying number.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2.19. Computation of Interest.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the Securities shall be computed in accordance with the terms of the Securities of a series as specified pursuant to Section 2.02.</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2.20. Currency of Payments in Respect of Securities.</w:t>
      </w:r>
    </w:p>
    <w:p>
      <w:pPr>
        <w:spacing w:after="0" w:line="119" w:lineRule="exact"/>
        <w:rPr>
          <w:sz w:val="20"/>
          <w:szCs w:val="20"/>
          <w:color w:val="auto"/>
        </w:rPr>
      </w:pPr>
    </w:p>
    <w:p>
      <w:pPr>
        <w:ind w:right="500" w:firstLine="436"/>
        <w:spacing w:after="0" w:line="282"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pursuant to Section 2.02 for any series of Securities, payment of the principal of and premium, if any, and interest on Securities of such series will be made in U.S. Dollars.</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provision of this Indenture where the Holders of outstanding Securities may perform an action that requires that a specified percentage of the Securities of all series perform such action and for purposes of any decision or determination by the Trustee of amounts due and unpaid for the principal of and premium, if any, and interest on the outstanding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2.02 for Securities of such series, as of the date for determining whether the Holders entitled to perform such action have performed it or as of the date of such decision or determination by the Trustee, as the case may be.</w:t>
      </w:r>
    </w:p>
    <w:p>
      <w:pPr>
        <w:spacing w:after="0" w:line="78"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decision or determination to be made regarding exchange rates shall be made by an agent appointed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Section 2.02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2.21. Judgments.</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may provide pursuant to Section 2.02 for Securities of any series that (a) the obligation, if any, of the Company to pay the principal of, premium, if any, and interest on the Securities of any series in a Foreign Currency or U.S. Dollars (the “</w:t>
      </w:r>
      <w:r>
        <w:rPr>
          <w:rFonts w:ascii="Times New Roman" w:cs="Times New Roman" w:eastAsia="Times New Roman" w:hAnsi="Times New Roman"/>
          <w:sz w:val="18"/>
          <w:szCs w:val="18"/>
          <w:i w:val="1"/>
          <w:iCs w:val="1"/>
          <w:color w:val="auto"/>
        </w:rPr>
        <w:t>Designated Currency</w:t>
      </w:r>
      <w:r>
        <w:rPr>
          <w:rFonts w:ascii="Times New Roman" w:cs="Times New Roman" w:eastAsia="Times New Roman" w:hAnsi="Times New Roman"/>
          <w:sz w:val="18"/>
          <w:szCs w:val="18"/>
          <w:color w:val="auto"/>
        </w:rPr>
        <w:t>”) as may be specified pursuant to Section 2.02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8" w:right="499" w:bottom="1440" w:gutter="0" w:footer="0" w:header="0"/>
        </w:sectPr>
      </w:pPr>
    </w:p>
    <w:bookmarkStart w:id="86" w:name="page87"/>
    <w:bookmarkEnd w:id="8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3.01. Applicability of Right of Redemption.</w:t>
      </w:r>
    </w:p>
    <w:p>
      <w:pPr>
        <w:spacing w:after="0" w:line="11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as contemplated by Section 2.02 with respect to any series of Securities, redemption of Securities (other than pursuant to a sinking fund, amortization or analogous provision) permitted by the terms of any series of Securities shall be made in accordance with this Article III.</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3.02. Election To Redeem; Notices to Trustee.</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Company elects to redeem any Securities pursuant to this Article III, at least 10 days prior to the Redemption Date (unless a shorter notice shall be agreed to in writing by the Trustee) but not more than 60 days before the Redemption Date, the Company shall notify the Trustee in writing of the series of Securities to be redeemed, the Redemption Date and the principal amount of such Securities to be redeemed and the Redemption Price (or, if not then ascertainable, the manner of calculation thereof), and deliver to the Trustee, no later than two Business Days prior to the Redemption Date, an Officer’s Certificate stating that such redemption will comply with the conditions contained this Article III. Notice given to the Trustee pursuant to this Section 3.02 may, at the Company’s discretion, be subject to the satisfaction or waiver of one or more conditions precedent. Failure to give such notice, or any defect in such notice, shall not affect the sufficiency of any notice of redemption sent to the Holder of any Security of such series.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3.03. Selection by Trustee of Securities To Be Redeemed.</w:t>
      </w:r>
    </w:p>
    <w:p>
      <w:pPr>
        <w:spacing w:after="0" w:line="11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the Company elects to redeem less than all of the Securities of any series at any time, in the case of Securities issued in definitive form, the Trustee will select Securities of such series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Global Securities, the Securities will be selected in accordance with the applicable procedures of the relevant Depositary) unless an alternative method of selection is otherwise required by law or applicable stock exchange or Depositary requirements.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of the Securities selected for redemption and, in the case of any partial redemption, the principal amount thereof to be redeemed.</w:t>
      </w:r>
    </w:p>
    <w:p>
      <w:pPr>
        <w:spacing w:after="0" w:line="162"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The Company will redeem Securities of $2,000 or less in whole and not in part. For all purposes of this Indenture, unless the context otherwise requires, provisions of this Indenture that apply to Securities called for redemption also apply to portions of Securities called for redemption.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3.04. Notice of Redemption.</w:t>
      </w:r>
    </w:p>
    <w:p>
      <w:pPr>
        <w:spacing w:after="0" w:line="11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will cause notices of redemption to be sent by electronic transmission or by first-class mail at least 10 but not more than 60 days before the Redemption Date to each Holder of Securities of the series to be redeemed at its registered address or otherwise in accordance with the applicable procedures of the Depositary. The Company may provide in the notice that payment of the Redemption Price and performance of the Company’s obligations with respect to the redemption or purchase may be performed by another Person. Any notice may, at the Company’s discretion, be subject to the satisfaction or waiver of one or more conditions precedent.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shall identify the Securities to be redeemed (including the series and the CUSIP, ISIN or other identifying numbers thereof) and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99" w:lineRule="exact"/>
        <w:rPr>
          <w:sz w:val="20"/>
          <w:szCs w:val="20"/>
          <w:color w:val="auto"/>
        </w:rPr>
      </w:pPr>
    </w:p>
    <w:p>
      <w:pPr>
        <w:ind w:left="1120" w:hanging="261"/>
        <w:spacing w:after="0"/>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5420" w:right="3680" w:hanging="4561"/>
        <w:spacing w:after="0" w:line="454" w:lineRule="auto"/>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if not then ascertainable, the manner of calculation thereof); 23</w:t>
      </w:r>
    </w:p>
    <w:p>
      <w:pPr>
        <w:sectPr>
          <w:pgSz w:w="11900" w:h="16838" w:orient="portrait"/>
          <w:cols w:equalWidth="0" w:num="1">
            <w:col w:w="11000"/>
          </w:cols>
          <w:pgMar w:left="440" w:top="270" w:right="459" w:bottom="1440" w:gutter="0" w:footer="0" w:header="0"/>
        </w:sectPr>
      </w:pPr>
    </w:p>
    <w:bookmarkStart w:id="87" w:name="page88"/>
    <w:bookmarkEnd w:id="87"/>
    <w:p>
      <w:pPr>
        <w:ind w:left="440" w:right="620" w:firstLine="419"/>
        <w:spacing w:after="0" w:line="266"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fewer than all outstanding Securities of a series are to be redeemed, the portion of the principal amount of such Security to be redeemed and that, after the Redemption Date and upon surrender of such Security, a new Security or Securities of the applicable series in principal amount equal to the unredeemed portion will be issued;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the payment of the applicable Redemption Price, interest on Securities called for redemption ceases to accrue on and after the Redemption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conditioned upon the occurrence of one or more conditions precedent, the nature of such conditions precedent;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of such series that are being redeemed;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7"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2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Securities and/or Section of this Indenture pursuant to which the Securities called for redemption are being redeemed; and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2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ISIN or other identifying number, if any, listed in such notice or printed on the Securities.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At the Company’s written request made at least five Business Days prior to the date on which notice is to be given, the Trustee shall give the notice of redemption in the Company’s name and at the Company’s sole expense.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Price is not ascertainable on the date on which the notice of redemption is delivered, the Company shall send to the Trustee, at least one Business Day prior to the Redemption Date, the Redemption Price.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3.05. Effect of Notice of Redemption.</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Once the notice of redemption described in Section 3.04 is delivered, except as provided in the last sentence of the first paragraph of Section 3.04, Securities called for redemption become irrevocably due and payable on the Redemption Date and at the Redemption Price, including any premium, plus accrued and unpaid interest thereon, if any, to, but excluding, the Redemption Date. Upon surrender to the Paying Agent, such Securities shall be paid at the Redemption Price, including any premium, plus accrued and unpaid interest thereon, if any, to, but excluding,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the Redemption Date is on or after a regular record date and on or before the related Interest Payment Date, the accrued and unpaid interest thereon, if any, shall be paid to the Holder in whose name the Security is registered at the close of business on such regular record date, and no additional interest will be payable to Holders whose Securities are subject to redemption by the Company; and (b) if a Redemption Date is not a Business Day, payment shall be made on the next succeeding Business Day and no interest shall accrue for the period from such Redemption Date to such succeeding Business Day. Such notice, if delivered in the manner provided in Section 3.04, shall be conclusively presumed to have been given whether or not the Holder receives such notice. Failure to give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3.06. Deposit of Redemption Price.</w:t>
      </w:r>
    </w:p>
    <w:p>
      <w:pPr>
        <w:spacing w:after="0" w:line="119" w:lineRule="exact"/>
        <w:rPr>
          <w:sz w:val="20"/>
          <w:szCs w:val="20"/>
          <w:color w:val="auto"/>
        </w:rPr>
      </w:pPr>
    </w:p>
    <w:p>
      <w:pPr>
        <w:ind w:right="380" w:firstLine="440"/>
        <w:spacing w:after="0" w:line="281" w:lineRule="auto"/>
        <w:rPr>
          <w:sz w:val="20"/>
          <w:szCs w:val="20"/>
          <w:color w:val="auto"/>
        </w:rPr>
      </w:pPr>
      <w:r>
        <w:rPr>
          <w:rFonts w:ascii="Times New Roman" w:cs="Times New Roman" w:eastAsia="Times New Roman" w:hAnsi="Times New Roman"/>
          <w:sz w:val="17"/>
          <w:szCs w:val="17"/>
          <w:color w:val="auto"/>
        </w:rPr>
        <w:t>On or prior to 11:00 A.M., New York City time, on each Redemption Date, the Company shall deposit with the Paying Agent in immediately available funds money in the Currency in which such Securities are denominated (except as provided pursuant to Section 2.02) sufficient to pay the Redemption Price of, including premium, if any, and accrued and unpaid interest, if any, on all Securities to be redeemed on that date other than Securities or portions thereof called for redemption on that date which have been delivered by the Company to the Trustee for cancellation.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88" w:name="page89"/>
    <w:bookmarkEnd w:id="8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after any Redemption Date, if money sufficient to pay the Redemption Price of, including premium, if any, and accrued and unpaid interest, if any, on Securities called for redemption shall have been made available in accordance with the immediately preceding paragraph, the Securities called for redemption will cease to accrue interest and the only right of the Holders of such Securities will be to receive payment of the Redemption Price of and, subject to Section 3.05, accrued and unpaid interest on such Securities to, but excluding, the Redemption Date. If any Security surrendered for redemption shall not be so paid because of the failure of the Company to comply with the preceding paragraph, interest will be paid, from the Redemption Date until such redemption payment is made, on the unpaid principal of the Security and any interest not paid on such unpaid principal, in each case at the rate and in the manner provided in the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3.07. Securities Redeemed in Part.</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any Security is to be redeemed in part only, the notice of redemption that relates to that Security will state the portion of the principal amount thereof that is to be redeemed. The Company will issue a new Security of the applicable series in a principal amount equal to the unredeemed portion of the original Security in the name of the Holder upon cancellation of the original Security; except that if a Global Security is so redeemed, the balance of such Global Security shall be reduced in accordance with Section 2.17. Securities called for redemption become due on the date fixed for redemption. Unless the Company defaults in payment of the Redemption Price, interest will cease to accrue on the Securities or portions thereof called for such redemption on the Redemption Date.</w:t>
      </w:r>
    </w:p>
    <w:p>
      <w:pPr>
        <w:spacing w:after="0" w:line="1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4.01. Payment of Principal, Premium and Interest.</w:t>
      </w:r>
    </w:p>
    <w:p>
      <w:pPr>
        <w:spacing w:after="0" w:line="11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that it will duly and punctually pay the principal of (and premium, if any) and interest on the Securities in accordance with the terms of the Securities and this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4.02. Maintenance of Office or Agency.</w:t>
      </w:r>
    </w:p>
    <w:p>
      <w:pPr>
        <w:spacing w:after="0" w:line="11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will maintain in each Place of Payment for Securities an office or agency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one or more other offices or agencies where the Securities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designation or rescission shall in any manner relieve the Company of its obligation to maintain an office or agency in each Place of Payment for Securities for such purposes. The Company will give prompt written notice to the Trustee of any such designation or rescission and of any change in the location of any such other office or agency.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4.03. Reports to Holders.</w:t>
      </w:r>
    </w:p>
    <w:p>
      <w:pPr>
        <w:spacing w:after="0" w:line="119" w:lineRule="exact"/>
        <w:rPr>
          <w:sz w:val="20"/>
          <w:szCs w:val="20"/>
          <w:color w:val="auto"/>
        </w:rPr>
      </w:pPr>
    </w:p>
    <w:p>
      <w:pPr>
        <w:ind w:firstLine="436"/>
        <w:spacing w:after="0" w:line="254"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(1) the Company will not be required to provide the Trustee with any such information, documents and reports that are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Commission and (2) the Company will not be so obligated to file such information, documents and reports with the Commission if the Commission does not permit such filings;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Commission does not permit such filings, the Company will be required to provide to Holders any such information, documents or reports that are not so filed. The Company will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9" w:name="page90"/>
    <w:bookmarkEnd w:id="8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comply with the other provisions of TIA § 314(a), including the provision of the compliance certificate under TIA § 314(a)(4), which compliance certificate shall be delivered to the Trustee, commencing with the first fiscal year in which Securities are offered pursuant to this Indenture.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spacing w:after="0" w:line="75" w:lineRule="exact"/>
        <w:rPr>
          <w:sz w:val="20"/>
          <w:szCs w:val="20"/>
          <w:color w:val="auto"/>
        </w:rPr>
      </w:pPr>
    </w:p>
    <w:p>
      <w:pPr>
        <w:ind w:right="100" w:firstLine="436"/>
        <w:spacing w:after="0" w:line="261"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Section 6.01(4)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Securities.</w:t>
      </w:r>
    </w:p>
    <w:p>
      <w:pPr>
        <w:spacing w:after="0" w:line="71"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information, documents and reports required pursuant to this Indenture may, at the option of the Company, instead be those of any direct or indirect parent entity of the Company so long as such parent entity fully and unconditionally guarantees, by execution of this Indenture or a supplemental indenture, the obligations of the Company in respect of the Securities and such parent entity and the Company comply with the requirements of Rule 3-10 and Rule 13-01 of Regulation S-X promulgated by the Commission (or any successor provisions).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4.04. Additional Guarantees.</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provided as contemplated by Section 2.02 with respect to any series of Securities, if any Subsidiary of the Company (other than a Receivables Entity) that was not a Guarantor at the time of the execution of this Indenture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basis,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a Subsidiary of the Company be required to provide a Guarantee of the Company’s Indenture Obligations if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determines that such Guarantee is prohibited by, or would be unduly burdensome under, applicable laws or would result in adverse tax consequences to the Company or any of its Subsidiaries.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Guarantee by any Guarantor shall be automatically and unconditionally terminated and released, without any action on the part of the Trustee, any Holder of the Securities or any other person in accordance with Section 10.07.</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Each Guarantee shall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4.05. Compliance Certificate.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provided as contemplated by Section 2.02 with respect to any series of Securities:</w:t>
      </w:r>
    </w:p>
    <w:p>
      <w:pPr>
        <w:spacing w:after="0" w:line="117" w:lineRule="exact"/>
        <w:rPr>
          <w:sz w:val="20"/>
          <w:szCs w:val="20"/>
          <w:color w:val="auto"/>
        </w:rPr>
      </w:pPr>
    </w:p>
    <w:p>
      <w:pPr>
        <w:ind w:right="40" w:firstLine="436"/>
        <w:spacing w:after="0" w:line="256"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Guarantor shall furnish to the Trustee annually, within 120 days after the end of each fiscal year, a brief certificate from the principal executive officer, principal financial officer or principal accounting officer (or, if no such officer exists, a board member), to such person’s knowledge, of the compliance by the Company or any Guarantor, as applicable,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Sections 12.03 and 12.04 of this 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90" w:name="page91"/>
    <w:bookmarkEnd w:id="90"/>
    <w:p>
      <w:pPr>
        <w:jc w:val="both"/>
        <w:ind w:right="160" w:firstLine="436"/>
        <w:spacing w:after="0" w:line="26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of the Securities are outstanding, the Company will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5.01. Consolidation, Merger and Sale of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provided as contemplated by Section 2.02 with respect to any series of Securities:</w:t>
      </w:r>
    </w:p>
    <w:p>
      <w:pPr>
        <w:spacing w:after="0" w:line="117" w:lineRule="exact"/>
        <w:rPr>
          <w:sz w:val="20"/>
          <w:szCs w:val="20"/>
          <w:color w:val="auto"/>
        </w:rPr>
      </w:pPr>
    </w:p>
    <w:p>
      <w:pPr>
        <w:ind w:right="100" w:firstLine="436"/>
        <w:spacing w:after="0" w:line="282"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consolidate with any other entity or accept a merger of any other entity into the Company or permit the Company to be merged into another Person, or sell or lease all or substantially all the assets of the Company and its Subsidiaries to, any entity, unless:</w:t>
      </w:r>
    </w:p>
    <w:p>
      <w:pPr>
        <w:spacing w:after="0" w:line="51"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shall be the continuing entity or the successor, transferee or lessee entity, if other than the Company (the “</w:t>
      </w:r>
      <w:r>
        <w:rPr>
          <w:rFonts w:ascii="Times New Roman" w:cs="Times New Roman" w:eastAsia="Times New Roman" w:hAnsi="Times New Roman"/>
          <w:sz w:val="18"/>
          <w:szCs w:val="18"/>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expressly assume, by a supplemental indenture, executed and delivered to the Trustee, in form reasonably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the Company under the Securities and this Indenture;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such consolidation, merger, sale or lease and such supplemental indenture (if any) comply with this Indenture.</w:t>
      </w:r>
    </w:p>
    <w:p>
      <w:pPr>
        <w:spacing w:after="0" w:line="53"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5.01,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71" w:lineRule="exact"/>
        <w:rPr>
          <w:rFonts w:ascii="Times New Roman" w:cs="Times New Roman" w:eastAsia="Times New Roman" w:hAnsi="Times New Roman"/>
          <w:sz w:val="18"/>
          <w:szCs w:val="18"/>
          <w:color w:val="auto"/>
        </w:rPr>
      </w:pPr>
    </w:p>
    <w:p>
      <w:pPr>
        <w:ind w:right="200" w:firstLine="436"/>
        <w:spacing w:after="0" w:line="266"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will be the successor to the Company and shall succeed to, and be substituted for, and may exercise every right and power of, the Company under this Indenture, and the Company, as the predecessor company, except in the case of a lease, shall be released from all obligations under this Indenture and the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6.01. Events of Default.</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where otherwise indicated by the context, the term is otherwise defined for a specific purpose or as otherwise provided as contemplated by Section 2.02 with respect to any series of Securities, the term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as used in this Indenture with respect to the Securities of a series shall mean one of the following described events unless it is inapplicable to a particular series:</w:t>
      </w:r>
    </w:p>
    <w:p>
      <w:pPr>
        <w:spacing w:after="0" w:line="68" w:lineRule="exact"/>
        <w:rPr>
          <w:sz w:val="20"/>
          <w:szCs w:val="20"/>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interest on the Securities of such series that continues for a period of 30 days after payment is due;</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the principal or premium, if any, on the Securities of such series when due upon maturity, redemption (otherwise than pursuant to a sinking fund), acceleration or otherwise;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Section 5.01;</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(x) any of the Company’s and the Guarantors’ other applicable agreements contained in this Indenture and applicable to the Securities of such series (other than (i) a failure that is subject to clause (1), (2) or (3) of this Section 6.01 or (ii) a failure to comply with Section 4.03) for a period of 60 days after receipt by the Company of written notice of such failure from the Trustee (or receipt by the Company and the Trustee of written notice of such failure from the Holders of at least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91" w:name="page92"/>
    <w:bookmarkEnd w:id="91"/>
    <w:p>
      <w:pPr>
        <w:ind w:left="44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 of the principal amount of the applicable series of Securities) or (y) the requirements set forth in Section 4.03 for a period of 120 days after receipt by the Company of written notice of such failure from the Trustee (or receipt by the Company and the Trustee of written notice of such failure from the Holders of at least 25% of the principal amount of the applicable series of Securities);</w:t>
      </w:r>
    </w:p>
    <w:p>
      <w:pPr>
        <w:spacing w:after="0" w:line="68" w:lineRule="exact"/>
        <w:rPr>
          <w:sz w:val="20"/>
          <w:szCs w:val="20"/>
          <w:color w:val="auto"/>
        </w:rPr>
      </w:pPr>
    </w:p>
    <w:p>
      <w:pPr>
        <w:ind w:left="440" w:right="140" w:firstLine="419"/>
        <w:spacing w:after="0" w:line="258"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by a Significant Subsidiary of the Company’s Indenture Obligations under the Securities of such series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this Indenture and any such Guarantee by such Significant Subsidiary of the Company’s Indenture Obligations under the Securities of such series, and any such Default continues for 10 days;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insolvency proceeding;</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6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insolvency proceeding or consents to its dissolution or winding-up;</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laws relating to insolvency;</w:t>
      </w:r>
    </w:p>
    <w:p>
      <w:pPr>
        <w:spacing w:after="0" w:line="22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liquidation of any Subsidiary of the Company into the Company or another Subsidiary of the Company, other than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credit reorganization, shall not constitute an Event of Default under this Section 6.01(8);</w:t>
      </w:r>
    </w:p>
    <w:p>
      <w:pPr>
        <w:spacing w:after="0" w:line="52" w:lineRule="exact"/>
        <w:rPr>
          <w:sz w:val="20"/>
          <w:szCs w:val="20"/>
          <w:color w:val="auto"/>
        </w:rPr>
      </w:pPr>
    </w:p>
    <w:p>
      <w:pPr>
        <w:ind w:left="1120" w:hanging="261"/>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insolvency proceeding;</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any substantial part of their property;</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winding-up, liquidation or dissolution of the Company or any Significant Subsidiary;</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presentation of any plan or arrangement, compromise or reorganization of the Company or any Significant Subsidiary;</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92" w:name="page93"/>
    <w:bookmarkEnd w:id="92"/>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grants any similar relief under any foreign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each such case the order or decree remains unstayed and in effect for 60 days;</w:t>
      </w:r>
    </w:p>
    <w:p>
      <w:pPr>
        <w:spacing w:after="0" w:line="117" w:lineRule="exact"/>
        <w:rPr>
          <w:sz w:val="20"/>
          <w:szCs w:val="20"/>
          <w:color w:val="auto"/>
        </w:rPr>
      </w:pPr>
    </w:p>
    <w:p>
      <w:pPr>
        <w:ind w:left="440" w:right="440" w:firstLine="419"/>
        <w:spacing w:after="0" w:line="282" w:lineRule="auto"/>
        <w:tabs>
          <w:tab w:leader="none" w:pos="120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 sinking fund installment, if any, when and as the same shall become payable by the terms of a Security of such series, which failure shall have continued unremedied for a period of 30 days; and</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of Default with respect to Securities of such series as provided in Section 2.02.</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provisions of this Section 6.01, if the principal or any premium or interest on any Security is payable in a Currency other than U.S. Dollars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U.S. Dollars in an amount equal to the U.S. Dollars equivalent of the amount payable in such other Currency, as determined by the Company’s agent in accordance with Section 2.20 by reference to the noon buying rate in The City of New York for cable transfers for such Currency (“</w:t>
      </w:r>
      <w:r>
        <w:rPr>
          <w:rFonts w:ascii="Times New Roman" w:cs="Times New Roman" w:eastAsia="Times New Roman" w:hAnsi="Times New Roman"/>
          <w:sz w:val="18"/>
          <w:szCs w:val="18"/>
          <w:i w:val="1"/>
          <w:iCs w:val="1"/>
          <w:color w:val="auto"/>
        </w:rPr>
        <w:t>Exchange Rate</w:t>
      </w:r>
      <w:r>
        <w:rPr>
          <w:rFonts w:ascii="Times New Roman" w:cs="Times New Roman" w:eastAsia="Times New Roman" w:hAnsi="Times New Roman"/>
          <w:sz w:val="18"/>
          <w:szCs w:val="18"/>
          <w:color w:val="auto"/>
        </w:rPr>
        <w:t>”),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6.01, any payment made under such circumstances in U.S. Dollars where the required payment is in a Currency other than U.S. Dollars will not constitute an Event of Default under this Indenture.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6.02. Acceleration of Maturity; Rescission.</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as contemplated by Section 2.02 with respect to any series of Securities, if an Event of Default with respect to the Securities of a series (other than an Event of Default specified in Sections 6.01(8) and 6.01(9) with respect to the Company) shall have occurred and be continuing, the Trustee or the Holders of at least 25% in outstanding principal amount of the Securities of such series may declare to be immediately due and payable the principal amount of all of the Securities of such series then outstanding, plus accrued but unpaid interest thereon, if any, to the date of acceleration. If an Event of Default specified in Sections 6.01(8) and 6.01(9) with respect to the Company shall occur, such amount with respect to all the Securities shall become automatically due and payable immediately without any further action or notice. However, a notice of Default or notice of continuing Event of Default (including any declaration of acceleration) with respect to the Securities of any series may not be given with respect to any action taken, and reported publicly or to Holders of the Securities of such series, more than two years prior to such notice. After any such acceleration, but before a judgment or decree based on acceleration is obtained by the applicable person, the registered Holders of a majority in principal amount of the then outstanding Securities of such series may cancel such acceleration if (i) the rescission would not conflict with any judgment or decree and (ii) if all existing Events of Default have been cured or waived except nonpayment of principal, that has become due solely because of the acceleration. No such rescission shall affect any subsequent Default or impair any right consequent thereto.</w:t>
      </w:r>
    </w:p>
    <w:p>
      <w:pPr>
        <w:spacing w:after="0" w:line="19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Section 7.01, in case an Event of Default shall occur and be continuing, the Trustee shall be under no obligation to exercise any of its rights or powers under this Indenture at the request or direction of any of the Holders of Securities of any series, unless such Holders have offered to the Trustee reasonable security and/or indemnity to its satisfaction. Subject to Section 7.06, the Holders of a majority in aggregate principal amount of any series of Securities then outstanding will have the right to direct the time, method and place of conducting any proceeding for any remedy available to the Trustee or exercising any trust or power the Trustee holds with respect to the Securities of such series.</w:t>
      </w:r>
    </w:p>
    <w:p>
      <w:pPr>
        <w:spacing w:after="0" w:line="183"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93" w:name="page94"/>
    <w:bookmarkEnd w:id="9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6.03. Other Remedies.</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by proceeding at law or in equity to collect the payment of principal of, or premium, if any, and interest on the Securities of each applicable series or to enforce the performance of any provision of the Securities of each applicable series or this Indenture and may take any necessary action requested of it as Trustee to settle, compromise, adjust or otherwise conclude any proceedings to which it is a party.</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or does not produce any of them in the proceeding. Any such proceeding instituted by the Trustee may be brought in its own name and as trustee of an express trust, and any recovery of judgment shall, after provision for the payment of the reasonable compensation, expenses, disbursements of the Trustee and its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Any costs associated with actions taken by the Trustee under this Section 6.03 shall be reimbursed to the Trustee by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6.04. Waiver of Past Defaults and Events of Default.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Provided the Securities of a series are not then due and payable by reason of a declaration of acceleration, the Holders of a majority in principal amount of the then outstanding Securities of such series may on behalf of the Holders of all the affected Securities of such series waive any past Default with respect to such series of Securities and its consequences by providing written notice thereof to the Company and the Trustee, except a Default (1) in the payment of interest on or the principal of any Security or (2) in respect of a covenant or provision hereof which under this Indenture cannot be modified or amended without the consent of the Holder of each outstanding Security affected. In the case of any such waiver, the Company, the Trustee and the Holders of the Securities of the applicable series will be restored to their former positions and rights under this Indenture,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waiver shall extend to any subsequent or other Default or impair any right consequent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6.05. Control by Majority.</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outstanding Securities of a series may direct the time, method and place of conducting any proceeding for any remedy available to the Trustee or exercising any trust or power conferred on the Trustee with respect to the Securities of such series. However, the Trustee may refuse to follow any direction that conflicts with law or this Indenture, that may involve the Trustee in personal liability, or that the Trustee determines in good faith may be unduly prejudicial to the rights of Holders of the affected Securities not joining in the giving of such direction and may take any other action it deems proper that is not inconsistent with any such direction received from Holders of the Securities.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6.06. Limitation on Suits.</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 Holder of the Securities of a series will have any right to institute any proceeding with respect to this Indenture, or for any remedy hereunder, unless:</w:t>
      </w:r>
    </w:p>
    <w:p>
      <w:pPr>
        <w:spacing w:after="0" w:line="54" w:lineRule="exact"/>
        <w:rPr>
          <w:sz w:val="20"/>
          <w:szCs w:val="20"/>
          <w:color w:val="auto"/>
        </w:rPr>
      </w:pPr>
    </w:p>
    <w:p>
      <w:pPr>
        <w:ind w:left="440" w:right="360" w:firstLine="419"/>
        <w:spacing w:after="0" w:line="282"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the Securities of such series;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Securities of such series have made a written request, and offered to the Trustee reasonable security and/or indemnity satisfactory to it to institute such proceeding as Trustee;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94" w:name="page95"/>
    <w:bookmarkEnd w:id="94"/>
    <w:p>
      <w:pPr>
        <w:ind w:left="440" w:right="18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has not received from the Holders of a majority in aggregate principal amount of the outstanding Securities of such series a direction that is inconsistent with such request.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However, the Holder of any Security will have an absolute and unconditional right to receive payment of the principal of, and premium, if any, or interest on, such Security on or after the date or dates they are to be paid as expressed in such Security and to institute suit for the enforcement of any such payment.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6.07. Rights of Holders To Receive Payment.</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Security to receive payment of the principal of or premium, if any, or interest, if any, on such Security (including in connection with an offer to purchase) or to bring suit for the enforcement of any such payment, on or after the due date expressed in the Securities shall not be impaired or affected without the consent of such Holder. Notwithstanding the foregoing, each Holder of a Security, and each owner of a beneficial interest in a Security, shall be deemed to acknowledge and agree that the release of any Guarantee in accordance with the terms of this Indenture shall not impair the right of such Holder or owner to receive any payment of the principal of or premium, if any, or interest, if any, on such Security, and each such Holder and each such owner, by acquiring any interest in a Security, thereby consents to any such release and waives any and all claims against the Trustee, the Company and any Guarantor in connection with such release.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6.08. Collection Suit by Trustee.</w:t>
      </w:r>
    </w:p>
    <w:p>
      <w:pPr>
        <w:spacing w:after="0" w:line="11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in payment of principal, premium or interest specified in Section 6.01(1) or (2) occurs and is continuing, the Trustee may recover judgment in its own name and as trustee of an express trust against the Company (or any other obligor on the Securities) for the whole amount of unpaid principal and accrued interest remaining unpaid.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6.09. Trustee May File Proofs of Claim.</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7.06) and the Holders allowed in any judicial proceedings relative to the Company (or any other obligor upon the Securities), its creditors or its property and, unless prohibited by law,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or reorganization, arrangement, adjustment or composition affecting the Securities or the rights of any Holder thereof, or to authorize the Trustee to vote in respect of the claim of any Holder in any such proceedings. All rights of action and claims under this Indenture or the Securities may be prosecuted and enforced by the Trustee without the possession of any of the Securities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6.10. Priorities.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money or property collected by the Trustee pursuant to this Article VI, and any money or other property distributable in respect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obligations under this Indenture after an Event of Default shall be applied in the following order:</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FIRST: to the Trustee (including any predecessor Trustee) for amounts due under Section 7.06;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95" w:name="page96"/>
    <w:bookmarkEnd w:id="95"/>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to Holders for amounts due and unpaid on the affected Securities for principal, premium, if any, and interest as to each, ratably, without preference or priority of any kind, according to the amounts due and payable on the affected Securities;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6.10.</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6.11. Undertaking for Costs.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Securities of a series then outstanding.</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6.12. Delay or Omission Not Waiver.</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occurring upon an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7.01. Duties of Trustee.</w:t>
      </w:r>
    </w:p>
    <w:p>
      <w:pPr>
        <w:spacing w:after="0" w:line="227" w:lineRule="exact"/>
        <w:rPr>
          <w:sz w:val="20"/>
          <w:szCs w:val="20"/>
          <w:color w:val="auto"/>
        </w:rPr>
      </w:pPr>
    </w:p>
    <w:p>
      <w:pPr>
        <w:ind w:right="220" w:firstLine="436"/>
        <w:spacing w:after="0" w:line="266"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Responsible Officer of the Trustee has received written notice that an Event of Default has occurred and is continuing, the Trustee will exercise such of the rights and powers vested in it under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75"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clause (b) or (d) of this Section 7.01;</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is proved that the Trustee was negligent in ascertaining the pertinent facts;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96" w:name="page97"/>
    <w:bookmarkEnd w:id="96"/>
    <w:p>
      <w:pPr>
        <w:ind w:left="440" w:firstLine="419"/>
        <w:spacing w:after="0" w:line="261" w:lineRule="auto"/>
        <w:tabs>
          <w:tab w:leader="none" w:pos="111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with respect to any action it takes or omits to take in good faith in accordance with a direction of the Holders of a majority in aggregate principal amount of the outstanding Securities of any series, determined as provided herein, relating to the time, method and place of conducting any proceeding for any remedy available to the Trustee, or exercising any trust or power conferred upon the Trustee, under this Indenture with respect to the Securities of such series.</w:t>
      </w:r>
    </w:p>
    <w:p>
      <w:pPr>
        <w:spacing w:after="0" w:line="71" w:lineRule="exact"/>
        <w:rPr>
          <w:rFonts w:ascii="Times New Roman" w:cs="Times New Roman" w:eastAsia="Times New Roman" w:hAnsi="Times New Roman"/>
          <w:sz w:val="18"/>
          <w:szCs w:val="18"/>
          <w:color w:val="auto"/>
        </w:rPr>
      </w:pPr>
    </w:p>
    <w:p>
      <w:pPr>
        <w:jc w:val="both"/>
        <w:ind w:right="660"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of, affecting the liability of, or affording protection to, the Trustee shall be subject to the provisions of this Section 7.01.</w:t>
      </w:r>
    </w:p>
    <w:p>
      <w:pPr>
        <w:spacing w:after="0" w:line="53" w:lineRule="exact"/>
        <w:rPr>
          <w:rFonts w:ascii="Times New Roman" w:cs="Times New Roman" w:eastAsia="Times New Roman" w:hAnsi="Times New Roman"/>
          <w:sz w:val="18"/>
          <w:szCs w:val="18"/>
          <w:color w:val="auto"/>
        </w:rPr>
      </w:pPr>
    </w:p>
    <w:p>
      <w:pPr>
        <w:ind w:right="680" w:firstLine="436"/>
        <w:spacing w:after="0" w:line="282" w:lineRule="auto"/>
        <w:tabs>
          <w:tab w:leader="none" w:pos="66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or earnings on any money received by it except as the Trustee may agree in writing with the Company. Money held in trust by the Trustee need not be segregated from other funds except to the extent required by the law.</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the application of any money by any Paying Agent other than the Trustee.</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7.02. Rights of Trustee.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Section 7.01:</w:t>
      </w:r>
    </w:p>
    <w:p>
      <w:pPr>
        <w:spacing w:after="0" w:line="117" w:lineRule="exact"/>
        <w:rPr>
          <w:sz w:val="20"/>
          <w:szCs w:val="20"/>
          <w:color w:val="auto"/>
        </w:rPr>
      </w:pPr>
    </w:p>
    <w:p>
      <w:pPr>
        <w:ind w:right="140" w:firstLine="436"/>
        <w:spacing w:after="0" w:line="261"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in good faith by it to be genuine and to have been signed or presented by the proper person. The Trustee need not investigate any fact or matter stated in the document.</w:t>
      </w:r>
    </w:p>
    <w:p>
      <w:pPr>
        <w:spacing w:after="0" w:line="71"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 Officer’s Certificate or an Opinion of Counsel (or both), which shall comply with the requirements of Section 12.03, and, in the absence of bad faith on its part, may conclusively rely upon such Officer’s Certificate or Opinion of Counsel (or both). The Trustee shall not be liable for any action it takes or omits to take in good faith in reliance on such Officer’s Certificate or Opinion of Counsel.</w:t>
      </w:r>
    </w:p>
    <w:p>
      <w:pPr>
        <w:spacing w:after="0" w:line="75" w:lineRule="exact"/>
        <w:rPr>
          <w:rFonts w:ascii="Times New Roman" w:cs="Times New Roman" w:eastAsia="Times New Roman" w:hAnsi="Times New Roman"/>
          <w:sz w:val="18"/>
          <w:szCs w:val="18"/>
          <w:color w:val="auto"/>
        </w:rPr>
      </w:pPr>
    </w:p>
    <w:p>
      <w:pPr>
        <w:ind w:right="320" w:firstLine="436"/>
        <w:spacing w:after="0" w:line="312" w:lineRule="auto"/>
        <w:tabs>
          <w:tab w:leader="none" w:pos="69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 hereunder or perform any duties hereunder either directly or by or through attorneys or agents and the Trustee shall not be responsible for any misconduct or negligence on the part of any agent appointed with due care by it hereunder.</w:t>
      </w:r>
    </w:p>
    <w:p>
      <w:pPr>
        <w:spacing w:after="0" w:line="31" w:lineRule="exact"/>
        <w:rPr>
          <w:rFonts w:ascii="Times New Roman" w:cs="Times New Roman" w:eastAsia="Times New Roman" w:hAnsi="Times New Roman"/>
          <w:sz w:val="17"/>
          <w:szCs w:val="17"/>
          <w:color w:val="auto"/>
        </w:rPr>
      </w:pPr>
    </w:p>
    <w:p>
      <w:pPr>
        <w:ind w:right="120" w:firstLine="436"/>
        <w:spacing w:after="0" w:line="282"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340" w:firstLine="436"/>
        <w:spacing w:after="0" w:line="312" w:lineRule="auto"/>
        <w:tabs>
          <w:tab w:leader="none" w:pos="66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of its selection, and the advice of such counsel or any Opinion of Counsel shall be full and complete authorization and protection from liability in respect of any action taken, omitted or suffered by it hereunder in good faith and in reliance thereon.</w:t>
      </w:r>
    </w:p>
    <w:p>
      <w:pPr>
        <w:spacing w:after="0" w:line="31" w:lineRule="exact"/>
        <w:rPr>
          <w:rFonts w:ascii="Times New Roman" w:cs="Times New Roman" w:eastAsia="Times New Roman" w:hAnsi="Times New Roman"/>
          <w:sz w:val="17"/>
          <w:szCs w:val="17"/>
          <w:color w:val="auto"/>
        </w:rPr>
      </w:pPr>
    </w:p>
    <w:p>
      <w:pPr>
        <w:ind w:right="120" w:firstLine="436"/>
        <w:spacing w:after="0" w:line="26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97" w:name="page98"/>
    <w:bookmarkEnd w:id="97"/>
    <w:p>
      <w:pPr>
        <w:ind w:right="180" w:firstLine="436"/>
        <w:spacing w:after="0" w:line="266"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67" w:lineRule="exact"/>
        <w:rPr>
          <w:rFonts w:ascii="Times New Roman" w:cs="Times New Roman" w:eastAsia="Times New Roman" w:hAnsi="Times New Roman"/>
          <w:sz w:val="18"/>
          <w:szCs w:val="18"/>
          <w:color w:val="auto"/>
        </w:rPr>
      </w:pPr>
    </w:p>
    <w:p>
      <w:pPr>
        <w:ind w:right="40" w:firstLine="436"/>
        <w:spacing w:after="0" w:line="258"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75" w:lineRule="exact"/>
        <w:rPr>
          <w:rFonts w:ascii="Times New Roman" w:cs="Times New Roman" w:eastAsia="Times New Roman" w:hAnsi="Times New Roman"/>
          <w:sz w:val="18"/>
          <w:szCs w:val="18"/>
          <w:color w:val="auto"/>
        </w:rPr>
      </w:pPr>
    </w:p>
    <w:p>
      <w:pPr>
        <w:ind w:right="120" w:firstLine="436"/>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or be charged with knowledge of any Default or Event of Default unless written notice of such Default or Event of Default from the Company or any Holder is received by a Responsible Officer of the Trustee at the Corporate Trust Office of the Trustee, and such notice references the Securities and this Indenture.</w:t>
      </w:r>
    </w:p>
    <w:p>
      <w:pPr>
        <w:spacing w:after="0" w:line="67"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67" w:lineRule="exact"/>
        <w:rPr>
          <w:rFonts w:ascii="Times New Roman" w:cs="Times New Roman" w:eastAsia="Times New Roman" w:hAnsi="Times New Roman"/>
          <w:sz w:val="18"/>
          <w:szCs w:val="18"/>
          <w:color w:val="auto"/>
        </w:rPr>
      </w:pPr>
    </w:p>
    <w:p>
      <w:pPr>
        <w:jc w:val="both"/>
        <w:ind w:firstLine="436"/>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right="140" w:firstLine="436"/>
        <w:spacing w:after="0" w:line="258" w:lineRule="auto"/>
        <w:tabs>
          <w:tab w:leader="none" w:pos="7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or refrain from taking action hereunder shall not be construed as a duty.</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7.03. Individual Rights of Trustee.</w:t>
      </w:r>
    </w:p>
    <w:p>
      <w:pPr>
        <w:spacing w:after="0" w:line="11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However, in the event that the Trustee acquires any conflicting interest within the meaning of Section 310(b)(1) of the TIA, it must eliminate such conflict within 90 days or resign;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§310(b)(1) any indenture or indentures under which other securities or certificates of interest of participation in other securities of the Company are outstanding if the requirements for such exclusion set forth in TIA §310(b)(1) are met, other than the fact that such indentures are not described 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Agent may do the same with like rights. The Trustee is also subject to Section 7.09.</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7.04. Trustee’s Disclaimer.</w:t>
      </w:r>
    </w:p>
    <w:p>
      <w:pPr>
        <w:spacing w:after="0" w:line="11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sufficiency or adequacy of this Indenture or of the Securities. The Trustee shall not be accountable for the use or application by the Company of the Securities or the proceeds thereof. The Trustee shall not be responsible to make any calculation with respect to any matter under this Indenture. The Trustee represents that it is duly authorized to execute and deliver this Indenture, authenticate the Securities and perform its obligations hereunder. The Trustee shall have no duty to monitor or investigate the Company’s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or the breach of, or cause to be performed or observed, any representation, warranty or covenant made in this Indenture.</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7.05. Notice of Defaults.</w:t>
      </w:r>
    </w:p>
    <w:p>
      <w:pPr>
        <w:spacing w:after="0" w:line="119"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Within 90 days after the occurrence thereof, and if known to the Trustee pursuant to Section 7.02(j), the Trustee shall give to the Holders of the Securities of a series notice of each Default or Event of Default with respect to the Securities of such series known to the Trustee pursuant to Section 7.02(j), by transmitting such notice to Holders at their addresses as the same shall then appear on the register of the Securities kept by the Registrar, unless such Default shall have been cured or waived before the giving of such notice. Except in the case of a Default or Event of Default in payment of the principal of, premium, if any, or interest on any of the Securities of a series when and as the same shall become payable, or to make any sinking fund payment as to the Securities of a series (including payments pursuant to a redemption or repurchase of the Securities pursuant to the provisions of this Indenture), the Trustee shall be protected in withholding such notice if and so long as a committee of its Responsible Officers in good faith determines that withholding the notice is in the interests of Holders.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7.06. Compensation and Indemnity.</w:t>
      </w:r>
    </w:p>
    <w:p>
      <w:pPr>
        <w:spacing w:after="0" w:line="119" w:lineRule="exact"/>
        <w:rPr>
          <w:sz w:val="20"/>
          <w:szCs w:val="20"/>
          <w:color w:val="auto"/>
        </w:rPr>
      </w:pPr>
    </w:p>
    <w:p>
      <w:pPr>
        <w:ind w:right="80" w:firstLine="436"/>
        <w:spacing w:after="0" w:line="277" w:lineRule="auto"/>
        <w:tabs>
          <w:tab w:leader="none" w:pos="68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to the Trustee and Agents from time to time such reasonable compensation for their services hereunder (which compensation shall not be limited by any provision of law in regard to the compensation of a trustee of an express trust) as shall be agreed upon in writing. The Company shall reimburse the Trustee and Agents upon request for all reasonable disbursements, expenses and advances incurred or made by them in connection with the Trustee’s duties under this Indenture, including the reasonable compensation, disbursements and expenses of the Trustee’s agents and external counsel, except any such expense, disbursement or advance as may be attributable to its willful misconduct or negligence.</w:t>
      </w:r>
    </w:p>
    <w:p>
      <w:pPr>
        <w:spacing w:after="0" w:line="59" w:lineRule="exact"/>
        <w:rPr>
          <w:rFonts w:ascii="Times New Roman" w:cs="Times New Roman" w:eastAsia="Times New Roman" w:hAnsi="Times New Roman"/>
          <w:sz w:val="17"/>
          <w:szCs w:val="17"/>
          <w:color w:val="auto"/>
        </w:rPr>
      </w:pPr>
    </w:p>
    <w:p>
      <w:pPr>
        <w:ind w:right="20" w:firstLine="436"/>
        <w:spacing w:after="0" w:line="253"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fully indemnify each of the Trustee and their officers, agents and employees and any predecessor Trustee for, and hold each of them harmless against, any and all loss, damage, claim, liability or expense, including, without limitation, reasonable and documented attorneys’ fees and expenses incurred by each of them in connection with the acceptance or performance of its duties under this Indenture including the reasonable and documented costs and expenses of defending itself against any claim (whether asserted by the Company, or any Holder or any other Person) or liability in connection with the exercise or performance of any of its powers or duties hereunder (including, without limitation, settlement costs). The Trustee or Agent shall notify the Company in writing promptly of any claim of which a Responsible Officer of the Trustee has received written notice at its Corporate Trust Office asserted against the Trustee or Agent for which it may seek indemnity;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by the Trustee or Agent to so notify the Company shall not relieve the Company of its obligations hereunder, except to the extent that the Company has been materially prejudiced thereby. The Company need not pay for any settlement made without its consent, which consent shall not be unreasonably withheld. In the event that a conflict of interest exists or potential harm to the Trustee’s business exists, the Trustee may have separate counsel, which counsel must be reasonably acceptable to the Company and the Company shall pay the reasonable and documented fees and expenses of such counsel.</w:t>
      </w:r>
    </w:p>
    <w:p>
      <w:pPr>
        <w:spacing w:after="0" w:line="83"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need not reimburse the Trustee for any expense or indemnify it against any loss or liability to have been incurred by the Trustee through its own willful misconduct or negligence.</w:t>
      </w:r>
    </w:p>
    <w:p>
      <w:pPr>
        <w:spacing w:after="0" w:line="53"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payment obligations of the Company in this Section 7.06, the Trustee shall have a lien prior to the Securities on all money or property held or collected by the Trustee and such money or property held in trust to pay principal of and interest on particular Securities.</w:t>
      </w:r>
    </w:p>
    <w:p>
      <w:pPr>
        <w:spacing w:after="0" w:line="53"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7.06 to compensate and indemnify the Trustee, Agents and each predecessor Trustee and to pay or reimburse the Trustee, Agents and each predecessor Trustee for expenses, disbursements and advances shall be the liability of the Company and the lien provided for under this Section 7.06 shall survive the resignation or removal of the Trustee and the satisfaction, discharge or other termination of this Indenture for any reason, including any termination or rejection hereof under any Bankruptcy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99" w:name="page100"/>
    <w:bookmarkEnd w:id="99"/>
    <w:p>
      <w:pPr>
        <w:ind w:right="60" w:firstLine="436"/>
        <w:spacing w:after="0" w:line="266" w:lineRule="auto"/>
        <w:tabs>
          <w:tab w:leader="none" w:pos="6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but without prejudice to its other rights under this Indenture, when the Trustee incurs expenses or renders services after an Event of Default specified in Section 6.01(8) or Section 6.01(9) occurs, the expenses (including the reasonable charges and expenses of its counsel) and the compensation for the services are intended to constitute expenses of administration under any Bankruptcy Law.</w:t>
      </w:r>
    </w:p>
    <w:p>
      <w:pPr>
        <w:spacing w:after="0" w:line="65" w:lineRule="exact"/>
        <w:rPr>
          <w:rFonts w:ascii="Times New Roman" w:cs="Times New Roman" w:eastAsia="Times New Roman" w:hAnsi="Times New Roman"/>
          <w:sz w:val="18"/>
          <w:szCs w:val="18"/>
          <w:color w:val="auto"/>
        </w:rPr>
      </w:pPr>
    </w:p>
    <w:p>
      <w:pPr>
        <w:ind w:right="340" w:firstLine="436"/>
        <w:spacing w:after="0" w:line="284"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7.06, the term “Trustee” shall include any predecessor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negligence, willful misconduct or bad faith of any Trustee hereunder shall not affect the rights or any other Trustee hereunder.</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7.07. Replacement of Trustee.</w:t>
      </w:r>
    </w:p>
    <w:p>
      <w:pPr>
        <w:spacing w:after="0" w:line="119" w:lineRule="exact"/>
        <w:rPr>
          <w:sz w:val="20"/>
          <w:szCs w:val="20"/>
          <w:color w:val="auto"/>
        </w:rPr>
      </w:pPr>
    </w:p>
    <w:p>
      <w:pPr>
        <w:ind w:right="540" w:firstLine="436"/>
        <w:spacing w:after="0" w:line="282"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7.07.</w:t>
      </w:r>
    </w:p>
    <w:p>
      <w:pPr>
        <w:spacing w:after="0" w:line="53" w:lineRule="exact"/>
        <w:rPr>
          <w:rFonts w:ascii="Times New Roman" w:cs="Times New Roman" w:eastAsia="Times New Roman" w:hAnsi="Times New Roman"/>
          <w:sz w:val="18"/>
          <w:szCs w:val="18"/>
          <w:color w:val="auto"/>
        </w:rPr>
      </w:pPr>
    </w:p>
    <w:p>
      <w:pPr>
        <w:ind w:right="340" w:firstLine="436"/>
        <w:spacing w:after="0" w:line="281" w:lineRule="auto"/>
        <w:tabs>
          <w:tab w:leader="none" w:pos="6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resign at any time by so notifying the Company in writing no later than 30 calendar days prior to the date of the proposed resignation. The Holders of a majority in principal amount of the outstanding Securities may remove the Trustee by notifying the Company and the removed Trustee in writing no later than 30 calendar days prior to the date of the proposed removal and may appoint a successor Trustee with the Company’s written consent, which consent shall not be unreasonably withheld. The Company may remove the Trustee at its election if:</w:t>
      </w:r>
    </w:p>
    <w:p>
      <w:pPr>
        <w:spacing w:after="0" w:line="56"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7.09;</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 or an order for relief entered with respect to the Trustee under Bankruptcy Law;</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117"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w:t>
      </w:r>
    </w:p>
    <w:p>
      <w:pPr>
        <w:spacing w:after="0" w:line="5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30 days after the retiring Trustee resigns or is removed, the retiring Trustee, the Company or the Holders of at least 10% in principal amount of the outstanding Securities may petition at the expense of the Company any court of competent jurisdiction, in the case of the Trustee, for the appointment of a successor Trustee.</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fails to comply with Section 7.09, any Holder may petition any court of competent jurisdiction for the removal of the Trustee and the appointment of a successor Trustee.</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following such delivery, the retiring Trustee shall, subject to the lien and its rights under Section 7.06, transfer all property held by it as Trustee to the successor Trustee, the resignation or removal of the retiring Trustee shall become effective, and the successor Trustee shall have all the rights, powers and duties of the Trustee under this Indenture. A successor Trustee shall transmit notice of its succession to each Holder. Notwithstanding replacement of the Trustee pursuant to this Section 7.07, the lien and Company’s obligations under Section 7.06 shall continue for the benefit of the retiring Trustee.</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7.08. Successor Trustee by Consolidation, Merger, etc.</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shall be otherwise qualified and eligible under this Article VII. In case at the time such successor to the Trustee shall succeed to the trusts created by this Indenture with respect to one or more series of Securities and any of such Securities shall have been authenticated but not delivered by the Trustee then in office, any successor to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100" w:name="page101"/>
    <w:bookmarkEnd w:id="100"/>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right to adopt the certificate of authentication of any predecessor Trustee or authenticate Securities in the name of any predecessor Trustee shall apply only to its successor or successors by merger, conversion or consolidation.</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7.09. Eligibility; Disqualification.</w:t>
      </w:r>
    </w:p>
    <w:p>
      <w:pPr>
        <w:spacing w:after="0" w:line="11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Trustee shall at all times satisfy the requirements of TIA § 310(a). The Trustee (together with its corporate parent) shall have a combined capital and surplus of at least $100.0 million as set forth in its most recent published annual report of condition. The Trustee shall comply with TIA §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§310(b)(1) are met, other than the fact that such indentures are not described herein.</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7.10. Reports by Trustee to Holders.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required by TIA § 313(a), within 60 days after June 15 of any year, commencing on the first June 15 after the issuance of Securities pursuant to this Indenture, for so long as Securities of any series remain outstanding, the Trustee shall send to the Holders a brief report dated as of such reporting date that complies with TIA § 313(a) (but if no event described in TIA § 313(a) has occurred within the 12 months preceding the reporting date, no report need be transmitted). The Trustee also shall comply with TIA § 313(b). The Trustee shall also transmit all reports as required by TIA § 313(c) and comply with TIA § 313(d).</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7.11. Preferential Collection of Claims Against Company.</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7.12. Appointment of Authenticating Agent.</w:t>
      </w:r>
    </w:p>
    <w:p>
      <w:pPr>
        <w:spacing w:after="0" w:line="11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Trustee may appoint an agent (the “</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reasonably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85"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Each Authenticating Agent shall at all times be a corporation organized and doing business and in good standing under the laws of the United States or any state thereof, authorized under such laws to act as Authenticating Agent, having a combined capital and surplus of not less than $100.0 million (together with its corporate parent) as set forth in the most recent applicable published annual report of condition and subject to supervision or examination by federal or state authorities. If at any time an Authenticating Agent shall cease to be eligible in accordance with the provisions of this Article VII, it shall resign immediately in the manner and with the effect specified in this Article VII.</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continue to be an Authenticating Agent, provided such corporation shall be otherwise eligible under this Article VII, without the execution or filing of any paper or any further act on the part of the Trustee or the Authenticating Agent.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101" w:name="page102"/>
    <w:bookmarkEnd w:id="10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this Section 7.12,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7.12.</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for its services under this Section 7.12.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8.01. Without Consent of Holders.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provided as contemplated by Section 2.02 with respect to any series of Securities, the Company, the Guarantors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may modify or amend this Indenture without the consent of any Holder of a Security of any series to:</w:t>
      </w:r>
    </w:p>
    <w:p>
      <w:pPr>
        <w:spacing w:after="0" w:line="99" w:lineRule="exact"/>
        <w:rPr>
          <w:sz w:val="20"/>
          <w:szCs w:val="20"/>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mistake or inconsistency in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Section 4.04 or 5.01, including to provide for or evidence the release of any Guarantor in accordance with Section 10.07;</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add to or change any provisions of this Indenture as shall be necessary for or facilitate the administration of the trusts hereunder by more than one Trustee, pursuant to the requirements of</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7.07(f);</w:t>
      </w:r>
    </w:p>
    <w:p>
      <w:pPr>
        <w:spacing w:after="0" w:line="98"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Commission in order to effect or maintain the qualification of this Indenture or any supplemental indenture under the TIA;</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Securities of such series or that does not adversely affect in any material respect the legal rights under this Indenture of any such Holder;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any series of Securities;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and terms of Securities of any series as permitted in Section 2.02, or authorize the issuance of Additional Securities of a series previously authorized or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benefit of the Holders or to surrender any right or power conferred upon the Company or any Guarantor;</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2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this Indenture, any supplemental indenture, the Securities or the Guarantees to the extent a provision hereof or thereof was intended to be a substantially verbatim recitation of the applicable provision under the caption “Description of Debt Securities” or “Description of Notes” (or comparable section) contained in the applicable registration statement, prospectus, prospectus supplement, free-writing prospectus or offering memorandum;</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any Guarantor to execute a supplemental indenture and/or Guarantee with respect to the Securities of any series;</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2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of the provisions of this Indenture with respect to one or more series of Securities, so long as any such addition, change or elimination not otherwise permitted under this Indenture shall (A) neither apply to any Security of any series created prior to the execution of such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102" w:name="page103"/>
    <w:bookmarkEnd w:id="102"/>
    <w:p>
      <w:pPr>
        <w:ind w:left="440"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and entitled to the benefit of such provision nor modify the rights of the Holders of any such Security with respect to the benefit of such provision or (B) become effective only when there is no such Security outstanding;</w:t>
      </w:r>
    </w:p>
    <w:p>
      <w:pPr>
        <w:spacing w:after="0" w:line="54" w:lineRule="exact"/>
        <w:rPr>
          <w:sz w:val="20"/>
          <w:szCs w:val="20"/>
          <w:color w:val="auto"/>
        </w:rPr>
      </w:pPr>
    </w:p>
    <w:p>
      <w:pPr>
        <w:ind w:left="440" w:right="420" w:firstLine="419"/>
        <w:spacing w:after="0" w:line="266"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or any other series of Securities; and</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authentication and delivery of additional series of Securities.</w:t>
      </w:r>
    </w:p>
    <w:p>
      <w:pPr>
        <w:spacing w:after="0" w:line="225"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accompanied by a board resolution of the Board of Directors authorizing the execution of any such supplemental indenture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8.02. With Consent of Holders.</w:t>
      </w:r>
    </w:p>
    <w:p>
      <w:pPr>
        <w:spacing w:after="0" w:line="119" w:lineRule="exact"/>
        <w:rPr>
          <w:sz w:val="20"/>
          <w:szCs w:val="20"/>
          <w:color w:val="auto"/>
        </w:rPr>
      </w:pPr>
    </w:p>
    <w:p>
      <w:pPr>
        <w:ind w:right="40" w:firstLine="436"/>
        <w:spacing w:after="0" w:line="25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Guarantors and the Trustee may modify or amend this Indenture as it applies to a series of Securities with the consent of the Holders of a majority in aggregate principal amount of the then outstanding Securities of such series affected by the modification or amendment (including consents obtained in connection with a tender offer or exchange offer for Securities of such series), and any past default or compliance with any provisions of this Indenture relating to a series of Securities may also be waived (except a default in the payment of principal, premium or interest and a default under clause (b) of this Section 8.02) with the consent of the Holders of a majority in aggregate principal amount of the then outstanding Securities of such series.</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no such modification or amendment may, without the consent of each Holder of Securities of a series affected thereby:</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due date of the principal of, or any installment of principal of or interest on, the Securities of such series, or reduce the amount of the principal of an Original Issue Discount Security that would be due and payable upon a declaration of acceleration of the maturity thereof pursuant to Section 6.02;</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economic terms of any right to convert or exchange any Security as may be provided pursuant to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2.02;</w:t>
      </w:r>
    </w:p>
    <w:p>
      <w:pPr>
        <w:spacing w:after="0" w:line="99" w:lineRule="exact"/>
        <w:rPr>
          <w:sz w:val="20"/>
          <w:szCs w:val="20"/>
          <w:color w:val="auto"/>
        </w:rPr>
      </w:pPr>
    </w:p>
    <w:p>
      <w:pPr>
        <w:ind w:left="1120" w:hanging="261"/>
        <w:spacing w:after="0"/>
        <w:tabs>
          <w:tab w:leader="none" w:pos="11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rate on, the Securities of such series;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the Securities of such series;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upon the redemption of any Security of such series;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Securities of such series after the due date thereof; or</w:t>
      </w:r>
    </w:p>
    <w:p>
      <w:pPr>
        <w:spacing w:after="0" w:line="53" w:lineRule="exact"/>
        <w:rPr>
          <w:rFonts w:ascii="Times New Roman" w:cs="Times New Roman" w:eastAsia="Times New Roman" w:hAnsi="Times New Roman"/>
          <w:sz w:val="18"/>
          <w:szCs w:val="18"/>
          <w:color w:val="auto"/>
        </w:rPr>
      </w:pPr>
    </w:p>
    <w:p>
      <w:pPr>
        <w:jc w:val="both"/>
        <w:ind w:left="440" w:right="100" w:firstLine="419"/>
        <w:spacing w:after="0" w:line="312" w:lineRule="auto"/>
        <w:tabs>
          <w:tab w:leader="none" w:pos="111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the then outstanding Securities of such series, the consent of whose Holders is required for modification or amendment of this Indenture, for waiver of compliance with certain provisions of this Indenture or for waiver of certain defaults.</w:t>
      </w:r>
    </w:p>
    <w:p>
      <w:pPr>
        <w:spacing w:after="0" w:line="31" w:lineRule="exact"/>
        <w:rPr>
          <w:rFonts w:ascii="Times New Roman" w:cs="Times New Roman" w:eastAsia="Times New Roman" w:hAnsi="Times New Roman"/>
          <w:sz w:val="17"/>
          <w:szCs w:val="17"/>
          <w:color w:val="auto"/>
        </w:rPr>
      </w:pPr>
    </w:p>
    <w:p>
      <w:pPr>
        <w:ind w:right="80" w:firstLine="436"/>
        <w:spacing w:after="0" w:line="258"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principal amount of then outstanding Securities of any series may waive future compliance with certain restrictive covenants of this Indenture applicable to such series of Securities. The Holders of at least a majority in principal amount of then outstanding Securities of a series may waive any past default under this Indenture with respect to such series, except a failure by the Company to pay the principal of, or any premium or interest on, any Securities of such series or a provision that cannot be modified or amended without the consent of the Holders of all outstanding Securities of such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103" w:name="page104"/>
    <w:bookmarkEnd w:id="103"/>
    <w:p>
      <w:pPr>
        <w:ind w:right="20" w:firstLine="436"/>
        <w:spacing w:after="0" w:line="261"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determining whether the Holders of the required principal amount of a series of Securities have concurred in any direction, notice, waiver or consent,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Securities that a Responsible Officer of the Trustee actually knows are so owned will be so disregarded.</w:t>
      </w:r>
    </w:p>
    <w:p>
      <w:pPr>
        <w:spacing w:after="0" w:line="71" w:lineRule="exact"/>
        <w:rPr>
          <w:rFonts w:ascii="Times New Roman" w:cs="Times New Roman" w:eastAsia="Times New Roman" w:hAnsi="Times New Roman"/>
          <w:sz w:val="18"/>
          <w:szCs w:val="18"/>
          <w:color w:val="auto"/>
        </w:rPr>
      </w:pPr>
    </w:p>
    <w:p>
      <w:pPr>
        <w:ind w:right="800" w:firstLine="436"/>
        <w:spacing w:after="0" w:line="282"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for the consent of the Holders under this Section 8.02 to approve the particular form of any proposed amendment, supplement or waiver, but it is sufficient if such consent approves the substance thereof.</w:t>
      </w:r>
    </w:p>
    <w:p>
      <w:pPr>
        <w:spacing w:after="0" w:line="54"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After an amendment that requires the consent of the Holders of the affected Securities becomes effective, the Company shall transmit to each registered Holder of the affected Securities at such Holder’s address appearing in the security register a notice briefly describing such amendment. However, the failure to give such notice to all Holders of such Securities, or any defect therein, shall not impair or affect the validity of the amendment.</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Upon the written request of the Company accompanied by a board resolution of the Board of Directors authorizing the execution of any such supplemental indenture, and upon the receipt by the Trustee of evidence reasonably satisfactory to the Trustee of the consent of the Holders as aforesaid and upon receipt by the Trustee of the documents described in Section 8.05, the Trustee shall join with the Company and the Guarantors in the execution of such supplemental indenture unless such supplemental indenture affects the Trustee’s own rights, duties or immunities under this Indenture, in which case the Trustee may, but shall not be obligated to, enter into such supplemental indenture.</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8.03. Revocation and Effect of Consents.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After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 unless the consent of the requisite number of Holders has been obtained.</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8.04. Notation on or Exchange of Securities.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 amendment, supplement, or waiver changes the terms of a Security, the Trustee (in accordance with the specific written direction of the Company) shall request the Holder of the Security (in accordance with the specific written direction of the Company) to deliver it to the Trustee. In such case,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 Failure to make the appropriate notation or issue a new Security shall not affect the validity and effect of such amendment, supplement or waiver.</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8.05. Trustee To Sign Amendments, etc.</w:t>
      </w:r>
    </w:p>
    <w:p>
      <w:pPr>
        <w:spacing w:after="0" w:line="119"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sign any amendment, supplement or waiver authorized pursuant to this Article VIII if the amendment, supplement or waiver does not affect the rights, duties, liabilities or immunities of the Trustee. If it does affect the rights, duties, liabilities or immunities of the Trustee, the Trustee may, but need not, sign such amendment, supplement or waiver. In signing or refusing to sign such amendment, supplement or waiver the Trustee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04" w:name="page105"/>
    <w:bookmarkEnd w:id="104"/>
    <w:p>
      <w:pPr>
        <w:ind w:right="2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entitled to receive and, subject to Section 7.01, shall be fully protected in relying upon an Officer’s Certificate and an Opinion of Counsel stating, in addition to the matters required by Section 12.03, that such amendment, supplement or waiver is authorized or permitted by this Indenture.</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8.06. Compliance with Trust Indenture Act.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Every amendment or supplement to this Indenture or the Securities shall comply with the TIA as then in effect.</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8.07. Effect of Execution of Supplemental Indenture.</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VIII,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 OF INDENTURE; DEFEASANCE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9.01. Applicability of Article.</w:t>
      </w:r>
    </w:p>
    <w:p>
      <w:pPr>
        <w:spacing w:after="0" w:line="11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contemplated by Section 2.02 with respect to any series of Securities, if provision is made for the defeasance of Securities of a series and if the Securities of such series are denominated and payable only in U.S. Dollars, then the provisions of this Article IX shall be applicable. Defeasance provisions, if any, for Securities denominated in a Foreign Currency may be specified pursuant to Section 2.02.</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9.02. Satisfaction and Discharge of Liability on Securities; Defeasance.</w:t>
      </w:r>
    </w:p>
    <w:p>
      <w:pPr>
        <w:spacing w:after="0" w:line="119" w:lineRule="exact"/>
        <w:rPr>
          <w:sz w:val="20"/>
          <w:szCs w:val="20"/>
          <w:color w:val="auto"/>
        </w:rPr>
      </w:pPr>
    </w:p>
    <w:p>
      <w:pPr>
        <w:ind w:right="700" w:firstLine="436"/>
        <w:spacing w:after="0" w:line="266"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will be discharged and will cease to be of further effect with respect to any series of Securities (except as to rights of registration of transfer or exchange of Securities and rights to receive principal of and premium, if any, and interest on such Securities) as to all outstanding Securities of such series issued hereunder when: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7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Securities of such series that have been authenticated and delivered (except lost, stolen or destroyed Securities which have been replaced or paid and Securities for whose payment money has been deposited in trust or segregated and held in trust by the Company and thereafter repaid to the Company or discharged from this trust) have been delivered to the Trustee for cancellation, or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6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not delivered to the Trustee for cancellation otherwise (i) have become due and payable, (ii) will become due and payable, or are to be called for redemption, within one year or (iii) have been called for redemption as otherwise specified pursuant to Section 2.02 for Securities of such series, and, in any case, the Company or any Guarantor has irrevocably deposited or caused to be deposited with the Trustee as trust funds, in trust solely for the benefit of the Holders of such Securities, U.S. legal tender, U.S. Government Obligations or a combination thereof, in such amounts as will be sufficient (without consideration of any reinvestment of interest) to pay and discharge the entire Indebtedness (including all principal and accrued interest) on the Securities of such series not theretofore delivered to the Trustee for cancellation,</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paid all sums payable by it under this Indenture,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to apply the deposited money toward the payment of the Securities of such series at maturity or on the Redemption Date, as the case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105" w:name="page106"/>
    <w:bookmarkEnd w:id="105"/>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must deliver to the Trustee an Officer’s Certificate and an Opinion of Counsel stating that all conditions precedent to satisfaction and discharge have been complied with.</w:t>
      </w:r>
    </w:p>
    <w:p>
      <w:pPr>
        <w:spacing w:after="0" w:line="54" w:lineRule="exact"/>
        <w:rPr>
          <w:sz w:val="20"/>
          <w:szCs w:val="20"/>
          <w:color w:val="auto"/>
        </w:rPr>
      </w:pPr>
    </w:p>
    <w:p>
      <w:pPr>
        <w:ind w:right="40" w:firstLine="436"/>
        <w:spacing w:after="0" w:line="258"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(c) of this Section 9.02 and Section 9.03, the Company may, at its option and at any time, elect to have its obligations and the obligations of the Guarantors discharged with respect to the outstanding Securities of a series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Legal Defeasance means that the Company and the Guarantors shall be deemed to have paid and discharged the entire indebtedness represented by the Securities of such series and the related Guarantees, and this Indenture shall cease to be of further effect as to all outstanding Securities of such series and the related Guarantees, except as to:</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such series of Securities issued under this Indenture to receive payments in respect of the principal of, premium, if any, and interest on such Securities when such payments are due solely out of the trust created pursuant to this Indenture;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series of Securities concerning issuing temporary Securities under Section 2.12,</w:t>
      </w:r>
    </w:p>
    <w:p>
      <w:pPr>
        <w:spacing w:after="0" w:line="27" w:lineRule="exact"/>
        <w:rPr>
          <w:rFonts w:ascii="Times New Roman" w:cs="Times New Roman" w:eastAsia="Times New Roman" w:hAnsi="Times New Roman"/>
          <w:sz w:val="18"/>
          <w:szCs w:val="18"/>
          <w:color w:val="auto"/>
        </w:rPr>
      </w:pPr>
    </w:p>
    <w:p>
      <w:pPr>
        <w:ind w:left="4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Securities under Section 2.05, mutilated, destroyed, lost or stolen Securities under Section 2.09, and the maintenance of an office or agency for payment under Section 2.05 and money for security payments held in trust under Section 2.06;</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duties, and immunities of the Trustee, and the Company’s obligation in connection therewith;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provisions of this Article IX.</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the Company may, at its option and at any time, elect to have its obligations and the obligations of the Guarantors released with respect to (A) their respective obligations under Sections 4.03 through 4.05 with respect to the outstanding Securities of a series, (B) the operation of Sections 6.01(5), (6), (7) or (8) (only as such clauses (7) or (8) apply to Significant Subsidiaries) and (C) if so specified pursuant to Section 2.02 with respect to Securities of a series, any other restrictive covenant added for the benefit of such series pursuant to Section 2.02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on and after the conditions in Section 9.03 with respect to Covenant Defeasance are satisfied, and thereafter any omission to comply with such obligations shall not constitute a Default or Event of Default with respect to such Securities. The Company may exercise its Legal Defeasance option regardless of whether it previously exercised Covenant Defeasance.</w:t>
      </w:r>
    </w:p>
    <w:p>
      <w:pPr>
        <w:spacing w:after="0" w:line="81" w:lineRule="exact"/>
        <w:rPr>
          <w:sz w:val="20"/>
          <w:szCs w:val="20"/>
          <w:color w:val="auto"/>
        </w:rPr>
      </w:pPr>
    </w:p>
    <w:p>
      <w:pPr>
        <w:ind w:right="100" w:firstLine="436"/>
        <w:spacing w:after="0" w:line="282"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exercises its Legal Defeasance option, payment of the Securities of such series may not be accelerated because of an Event of Default with respect thereto.</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of the conditions set forth herein and upon request of the Company, the Trustee shall acknowledge in writing the discharge of those obligations that the Company terminates.</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clauses (a) and (b) of this Section 9.02, the Company’s obligations in Sections 2.05, 2.07, 2.08, 2.09, 2.17, 7.06, 9.06 and 9.07 shall survive with respect to such series of Securities until such time as the Securities of such series have been paid in full. Thereafter, the Company’s obligations in Sections 7.06, 9.06 and 9.07 shall survive.</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9.03. Conditions to Defeasance.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the Securities of any series:</w:t>
      </w:r>
    </w:p>
    <w:p>
      <w:pPr>
        <w:spacing w:after="0" w:line="117" w:lineRule="exact"/>
        <w:rPr>
          <w:sz w:val="20"/>
          <w:szCs w:val="20"/>
          <w:color w:val="auto"/>
        </w:rPr>
      </w:pPr>
    </w:p>
    <w:p>
      <w:pPr>
        <w:jc w:val="both"/>
        <w:ind w:right="20" w:firstLine="436"/>
        <w:spacing w:after="0" w:line="277" w:lineRule="auto"/>
        <w:tabs>
          <w:tab w:leader="none" w:pos="68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must irrevocably deposit with the Trustee or other agent, as trust funds, in trust solely for the benefit of the Holders of the Securities of such series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(including any mandatory sinking fund payments) of, premium, if any, and interest on the Securities of such series on the stated date for payment or on the Redemption Date of the principal or installment of principal of, premium, if any, or interest on such series of Securities;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06" w:name="page107"/>
    <w:bookmarkEnd w:id="106"/>
    <w:p>
      <w:pPr>
        <w:ind w:firstLine="436"/>
        <w:spacing w:after="0" w:line="258"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Legal Defeasance, the Company shall have delivered to the Trustee an Opinion of Counsel to the effect that the beneficial owners of Securities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Issue Date, or the Company having received a ruling from, or published by, the Internal Revenue Service to that effect;</w:t>
      </w:r>
    </w:p>
    <w:p>
      <w:pPr>
        <w:spacing w:after="0" w:line="75"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Company shall have delivered to the Trustee an Opinion of Counsel to the effect that the beneficial owners of Securities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1"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9.03, the conditions set forth in the foregoing subsections (b), (c), (d) and (e) need not be satisfied so long as, at the time the Company makes the deposit described in subsection (a), (i) no Default under clauses (1), (2), (8) and (9) under Section 6.01 has occurred and is continuing on the date of such deposit and after giving effect thereto, and (ii) either (x) a notice of redemption has been transmitted providing for redemption of all the Securities of such series not more than 60 days after such transmission and the requirements for such redemption shall have been complied with or (y) the Stated Maturity of the Securities of such series will occur within 60 days. If the conditions in the preceding sentence are satisfied, the Company shall be deemed to have exercised its Covenant Defeasance option.</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the funds deposited with the Trustee or other agent to effect Covenant Defeasance are insufficient to pay the principal of and interest on the Securities of the applicable series when due, then the Company’s obligations and the obligations of the Guarantors under this Indenture will be revived with respect to such series and no such defeasance will be deemed to have occurred.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9.04. Deposited Money and U.S. Government Obligations To Be Held in Trust; Other Miscellaneous Provisions.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money and U.S. Government Obligations (including the proceeds thereof) deposited with the Trustee or other agent pursuant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9.03(a) in respect of the outstanding Securities of a series shall be held in trust and applied by the Trustee or other agent, in accordance with the provisions of such Securities and this Indenture, to the payment, either directly or through any Paying Agent, to the Holders of such Securities, of all sums due and to become due thereon in respect of principal, premium, if any, and accrued interest, but such money need not be segregated from other funds except to the extent required by law.</w:t>
      </w:r>
    </w:p>
    <w:p>
      <w:pPr>
        <w:spacing w:after="0" w:line="18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or other agent against any tax, fee or other charge imposed on or assessed against the U.S. Government Obligations deposited pursuant to Section 9.03(a) or the principal, premium, if any, and interest received in respect thereof other than any such tax, fee or other charge which by law is for the account of the Holders of the outstanding Securities.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Anything in this Article IX to the contrary notwithstanding, the Trustee or other agent shall deliver or pay to the Company from time to time upon a request of the Company any money or U.S. Government Obligations held by it as provided in Section 9.03(a) which, in the opinion of a nationally recognized firm of independent public accountants expressed in a written certification thereof delivered to the Trustee or other agent, are in excess of the amount thereof which would then be required to be deposited to effect an equivalent Legal Defeasance or Covenant Defeasance.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9.05. Reinstatement.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U.S. Government Obligations in accordance with Section 9.02 by reason of any legal proceeding or by reason of any order or judgment of any court or U.S. Governmental Authority enjoining, restraining or otherwise prohibiting such application, the Company’s obligations under this Indenture and the applicable Securities shall be revived and reinstated as though no deposit had occurred pursuant to this Article IX until such time as the Trustee or Paying Agent is permitted to apply all such money or U.S. Government Obligations in accordance with Section 9.02;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made any payment of principal of, premium, if any, or accrued interest on any Securities because of the reinstatement of its obligations, the Company shall be subrogated to the rights of the Holders of such Securities to receive such payment from the money or U.S. Government Obligations held by the Trustee or Paying Agent.</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9.06. Moneys Held by Paying Agent.</w:t>
      </w:r>
    </w:p>
    <w:p>
      <w:pPr>
        <w:spacing w:after="0" w:line="119"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satisfaction and discharge of this Indenture, all moneys then held by any Paying Agent under the provisions of this Indenture shall, upon written demand of the Company, be paid to the Trustee, or if sufficient moneys have been deposited pursuant to Section 9.03(a), to the Company upon a request of the Company, and thereupon the Paying Agent shall be released from all further liability with respect to such moneys.</w:t>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9.07. Moneys Held by Trustee.</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 moneys deposited with the Trustee or any Paying Agent or then held by the Company in trust for the payment of the principal of, or premium, if any, or interest on any Security that are not applied but remain unclaimed by the Holder of such Security for two years after the date upon which the principal of, or premium, if any, or interest on such Security shall have respectively become due and payable shall be repaid to the Company upon a request of the Company,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the Paying Agent with respect to such trust money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or the Paying Agent, before being required to make any such repayment, may, at the expense of the Company either transmit to each Holder affected, at the address shown in the register of the Securities maintained by the Registrar pursuant to Section 2.05,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transmission or publication, any unclaimed balance of such moneys then remaining will be repaid to the Company. After payment to the Company or the release of any money held in trust by the Company, Holders entitled to the money must look only to the Company for payment as general creditors unless applicable abandoned property law designates another Person.</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9.08. Deposits of Non-U.S. Currencies.</w:t>
      </w:r>
    </w:p>
    <w:p>
      <w:pPr>
        <w:spacing w:after="0" w:line="227"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Article IX, if the Securities of any series are payable in a Currency other than U.S. Dollars, the Currency or the nature of the government obligations to be deposited with the Trustee under the foregoing provisions of this Article IX shall be as set forth in the Company Order or established in the supplemental indenture under which the Securities of such series are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10.01. Guarantees.</w:t>
      </w:r>
    </w:p>
    <w:p>
      <w:pPr>
        <w:spacing w:after="0" w:line="119" w:lineRule="exact"/>
        <w:rPr>
          <w:sz w:val="20"/>
          <w:szCs w:val="20"/>
          <w:color w:val="auto"/>
        </w:rPr>
      </w:pPr>
    </w:p>
    <w:p>
      <w:pPr>
        <w:ind w:right="140" w:firstLine="436"/>
        <w:spacing w:after="0" w:line="258"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by Section 2.02 with respect to any series of Securities, if any series of Securities is issued with the benefit of Guarantees, then the provisions of this Article X will be applicable to such Securities. Each reference in this Article X to a “Security” or the “Securities” refers to the Securities of the particular series as to which provision has been made for such Guarantees. If more than one series of Securities as to which such provision has been made are outstanding at any time, the provisions of this Article X shall be applied separately to each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8" w:right="459" w:bottom="1440" w:gutter="0" w:footer="0" w:header="0"/>
        </w:sectPr>
      </w:pPr>
    </w:p>
    <w:bookmarkStart w:id="108" w:name="page109"/>
    <w:bookmarkEnd w:id="108"/>
    <w:p>
      <w:pPr>
        <w:ind w:firstLine="436"/>
        <w:spacing w:after="0" w:line="254"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Guarantor, hereby jointly and severally, absolutely, unconditionally and irrevocably guarantees the Securities and obligations of the Company hereunder and thereunder, and guarantees to each Holder of a Security authenticated and delivered by the Trustee, and to the Trustee on behalf of such Holder, that (i) the principal of (and premium, if any) and interest on the Securities will be paid in full when due, whether at Stated Maturity, by acceleration or otherwise (including, without limitation, the amount that would become due but for the operation of any automatic stay provision of any Bankruptcy Law), together with interest on the overdue principal, if any, and interest on any overdue interest, to the extent lawful, and all other obligations of the Company to the Holders or the Trustee hereunder or thereunder will be paid in full or performed, all in accordance with the terms hereof and thereof; and (ii) in case of any extension of time of payment or renewal of any Securities or of any such other obligations, the same will be paid in full when due or performed in accordance with the terms of the extension or renewal, whether at Stated Maturity, by acceleration or otherwise, subject, however, in the case of clauses (i) and (ii) above, to the limitations set forth in Section 10.03.</w:t>
      </w:r>
    </w:p>
    <w:p>
      <w:pPr>
        <w:spacing w:after="0" w:line="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Each Guarantor hereby agrees that its obligations hereunder shall be unconditional, irrespective of the validity, regularity or enforceability of the Securities or this Indenture, the absence of any action to enforce the same, any waiver or consent by any Holder of Securities with respect to any provisions hereof or thereof, any release of any other Guarantor, the recovery of any judgment against the Company, any action to enforce the same or any other circumstance which might otherwise constitute a legal or equitable discharge or defense of a Guarantor.</w:t>
      </w:r>
    </w:p>
    <w:p>
      <w:pPr>
        <w:spacing w:after="0" w:line="72" w:lineRule="exact"/>
        <w:rPr>
          <w:sz w:val="20"/>
          <w:szCs w:val="20"/>
          <w:color w:val="auto"/>
        </w:rPr>
      </w:pPr>
    </w:p>
    <w:p>
      <w:pPr>
        <w:ind w:right="100" w:firstLine="436"/>
        <w:spacing w:after="0" w:line="253"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waives (to the extent permitted by law) the benefits of diligence, presentment, demand for payment, filing of claims with a court in the event of insolvency or bankruptcy of the Company, any right to require a proceeding first against the Company or any other Person, protest, notice and all demands whatsoever and covenants that the Guarantee of such Guarantor shall not be discharged as to any series of Securities, as the case may be, except by complete performance of the obligations contained in such Securities, this Indenture and such Guarantee. Each Guarantor acknowledges that the Guarantee is a guarantee of payment and not of collection. Each of the Guarantors hereby agrees that, in the event of a default in payment of principal (or premium, if any) or interest on such Security, whether at its Stated Maturity, by acceleration, purchase or otherwise, legal proceedings may be instituted by the Trustee on behalf of, or by, the Holder of such Security, subject to the terms and conditions set forth in this Indenture, directly against each of the Guarantors to enforce such Guarantor’s Guarantee without first proceeding against the Company or any other Guarantor. Each Guarantor agrees that if, after the occurrence and during the continuance of an Event of Default, the Trustee or any of the Holders are prevented by applicable law from exercising their respective rights to accelerate the maturity of the Securities, to collect interest on the Securities, or to enforce or exercise any other right or remedy with respect to the Securities,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Company or any Guarantor, or any custodian, trustee, liquidator or other similar official acting in relation to either the Company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this Article X, the maturity of the obligations guaranteed hereby may be accelerated as provided in Article VI for the purposes of the Guarantee of such Guarantor, notwithstanding any stay, injunction or other prohibition preventing such acceleration in respect of the obligations guaranteed hereby, and (y) in the event of any acceleration of such obligations as provided in Article VI, such obligations (whether or not due and payable) shall forthwith become due and payable by each Guarantor for the purpose of the Guarantee of such Guarantor.</w:t>
      </w:r>
    </w:p>
    <w:p>
      <w:pPr>
        <w:spacing w:after="0" w:line="83"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09" w:name="page110"/>
    <w:bookmarkEnd w:id="109"/>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to the fullest extent permitted by law, be reinstated and deemed reduced only by such amount paid and not so rescinded, reduced, restored or returned.</w:t>
      </w:r>
    </w:p>
    <w:p>
      <w:pPr>
        <w:spacing w:after="0" w:line="54" w:lineRule="exact"/>
        <w:rPr>
          <w:sz w:val="20"/>
          <w:szCs w:val="20"/>
          <w:color w:val="auto"/>
        </w:rPr>
      </w:pPr>
    </w:p>
    <w:p>
      <w:pPr>
        <w:ind w:firstLine="436"/>
        <w:spacing w:after="0" w:line="255" w:lineRule="auto"/>
        <w:tabs>
          <w:tab w:leader="none" w:pos="6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its Guarantee, each Guarantor hereby agrees that a Notation of Guarantee will be endorsed by an Officer of such Guarantor on each Security authenticated and delivered to the Trustee and that this Indenture or a supplemental indenture to this Indenture will be executed on behalf of such Guarantor by one of its Officers. Each Guarantor hereby agrees that its Guarantee will remain in full force and effect notwithstanding any failure to endorse on each Security a Notation of Guarantee. The delivery of any Security by the Trustee, after the authentication thereof hereunder, will be deemed to constitute due delivery of the Notation of Guarantee set forth in this Indenture by the Guarantors. If an Officer whose signature is on this Indenture or on the Notation of Guarantee no longer holds that office at the time the Trustee authenticates the Security on which a Notation of Guarantee is endorsed, the Notation of Guarantee will be valid nevertheless.</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10.02. Severability.</w:t>
      </w:r>
    </w:p>
    <w:p>
      <w:pPr>
        <w:spacing w:after="0" w:line="119"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of any Guarantee shall be invalid, illegal or unenforceable, the validity, legality, and enforceability of the remaining provisions shall not in any way be affected or impaired thereby.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10.03. Limitation of Liability.</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Article X, result in the obligations of such Guarantor under its Guarantee constituting such fraudulent transfer or conveyance.</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10.04. Contribution.</w:t>
      </w:r>
    </w:p>
    <w:p>
      <w:pPr>
        <w:spacing w:after="0" w:line="117" w:lineRule="exact"/>
        <w:rPr>
          <w:sz w:val="20"/>
          <w:szCs w:val="20"/>
          <w:color w:val="auto"/>
        </w:rPr>
      </w:pPr>
    </w:p>
    <w:p>
      <w:pPr>
        <w:jc w:val="both"/>
        <w:ind w:right="4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order to provide for just and equitable contribution among the Guarantors, the Guarantors agree,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that in the event any payment or distribution is made by any Guarantor under a Guarantee, such Guarantor will be entitled to a contribution from any other Guarantor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amount based on the net assets of each Guarantor determined in accordance with GAAP.</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10.05. Subrogation.</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Guarantor shall be subrogated to all rights of Holders against the Company in respect of any amounts paid by any Guarantor pursuant to the provisions of Section 10.01;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Event of Default has occurred and is continuing, no Guarantor shall be entitled to enforce or receive any payments arising out of, or based upon, such right of subrogation until all amounts then due and payable by the Company under this Indenture or the Securities shall have been paid in full.</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10.06. Reinstatement.</w:t>
      </w:r>
    </w:p>
    <w:p>
      <w:pPr>
        <w:spacing w:after="0" w:line="119"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Each Guarantor hereby agrees (and each Person who becomes a Guarantor shall agree) that the Guarantee provided for in Section 10.01 shall continue to be effective or be reinstated, as the case may be, if at any time, payment, or any part thereof, of any obligations or interest thereon is rescinded or must otherwise be restored by a Holder to the Company upon the bankruptcy or insolvency of the Company or any Guarantor.</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10.07. Release of a Guarantor.</w:t>
      </w:r>
    </w:p>
    <w:p>
      <w:pPr>
        <w:spacing w:after="0" w:line="11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Guarantee issued by any Guarantor under this Indenture shall be automatically and unconditionally terminated and released, without any action on the part of the Trustee, any Holder of the Securities or any other person, upon: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10" w:name="page111"/>
    <w:bookmarkEnd w:id="110"/>
    <w:p>
      <w:pPr>
        <w:ind w:left="440" w:right="660" w:firstLine="419"/>
        <w:spacing w:after="0" w:line="282"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sale or disposition of such Guarantor in a transaction that complies with this Indenture such that such Guarantor ceases to be a Subsidiary of the Company;</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Securities, if the Company exercises its Legal Defeasance option or its Covenant Defeasance option with respect to such series of Securities or if the Company’s obligations under this Indenture are discharged with respect to such series of Securities in accordance with the terms of this Indenture;</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no longer being an issuer or guarantor in respect of (i) Mylan Notes that have an aggregate principal amount in excess of $500.0 million or (ii) any Triggering Indebtedness, in each case, other than in respect of Indebtedness or Guarantees, as applicable, that are being concurrently released;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Securities, upon receipt of the consent of the Holders of a majority of the aggregate principal amount of the outstanding Securities of such series in accordance with Section 8.02.</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10.08. Benefits Acknowledged.</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Each Guarantor acknowledges that it will receive direct and indirect benefits from the financing arrangements contemplated by this Indenture and that its respective Guarantee is knowingly made in contemplation of such benefits.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SINKING FUNDS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11.01. Applicability of Sinking Fund.</w:t>
      </w:r>
    </w:p>
    <w:p>
      <w:pPr>
        <w:spacing w:after="0" w:line="119" w:lineRule="exact"/>
        <w:rPr>
          <w:sz w:val="20"/>
          <w:szCs w:val="20"/>
          <w:color w:val="auto"/>
        </w:rPr>
      </w:pPr>
    </w:p>
    <w:p>
      <w:pPr>
        <w:ind w:right="360" w:firstLine="436"/>
        <w:spacing w:after="0" w:line="266"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by Section 2.02 with respect to any series of Securities, redemption of Securities permitted or required pursuant to a sinking fund for the retirement of Securities of a series by the terms of such series of Securities shall be made in accordance with such terms of such series of Securities and this Article XI.</w:t>
      </w:r>
    </w:p>
    <w:p>
      <w:pPr>
        <w:spacing w:after="0" w:line="6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i w:val="1"/>
          <w:i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Mandatory Sinking Fund Payment may be subject to reduction as provided in Section 11.02.</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11.02. Mandatory Sinking Fund Obligation.</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3.04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11.03. Optional Redemption at Sinking Fund Redemption Price.</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sinking fund requirements of Section 11.02, to the extent, if any, provided for by the terms of a particular series of Securities, the Company may, at its option, make an Optional Sinking Fund Payment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111" w:name="page112"/>
    <w:bookmarkEnd w:id="11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11.04. Application of Sinking Fund Payment.</w:t>
      </w:r>
    </w:p>
    <w:p>
      <w:pPr>
        <w:spacing w:after="0" w:line="119" w:lineRule="exact"/>
        <w:rPr>
          <w:sz w:val="20"/>
          <w:szCs w:val="20"/>
          <w:color w:val="auto"/>
        </w:rPr>
      </w:pPr>
    </w:p>
    <w:p>
      <w:pPr>
        <w:ind w:firstLine="436"/>
        <w:spacing w:after="0" w:line="252"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sinking fund payment or payments made in funds pursuant to either Section 11.02 or 11.03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3.04. Upon written direction from the Company (which direction shall confirm the amount to be redeemed), the Trustee shall select, in the manner provided in Section 3.03,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3.04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11.04.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on the Maturity Date.</w:t>
      </w:r>
    </w:p>
    <w:p>
      <w:pPr>
        <w:spacing w:after="0" w:line="89"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11.04.</w:t>
      </w:r>
    </w:p>
    <w:p>
      <w:pPr>
        <w:spacing w:after="0" w:line="53"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redeem any Securities of a series with sinking fund moneys or send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received written notice, except that if the notice of redemption of any Securities of such series shall theretofore have been sent in accordance with the provisions hereof, the Trustee shall redeem such Securities if funds sufficient for that purpose shall be deposited with the Trustee in accordance with the terms of this Article XI. Except as aforesaid, any moneys in the sinking fund at the time any such Default or Event of Default shall occur and any moneys thereafter paid into the sinking fund shall, during the continuance of such Event of Default, be held as security for the payment of all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case such Default or Event of Default shall have been cured or waived as provided herein, such moneys shall thereafter be applied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sinking fund payment date on which such moneys are required to be applied pursuant to the provisions of this Section 11.04.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12.01. Trust Indenture Act Controls.</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provision shall control.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12.02. Notices.</w:t>
      </w:r>
    </w:p>
    <w:p>
      <w:pPr>
        <w:spacing w:after="0" w:line="119"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Except for notice or communications to Holders, any notice or communication shall be given in writing and is duly given when received if delivered in person, when receipt is acknowledged if sent by facsimile, on the next Business Day if timely delivered by a nationally recognized courier service that guarantees overnight delivery or two Business Days after deposit if mailed by first-class mail, postage prepaid, addressed as follows:</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or any Guarantor: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Canonsburg, PA 15317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Financial Officer, Treasurer and Assistant Secretary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Worldwide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825 Eighth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10019-7475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William V. Fogg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Matthew G. Jones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Mailing Address: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Ross Street, 12th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Pittsburgh, PA 15262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US Corporate Client Service 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Such notices or communications shall be effective when actually received and shall be sufficiently given if so given within the time prescribed in this Indenture.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the Guarantors or the Trustee by written notice to the others may designate additional or different addresses for subsequent notices or communications.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in any of its capacities hereunder shall have the right to accept and act upon instructions, including funds transfer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and/or any Guarantor,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shall provide to the Trustee an incumbency certificate listing officers with the authority to provide such Instructions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containing specimen signatures of such Authorized Officers, which incumbency certificate shall be amended by the Company and/or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Guarantor, as applicable, whenever a person is to be added or deleted from the listing. If the Company and/or any Guarantor, as applicable, elects to give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Instructions using Electronic Means and the Trustee in its discretion elects to act upon such Instructions, the Trustee’s understanding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Instructions shall be deemed controlling. The Company and any Guarantor understand and agree that the Trustee cannot determine the identity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sender of such Instructions and that the Trustee shall conclusively presume that directions that purport to have been sent by an Authorized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on the incumbency certificate provided to the Trustee have been sent by such Authorized Officer. The Company and any Guarantor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ensuring that only Authorized Officers transmit such Instructions to the Trustee and that the Company, any Guarantor and all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solely responsible to safeguard the use and confidentiality of applicable user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8" w:right="459" w:bottom="1440" w:gutter="0" w:footer="0" w:header="0"/>
        </w:sectPr>
      </w:pPr>
    </w:p>
    <w:bookmarkStart w:id="113" w:name="page114"/>
    <w:bookmarkEnd w:id="113"/>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codes, passwords and/or authentication keys upon receipt by the Company and/or such Guarantor, as applicable.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and any Guarantor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and/or such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8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Any notice or communication transmitted to a Holder shall be transmitted to him or her at his or her address shown on the register kept by the Registrar.</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Failure to transmit a notice or communication to a Holder or any defect in it shall not affect its sufficiency with respect to other Holders. If a notice or communication to a Holder is transmitted in the manner provided above, it shall be deemed duly given, whether or not the addressee receives 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Company transmits a notice or communication to Holders, it will transmit a copy to the Trustee and each Agent at the same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as long as the Securities of a series are in the form of a Global Security, notice to the Holders of such series may be made electronically in accordance with the applicable procedures of the Depositary.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12.03. Certificate and Opinion as to Conditions Precedent.</w:t>
      </w:r>
    </w:p>
    <w:p>
      <w:pPr>
        <w:spacing w:after="0" w:line="119" w:lineRule="exact"/>
        <w:rPr>
          <w:sz w:val="20"/>
          <w:szCs w:val="20"/>
          <w:color w:val="auto"/>
        </w:rPr>
      </w:pPr>
    </w:p>
    <w:p>
      <w:pPr>
        <w:ind w:right="420" w:firstLine="436"/>
        <w:spacing w:after="0" w:line="282"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if so requested by the Trustee, the Company shall furnish to the Trustee:</w:t>
      </w:r>
    </w:p>
    <w:p>
      <w:pPr>
        <w:spacing w:after="0" w:line="53"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must include the statements set forth in Section 12.04) stating that, in the opinion of the signer, all conditions precedent,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must include the statements set forth in Section 12.04) stating that, in the opinion of such counsel, all such conditions precedent have been complied with.</w:t>
      </w:r>
    </w:p>
    <w:p>
      <w:pPr>
        <w:spacing w:after="0" w:line="53"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80" w:lineRule="exact"/>
        <w:rPr>
          <w:rFonts w:ascii="Times New Roman" w:cs="Times New Roman" w:eastAsia="Times New Roman" w:hAnsi="Times New Roman"/>
          <w:sz w:val="18"/>
          <w:szCs w:val="18"/>
          <w:color w:val="auto"/>
        </w:rPr>
      </w:pPr>
    </w:p>
    <w:p>
      <w:pPr>
        <w:ind w:right="220" w:firstLine="436"/>
        <w:spacing w:after="0" w:line="258"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14" w:name="page115"/>
    <w:bookmarkEnd w:id="114"/>
    <w:p>
      <w:pPr>
        <w:ind w:right="140" w:firstLine="436"/>
        <w:spacing w:after="0" w:line="261"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1" w:lineRule="exact"/>
        <w:rPr>
          <w:rFonts w:ascii="Times New Roman" w:cs="Times New Roman" w:eastAsia="Times New Roman" w:hAnsi="Times New Roman"/>
          <w:sz w:val="18"/>
          <w:szCs w:val="18"/>
          <w:color w:val="auto"/>
        </w:rPr>
      </w:pPr>
    </w:p>
    <w:p>
      <w:pPr>
        <w:ind w:right="100" w:firstLine="436"/>
        <w:spacing w:after="0" w:line="282"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12.04. Statements Required in Certificate and Opinion.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61"/>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12.05. Communications by Holders with Other Holders.</w:t>
      </w:r>
    </w:p>
    <w:p>
      <w:pPr>
        <w:spacing w:after="0" w:line="11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Holders may communicate pursuant to TIA § 312(b) with other Holders with respect to their rights under this Indenture or the Securities. The Company, the Trustee, the Registrar and anyone else shall have the protection of TIA § 312(c).</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12.06. Rules by Trustee and Agents.</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12.07. No Personal Liability of Directors, Officers, Employees and Stockholders.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board member, member, partner, officer, employee or equityholder of the Company, any Guarantor or any of their respective Subsidiaries will have any liability for any of the Company’s or such Guarantor’s obligations under the Securities or this Indenture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Securities.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12.08. Governing Law; Waiver of Jury Trial; Jurisdiction.</w:t>
      </w:r>
    </w:p>
    <w:p>
      <w:pPr>
        <w:spacing w:after="0" w:line="22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INTERNAL LAW OF THE STATE OF NEW YORK (INCLUDING, WITHOUT LIMITATION, SECTION 5-1401 OF THE NEW YORK GENERAL OBLIGATIONS LAW OR ANY SUCCESSOR TO SUCH STATUTE) WILL GOVERN AND BE USED TO CONSTRUE THIS INDENTURE, THE SECURITIES AND THE GUARANTEES WITHOUT GIVING EFFECT TO APPLICABLE PRINCIPLES OF CONFLICTS OF LAW TO THE EXTENT THAT THE APPLICATION OF THE LAWS OF ANOTHER JURISDICTION WOULD BE REQUIRED THEREBY.</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EACH PARTY HEREBY, AND EACH HOLDER OF A SECURITY BY ITS ACCEPTANCE THEREOF, WAIVES, TO THE FULLEST EXTENT PERMITTED BY APPLICABLE LAW, ANY RIGHT 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15" w:name="page116"/>
    <w:bookmarkEnd w:id="115"/>
    <w:p>
      <w:pPr>
        <w:ind w:right="10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HAVE TO A TRIAL BY JURY IN RESPECT OF ANY LITIGATION DIRECTLY OR INDIRECTLY ARISING OUT OF, OR IN CONNECTION WITH THIS INDENTURE.</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THE COMPANY HEREBY IRREVOCABLY CONSENTS TO THE SERVICE OF PROCESS OUT OF ANY OF THE AFOREMENTIONED COURTS IN ANY SUCH ACTION OR PROCEEDING BY THE MAILING OF COPIES THEREOF BY REGISTERED OR CERTIFIED MAIL, POSTAGE PREPAID, TO THE COMPANY AT ITS ADDRESS REFERRED TO IN SECTION 12.02.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12.09. No Adverse Interpretation of Other Agreements.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Indenture may not be used to interpret any other indenture, loan or debt agreement of the Company or its Subsidiaries or of any other Person.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12.10. Successors.</w:t>
      </w:r>
    </w:p>
    <w:p>
      <w:pPr>
        <w:spacing w:after="0" w:line="11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will bind its successors. All agreements of the Trustee in this Indenture will bind its successors. All agreements of each Guarantor in this Indenture will bind its successors, except as otherwise provided in Section 10.07.</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12.11. Separability.</w:t>
      </w:r>
    </w:p>
    <w:p>
      <w:pPr>
        <w:spacing w:after="0" w:line="11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is invalid, illegal or unenforceable, the validity, legality and enforceability of the remaining provisions will not in any way be affected or impaired thereby.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12.12. Counterpart Originals.</w:t>
      </w:r>
    </w:p>
    <w:p>
      <w:pPr>
        <w:spacing w:after="0" w:line="11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but all of them together represent the same agreement. The exchange of copies of this Indenture and of signature pages by facsimile or electronic format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“pdf” or “tif”) transmission shall constitute effective execution and delivery of this Indenture as to the parties hereto and may be used in lieu of the original Indenture for all purposes. Signatures of the parties hereto transmitted by facsimile or electronic format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“pdf” or “tif”) shall be deemed to be their original signatures for all purposes.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12.13. Table of Contents, Headings, etc.</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116" w:name="page117"/>
    <w:bookmarkEnd w:id="11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12.14. Benefits of Indenture.</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Nothing in this Indenture expressed and nothing that may be implied from any of the provisions hereof is intended, or shall be construed, to confer upon, or to give to, any Person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12.15. Electronic Delivery.</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parties acknowledge and agree that they may execute this Indenture, and any variation or amendment to the same, and all documents required to be delivered in connection with this Indenture, by electronic instrument. The parties agree that the electronic signatures appearing on this Indenture and on all documents required to be delivered in connection with this Indenture shall have the same effect as handwritten signatures and the use of an electronic signature on this Indenture and on all documents required to be delivered in connection with this Indenture shall have the same validity and legal effect as the use of a signature affixed by hand and is made with the intention of authenticating this Indenture and on all documents required to be delivered in connection with this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8"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THE GUARANTORS NAMED ON SCHEDULE A</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HERETO, as Guarantors,</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960"/>
          </w:cols>
          <w:pgMar w:left="880" w:top="270" w:right="10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ectPr>
          <w:pgSz w:w="11900" w:h="16838" w:orient="portrait"/>
          <w:cols w:equalWidth="0" w:num="1">
            <w:col w:w="9019"/>
          </w:cols>
          <w:pgMar w:left="1440" w:top="266"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NOTATION OF GUARANTEE]</w:t>
      </w:r>
    </w:p>
    <w:p>
      <w:pPr>
        <w:spacing w:after="0" w:line="22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Each of the undersigned (collectively,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have guaranteed, jointly and severally, fully and unconditionally (such guarantee by each Guarantor being referred to herein as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(i) the due and punctual payment of the principal of and interest on the Securities, whether at maturity, by acceleration or otherwise, the due and punctual payment of interest on the overdue principal and interest, if any, on the Securities, to the extent lawful, and the due and punctual performance of all other obligations of the Company to the Holders or the Trustee all in accordance with the terms set forth in Article X of the Indenture and (ii) in case of any extension of time of payment or renewal of any Securities or any of such other obligations, that the same will be promptly paid in full when due or performed in accordance with the terms of the extension or renewal, whether at stated maturity, by acceleration or otherwise.</w:t>
      </w:r>
    </w:p>
    <w:p>
      <w:pPr>
        <w:spacing w:after="0" w:line="18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board member, member, partner, officer, employee or equityholder of the Guarantors will have any liability for any of the Guarantor’s obligations under the Guarantee or for any claim based on, in respect of, or by reason of, such obligations or their creation (other than the Guarantors in respect of their respective Guarantees and the Company in respect of the Securities). Each Holder of Securities by accepting a Security waives and releases all such liability. The waiver and release are part of the consideration for issuance of the Guarantees.</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Each Holder of a Security by accepting a Security agrees that any Guarantor named below shall have no further liability with respect to its Guarantee if such Guarantor otherwise ceases to be liable in respect of its Guarantee in accordance with the terms of the Indenture.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Guarantee shall not be valid or obligatory for any purpose until the certificate of authentication on the Securities upon which the Guarantee is noted shall have been executed by the Trustee under the Indenture by the manual signature of one of its authorized officers.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70"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173990</wp:posOffset>
            </wp:positionV>
            <wp:extent cx="6240780" cy="2468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62407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Viatris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We have acted as special New York counsel to Viatris Inc., a Delaware corporation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Utah Acquisition Sub Inc., a Delaware corporation (“</w:t>
      </w:r>
      <w:r>
        <w:rPr>
          <w:rFonts w:ascii="Times New Roman" w:cs="Times New Roman" w:eastAsia="Times New Roman" w:hAnsi="Times New Roman"/>
          <w:sz w:val="18"/>
          <w:szCs w:val="18"/>
          <w:u w:val="single" w:color="auto"/>
          <w:color w:val="auto"/>
        </w:rPr>
        <w:t>Utah Acquisition Sub Inc.</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u w:val="single" w:color="auto"/>
          <w:color w:val="auto"/>
        </w:rPr>
        <w:t>Mylan II B.V.</w:t>
      </w:r>
      <w:r>
        <w:rPr>
          <w:rFonts w:ascii="Times New Roman" w:cs="Times New Roman" w:eastAsia="Times New Roman" w:hAnsi="Times New Roman"/>
          <w:sz w:val="18"/>
          <w:szCs w:val="18"/>
          <w:color w:val="auto"/>
        </w:rPr>
        <w:t>”), and Mylan Inc., a Pennsylvania corporation (“</w:t>
      </w:r>
      <w:r>
        <w:rPr>
          <w:rFonts w:ascii="Times New Roman" w:cs="Times New Roman" w:eastAsia="Times New Roman" w:hAnsi="Times New Roman"/>
          <w:sz w:val="18"/>
          <w:szCs w:val="18"/>
          <w:u w:val="single" w:color="auto"/>
          <w:color w:val="auto"/>
        </w:rPr>
        <w:t>Mylan Inc.</w:t>
      </w:r>
      <w:r>
        <w:rPr>
          <w:rFonts w:ascii="Times New Roman" w:cs="Times New Roman" w:eastAsia="Times New Roman" w:hAnsi="Times New Roman"/>
          <w:sz w:val="18"/>
          <w:szCs w:val="18"/>
          <w:color w:val="auto"/>
        </w:rPr>
        <w:t>” and, together with Utah Acquisition Sub Inc. and Mylan II B.V.,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and the proposed issuance and sale from time to time pursuant to Rule 415 under the Securities Act of (a) debt securities of Viatris Inc. in one or more series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be entered into among Viatris Inc., any guarantors of the Debt Securities and a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(b) guarantees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of the Debt Securities by each of the Guarantors, (c)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Viatris Inc., including Common Stock as may from time to time be issued upon conversion of Debt Securities or Preferred Stock (as defined below), (d) preferred stock, par value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Viatris Inc., including Preferred Stock as may from time to time be issued upon conversion of Debt Securities, (e) warrants to purchase Debt Securities, Common Stock or Preferred Stock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one or more series under a warrant agreement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be entered into by Viatris Inc. and a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(f) rights to purchase Debt Securities, Common Stock or Preferred Stock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in one or more series under a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be entered into by Viatris Inc. and a rights agent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(g) units consisting of two or more of Debt Securities, Common Stock, Preferred Stock, Warrants or Rights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 together with the securities specified in clauses (a) through (f) above,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 one or more series under a unit agreement (the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to be entered into by Viatris Inc. and a unit agent (the “</w:t>
      </w:r>
      <w:r>
        <w:rPr>
          <w:rFonts w:ascii="Times New Roman" w:cs="Times New Roman" w:eastAsia="Times New Roman" w:hAnsi="Times New Roman"/>
          <w:sz w:val="18"/>
          <w:szCs w:val="18"/>
          <w:u w:val="single" w:color="auto"/>
          <w:color w:val="auto"/>
        </w:rPr>
        <w:t>Unit Agent</w:t>
      </w:r>
      <w:r>
        <w:rPr>
          <w:rFonts w:ascii="Times New Roman" w:cs="Times New Roman" w:eastAsia="Times New Roman" w:hAnsi="Times New Roman"/>
          <w:sz w:val="18"/>
          <w:szCs w:val="18"/>
          <w:color w:val="auto"/>
        </w:rPr>
        <w:t>”). Viatris Inc. and the Guarantors are collectively referred to herein as the “</w:t>
      </w:r>
      <w:r>
        <w:rPr>
          <w:rFonts w:ascii="Times New Roman" w:cs="Times New Roman" w:eastAsia="Times New Roman" w:hAnsi="Times New Roman"/>
          <w:sz w:val="18"/>
          <w:szCs w:val="18"/>
          <w:u w:val="single" w:color="auto"/>
          <w:color w:val="auto"/>
        </w:rPr>
        <w:t>Registrants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w:t>
      </w:r>
    </w:p>
    <w:p>
      <w:pPr>
        <w:sectPr>
          <w:pgSz w:w="11900" w:h="16838" w:orient="portrait"/>
          <w:cols w:equalWidth="0" w:num="1">
            <w:col w:w="11020"/>
          </w:cols>
          <w:pgMar w:left="440" w:top="117" w:right="439" w:bottom="1440" w:gutter="0" w:footer="0" w:header="0"/>
        </w:sectPr>
      </w:pPr>
    </w:p>
    <w:bookmarkStart w:id="121" w:name="page122"/>
    <w:bookmarkEnd w:id="121"/>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purposes of this opinion, including: (i) the Amended and Restated Certificate of Incorporation of Viatris Inc.; (ii) the Certificate of Amendment to the Amended and Restated Certificate of Incorporation of Viatris Inc.; (iii) the Amended and Restated Bylaws of Viatris Inc.; (iv) resolutions approved by the finance committee of the board of directors of Viatris Inc. on March 3, 2022; (v) the Certificate of Incorporation of Utah Acquisition Sub Inc.;</w:t>
      </w:r>
    </w:p>
    <w:p>
      <w:pPr>
        <w:spacing w:after="0" w:line="2" w:lineRule="exact"/>
        <w:rPr>
          <w:sz w:val="20"/>
          <w:szCs w:val="20"/>
          <w:color w:val="auto"/>
        </w:rPr>
      </w:pPr>
    </w:p>
    <w:p>
      <w:pPr>
        <w:ind w:left="4" w:right="40" w:hanging="4"/>
        <w:spacing w:after="0" w:line="260" w:lineRule="auto"/>
        <w:tabs>
          <w:tab w:leader="none" w:pos="3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Utah Acquisition Sub Inc.; (vii) the unanimous written consent of the board of directors of Utah Acquisition Sub Inc., dated April 27, 2022; (viii) the Registration Statement; and (ix) the form of the Indenture to be filed as an exhibit to the Registration Statement.</w:t>
      </w:r>
    </w:p>
    <w:p>
      <w:pPr>
        <w:spacing w:after="0" w:line="18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As to various questions of fact material to this opinion, we have relied upon representations of officers or directors of the Registrants and documents furnished to us by the Registrants without independent verification of their accuracy. We have also assumed the genuineness of all signatures, the legal capacity and competency of all natural persons, the authenticity of all documents submitted to us as originals and the conformity to authentic original documents of all documents submitted to us as copies.</w:t>
      </w:r>
    </w:p>
    <w:p>
      <w:pPr>
        <w:spacing w:after="0" w:line="180" w:lineRule="exact"/>
        <w:rPr>
          <w:sz w:val="20"/>
          <w:szCs w:val="20"/>
          <w:color w:val="auto"/>
        </w:rPr>
      </w:pPr>
    </w:p>
    <w:p>
      <w:pPr>
        <w:ind w:left="4" w:right="480" w:firstLine="991"/>
        <w:spacing w:after="0" w:line="276" w:lineRule="auto"/>
        <w:rPr>
          <w:sz w:val="20"/>
          <w:szCs w:val="20"/>
          <w:color w:val="auto"/>
        </w:rPr>
      </w:pPr>
      <w:r>
        <w:rPr>
          <w:rFonts w:ascii="Times New Roman" w:cs="Times New Roman" w:eastAsia="Times New Roman" w:hAnsi="Times New Roman"/>
          <w:sz w:val="17"/>
          <w:szCs w:val="17"/>
          <w:color w:val="auto"/>
        </w:rPr>
        <w:t>Based on the foregoing and subject to the qualifications set forth herein, and assuming that: (i) the Registration Statement and any supplements and amendments thereto (including post-effective amendments) will have become effective and will comply with all applicable laws;</w:t>
      </w:r>
    </w:p>
    <w:p>
      <w:pPr>
        <w:spacing w:after="0" w:line="1" w:lineRule="exact"/>
        <w:rPr>
          <w:sz w:val="20"/>
          <w:szCs w:val="20"/>
          <w:color w:val="auto"/>
        </w:rPr>
      </w:pPr>
    </w:p>
    <w:p>
      <w:pPr>
        <w:ind w:left="4" w:right="40" w:hanging="4"/>
        <w:spacing w:after="0" w:line="251"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supplements and amendments thereto (including post-effective amendments) will be effective and will comply with all applicable laws at the time the Securities are offered or issued as contemplated by the Registration Statement; (iii) a prospectus supplement will have been prepared and filed with the Commission describing the Securities offered thereby and will comply with all applicable laws; (iv) all Securities will be issued and sold in compliance with all applicable Federal and state securities laws and in the manner stated in the Registration Statement and the appropriate prospectus supplement; (v) none of the terms of any Security to be established subsequent to the date hereof, nor the issuance and delivery of such Security, nor the compliance by the Registrants with the terms of such Security will violate any applicable law or will result in a violation of any provision of any instrument or agreement then binding upon the Registrants or any restriction imposed by any court or governmental body having jurisdiction over the Registrants; (vi) a definitive purchase, underwriting or similar agreement and any other necessary agreement with respect to any Securities offered or issued will have been duly authorized and validly executed and delivered by the Registrants and the other parties thereto; (vii) any Warrant Agreement, Rights Agreement and Unit Agreement will be governed by the laws of the State of New York; and (viii) any Securities issuable upon conversion, exchange or exercise of any Security being offered or issued will be duly authorized, created and, if appropriate, reserved for issuance upon such conversion, exchange or exercise, we are of opinion that:</w:t>
      </w:r>
    </w:p>
    <w:p>
      <w:pPr>
        <w:spacing w:after="0" w:line="97"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and any Guarantees thereof to be issued under the Indenture, when (A) the Trustee is qualified to act as trustee under the Indenture, (B) the Trustee has duly executed and delivered the Indenture and any supplemental indenture thereunder,</w:t>
      </w:r>
    </w:p>
    <w:p>
      <w:pPr>
        <w:ind w:left="96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Indenture and any supplemental indenture thereunder has been duly authorized and validly executed and delivered by Viatris Inc. and any Guarantor to the Trustee, (D) the Indenture has been duly qualified under the Trust Indenture Act of 1939, as amended, (E) the boards of directors of Viatris Inc. and any Guarantor, a duly constituted and acting committee thereof or any officers of Viatris Inc. and such Guarantor delegated such authority (such board of directors, committee or officers being hereinafter referred to as the “</w:t>
      </w:r>
      <w:r>
        <w:rPr>
          <w:rFonts w:ascii="Times New Roman" w:cs="Times New Roman" w:eastAsia="Times New Roman" w:hAnsi="Times New Roman"/>
          <w:sz w:val="18"/>
          <w:szCs w:val="18"/>
          <w:u w:val="single" w:color="auto"/>
          <w:color w:val="auto"/>
        </w:rPr>
        <w:t>Boards</w:t>
      </w:r>
      <w:r>
        <w:rPr>
          <w:rFonts w:ascii="Times New Roman" w:cs="Times New Roman" w:eastAsia="Times New Roman" w:hAnsi="Times New Roman"/>
          <w:sz w:val="18"/>
          <w:szCs w:val="18"/>
          <w:color w:val="auto"/>
        </w:rPr>
        <w:t>”) have taken all necessary corporate or other organizational action, as applicable, to approve the issuance and terms of a particular series of Debt Securities and Guarantees, if any, the terms of the offering thereof and related matters, and (F) such Debt Securities and Guarantees, if any, have been duly executed, authenticated, issued and delivered in accordance with the provisions of the Indenture, including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2" w:name="page123"/>
    <w:bookmarkEnd w:id="122"/>
    <w:p>
      <w:pPr>
        <w:ind w:left="560" w:right="1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related thereto, and the applicable definitive purchase, underwriting or similar agreement approved by the applicable Boards upon payment of the consideration therefor provided for therein, such Debt Securities and Guarantees will be validly issued and will constitute valid and binding obligations of Viatris Inc. and each such Guarantor, enforceable against them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78" w:lineRule="exact"/>
        <w:rPr>
          <w:sz w:val="20"/>
          <w:szCs w:val="20"/>
          <w:color w:val="auto"/>
        </w:rPr>
      </w:pPr>
    </w:p>
    <w:p>
      <w:pPr>
        <w:ind w:left="540" w:right="20" w:hanging="532"/>
        <w:spacing w:after="0" w:line="253"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both (a) the Board of Viatris Inc. has taken all necessary corporate action to approve the issuance of and the terms of the offering of (i) the Debt Securities or Preferred Stock, as the case may be, convertible or exchangeable into Common Stock and (ii) the shares of Common Stock and (b) certificates representing the shares of Common Stock have been duly executed, countersigned, registered and delivered either (i) in accordance with the applicable definitive purchase, underwriting or similar agreement approved by the Board of Viatris Inc. upon payment of the consideration therefor (which per share consideration is not less than the par value of the Common Stock) provided for therein or (ii) upon conversion or exercise of such Debt Security or Preferred Stock, as the case may be, in accordance with the terms of such Security or the instrument governing such Security providing for such conversion or exercise as approved by the Board of Viatris Inc., for the consideration approved by the Board of Viatris Inc. (which per share consideration is not less than the par value of the Common Stock), then such shares of Common Stock will be validly issued, fully paid and nonassessable.</w:t>
      </w:r>
    </w:p>
    <w:p>
      <w:pPr>
        <w:spacing w:after="0" w:line="99" w:lineRule="exact"/>
        <w:rPr>
          <w:rFonts w:ascii="Times New Roman" w:cs="Times New Roman" w:eastAsia="Times New Roman" w:hAnsi="Times New Roman"/>
          <w:sz w:val="18"/>
          <w:szCs w:val="18"/>
          <w:color w:val="auto"/>
        </w:rPr>
      </w:pPr>
    </w:p>
    <w:p>
      <w:pPr>
        <w:ind w:left="540" w:right="100" w:hanging="532"/>
        <w:spacing w:after="0" w:line="255"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Preferred Stock, when (a) the Board of Viatris Inc. has taken all necessary corporate action to approve the issuance and terms of a particular series of Preferred Stock, the terms of the offering thereof and related matters, including the adoption of a Certificate of Designation relating to such Preferred Stock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the filing of such Certificate with the Secretary of State of the State of Delaware, (b) such Certificate has been properly filed with the Secretary of State of the State of Delaware and</w:t>
      </w:r>
    </w:p>
    <w:p>
      <w:pPr>
        <w:spacing w:after="0" w:line="2" w:lineRule="exact"/>
        <w:rPr>
          <w:rFonts w:ascii="Times New Roman" w:cs="Times New Roman" w:eastAsia="Times New Roman" w:hAnsi="Times New Roman"/>
          <w:sz w:val="18"/>
          <w:szCs w:val="18"/>
          <w:color w:val="auto"/>
        </w:rPr>
      </w:pPr>
    </w:p>
    <w:p>
      <w:pPr>
        <w:ind w:left="540" w:right="40" w:firstLine="8"/>
        <w:spacing w:after="0" w:line="265" w:lineRule="auto"/>
        <w:tabs>
          <w:tab w:leader="none" w:pos="78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representing such shares of Preferred Stock have been duly executed, countersigned, registered and delivered either (i) in accordance with the applicable definitive purchase, underwriting or similar agreement approved by the Board of Viatris Inc. upon payment of the consideration therefor (which per share consideration is not less than the par value of the Preferred Stock) provided for therein or</w:t>
      </w:r>
    </w:p>
    <w:p>
      <w:pPr>
        <w:ind w:left="540" w:firstLine="8"/>
        <w:spacing w:after="0" w:line="253" w:lineRule="auto"/>
        <w:tabs>
          <w:tab w:leader="none" w:pos="80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of Viatris Inc., for the consideration approved by the Board of Viatris Inc. (which per share consideration is not less than the par value of the Preferred Stock), then such shares of Preferred Stock will be validly issued, fully paid and nonassessable.</w:t>
      </w:r>
    </w:p>
    <w:p>
      <w:pPr>
        <w:spacing w:after="0" w:line="94" w:lineRule="exact"/>
        <w:rPr>
          <w:rFonts w:ascii="Times New Roman" w:cs="Times New Roman" w:eastAsia="Times New Roman" w:hAnsi="Times New Roman"/>
          <w:sz w:val="18"/>
          <w:szCs w:val="18"/>
          <w:color w:val="auto"/>
        </w:rPr>
      </w:pPr>
    </w:p>
    <w:p>
      <w:pPr>
        <w:ind w:left="540" w:right="80" w:hanging="532"/>
        <w:spacing w:after="0" w:line="281" w:lineRule="auto"/>
        <w:tabs>
          <w:tab w:leader="none" w:pos="5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Warrants, when (a) the Warrant Agent has duly executed and delivered the Warrant Agreement, (b) the Warrant Agreement has been duly authorized and validly executed and delivered by Viatris Inc. to the Warrant Agent, (c) the Board of Viatris Inc. has taken all necessary corporate action to approve the due and valid issuance and terms of a particular series of Warrants, the terms of the offering thereof and related matters and (d) such Warrants have been duly executed, countersigned, registered and delivered in accordance</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70" w:right="459" w:bottom="1440" w:gutter="0" w:footer="0" w:header="0"/>
        </w:sectPr>
      </w:pPr>
    </w:p>
    <w:bookmarkStart w:id="123" w:name="page124"/>
    <w:bookmarkEnd w:id="123"/>
    <w:p>
      <w:pPr>
        <w:ind w:left="98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provisions of the Warrant Agreement and the applicable definitive purchase, underwriting or similar agreement approved by the Board of Viatris Inc., upon payment of the consideration therefor provided for therein, such Warrants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93" w:lineRule="exact"/>
        <w:rPr>
          <w:sz w:val="20"/>
          <w:szCs w:val="20"/>
          <w:color w:val="auto"/>
        </w:rPr>
      </w:pPr>
    </w:p>
    <w:p>
      <w:pPr>
        <w:ind w:left="964" w:hanging="532"/>
        <w:spacing w:after="0" w:line="253" w:lineRule="auto"/>
        <w:tabs>
          <w:tab w:leader="none" w:pos="9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Rights, when (a) the Rights Agent has duly executed and delivered the Rights Agreement, (b) the Rights Agreement has been duly authorized and validly executed and delivered by Viatris Inc. to the Rights Agent, (c) the Board of Viatris Inc. has taken all necessary corporate action to approve the due and valid issuance and terms of a particular series of Rights, the terms of the offering thereof and related matters and (d) such Rights have been duly executed and delivered in accordance with the provisions of the Rights Agreement and the applicable definitive purchase, underwriting or similar agreement approved by the Board of Viatris Inc., upon payment of the consideration therefor provided for therein, such Rights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99" w:lineRule="exact"/>
        <w:rPr>
          <w:rFonts w:ascii="Times New Roman" w:cs="Times New Roman" w:eastAsia="Times New Roman" w:hAnsi="Times New Roman"/>
          <w:sz w:val="18"/>
          <w:szCs w:val="18"/>
          <w:color w:val="auto"/>
        </w:rPr>
      </w:pPr>
    </w:p>
    <w:p>
      <w:pPr>
        <w:ind w:left="964" w:hanging="532"/>
        <w:spacing w:after="0" w:line="271" w:lineRule="auto"/>
        <w:tabs>
          <w:tab w:leader="none" w:pos="96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Units, when (a) the Unit Agent has duly executed and delivered the Unit Agreement, (b) the Unit Agreement has been duly authorized and validly executed and delivered by Viatris Inc. to the Unit Agent, (c) the Board of Viatris Inc. has taken all necessary corporate action to approve the due and valid issuance and terms of a particular series of Units, the terms of the offering thereof and related matters and (d) such Units have been duly executed and delivered in accordance with the provisions of the Unit Agreement and the applicable definitive purchase, underwriting or similar agreement approved by the Board of Viatris Inc., upon payment of the consideration therefor provided for therein, such Units will constitute valid and binding obligations of Viatris Inc., enforceable against Viatris Inc.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73" w:lineRule="exact"/>
        <w:rPr>
          <w:sz w:val="20"/>
          <w:szCs w:val="20"/>
          <w:color w:val="auto"/>
        </w:rPr>
      </w:pPr>
    </w:p>
    <w:p>
      <w:pPr>
        <w:jc w:val="both"/>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We express no opinion herein as to any provision of the Indenture, the Warrant Agreement, the Rights Agreement or the Unit Agreement or the Debt Securities, the Guarantees, the Warrants, the Rights or the Units that (a) relates to the subject matter jurisdiction of any Federal court of the United States of America, or any Federal appellate court, to adjudicate any controversy related thereto, (b) contains a waiver of an inconvenient forum,</w:t>
      </w:r>
    </w:p>
    <w:p>
      <w:pPr>
        <w:spacing w:after="0" w:line="2" w:lineRule="exact"/>
        <w:rPr>
          <w:sz w:val="20"/>
          <w:szCs w:val="20"/>
          <w:color w:val="auto"/>
        </w:rPr>
      </w:pPr>
    </w:p>
    <w:p>
      <w:pPr>
        <w:ind w:left="244" w:hanging="244"/>
        <w:spacing w:after="0"/>
        <w:tabs>
          <w:tab w:leader="none" w:pos="24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waiver of rights to jury trial or (d) provides for indemnification, contribution or limitations on liability. We also express no opinion as to</w:t>
      </w:r>
    </w:p>
    <w:p>
      <w:pPr>
        <w:spacing w:after="0" w:line="20"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enforceability of the provisions of the Indenture, the Warrant Agreement, the Rights Agreement or the Unit Agreement or the Debt Securities,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24" w:name="page125"/>
    <w:bookmarkEnd w:id="12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Guarantees, the Warrants, the Rights or the Units to the extent that such provisions constitute a waiver of illegality as a defense to performance of contract obligations or any other defense to performance which cannot, as a matter of law, be effectively waived or (ii) whether a state court outside the State of New York or a Federal court of the United States would give effect to the choice of New York law provided for therein.</w:t>
      </w:r>
    </w:p>
    <w:p>
      <w:pPr>
        <w:spacing w:after="0" w:line="17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Courts in the United States have not customarily rendered judgments for money damages denominated in any currency other than United States dollars. Section 27(b) of the Judiciary Law of the State of New York provides, however, that a judgment or decree in an action based upon an obligation denominated in a currency other than United States dollars shall be rendered in the foreign currency of the underlying obligation and converted into United States dollars at the rate of exchange prevailing on the date of the entry of the judgment or decree. We express no opinion as to whether a Federal court would render a judgment other than in United States dollars.</w:t>
      </w:r>
    </w:p>
    <w:p>
      <w:pPr>
        <w:spacing w:after="0" w:line="183"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We are admitted to practice only in the State of New York, and we express no opinion as to matters governed by any laws other than the laws of the State of New York, the General Corporation Law of the State of Delaware and the Federal laws of the United States of America. In particular, we do not purport to pass on any matter governed by the laws of the Netherlands or Pennsylvania.</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We understand that we may be referred to as counsel who has passed upon the validity of the Securities of the Registrants in the prospectus and in a supplement to the prospectus forming a part of the Registration Statement, and we hereby consent to such use of our name in said Registration Statement and to the use of this opinion for filing with said Registration Statement as Exhibit 5.1 thereto. In giving this consent, we do not hereby admit that we are within the category of persons whose consent is required under Section 7 of the Securities Act or the rules and regulations of the Commission promulgated thereunder.</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without independent investigation, the correctness of, and take no responsibility for, (i) the opinion dated May 6, 2022 of NautaDutilh N.V., a copy of which shall be filed with the Registration Statement as Exhibit 5.2 thereto, as to all matters of law covered therein relating to the laws of the Netherlands or (ii) the opinion dated May 6, 2022, of Parker Poe Adams &amp; Bernstein LLP, a copy of which shall be filed with the Registration Statement as Exhibit 5.3 thereto, as to all matters of law covered therein relating to the laws of Pennsylvania.</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Canonsburg, PA 15317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-95885</wp:posOffset>
            </wp:positionV>
            <wp:extent cx="1139825"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 Box 7113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1007 JC Amsterdam</w:t>
      </w:r>
    </w:p>
    <w:p>
      <w:pPr>
        <w:spacing w:after="0" w:line="81"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20"/>
          <w:szCs w:val="20"/>
          <w:color w:val="auto"/>
        </w:rPr>
        <w:t>Beethovenstraat 400</w:t>
      </w:r>
      <w:r>
        <w:rPr>
          <w:sz w:val="20"/>
          <w:szCs w:val="20"/>
          <w:color w:val="auto"/>
        </w:rPr>
        <w:tab/>
      </w:r>
      <w:r>
        <w:rPr>
          <w:rFonts w:ascii="Times New Roman" w:cs="Times New Roman" w:eastAsia="Times New Roman" w:hAnsi="Times New Roman"/>
          <w:sz w:val="19"/>
          <w:szCs w:val="19"/>
          <w:color w:val="auto"/>
        </w:rPr>
        <w:t>Amsterdam, 6 May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1082 PR Amsterdam</w:t>
      </w:r>
    </w:p>
    <w:p>
      <w:pPr>
        <w:ind w:left="6400"/>
        <w:spacing w:after="0" w:line="187" w:lineRule="auto"/>
        <w:rPr>
          <w:sz w:val="20"/>
          <w:szCs w:val="20"/>
          <w:color w:val="auto"/>
        </w:rPr>
      </w:pPr>
      <w:r>
        <w:rPr>
          <w:rFonts w:ascii="Times New Roman" w:cs="Times New Roman" w:eastAsia="Times New Roman" w:hAnsi="Times New Roman"/>
          <w:sz w:val="15"/>
          <w:szCs w:val="15"/>
          <w:b w:val="1"/>
          <w:bCs w:val="1"/>
          <w:color w:val="auto"/>
        </w:rPr>
        <w:t>Exhibit 5.2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 +31 20 71 71 000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 +31 20 71 71 111</w:t>
      </w:r>
    </w:p>
    <w:p>
      <w:pPr>
        <w:spacing w:after="0" w:line="25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To Viatris Inc.:</w:t>
      </w:r>
    </w:p>
    <w:p>
      <w:pPr>
        <w:spacing w:after="0" w:line="243" w:lineRule="exact"/>
        <w:rPr>
          <w:sz w:val="20"/>
          <w:szCs w:val="20"/>
          <w:color w:val="auto"/>
        </w:rPr>
      </w:pPr>
    </w:p>
    <w:p>
      <w:pPr>
        <w:jc w:val="both"/>
        <w:ind w:left="3200" w:right="20"/>
        <w:spacing w:after="0" w:line="254" w:lineRule="auto"/>
        <w:rPr>
          <w:sz w:val="20"/>
          <w:szCs w:val="20"/>
          <w:color w:val="auto"/>
        </w:rPr>
      </w:pPr>
      <w:r>
        <w:rPr>
          <w:rFonts w:ascii="Times New Roman" w:cs="Times New Roman" w:eastAsia="Times New Roman" w:hAnsi="Times New Roman"/>
          <w:sz w:val="20"/>
          <w:szCs w:val="20"/>
          <w:color w:val="auto"/>
        </w:rPr>
        <w:t>We have acted as legal counsel as to Dutch law to Viatris Inc. and the Company in connection with the filing of the Registration Statement with the SEC. This opinion letter is rendered to you in order to be filed with the SEC as an exhibit to the Registration Statement.</w:t>
      </w:r>
    </w:p>
    <w:p>
      <w:pPr>
        <w:spacing w:after="0" w:line="201" w:lineRule="exact"/>
        <w:rPr>
          <w:sz w:val="20"/>
          <w:szCs w:val="20"/>
          <w:color w:val="auto"/>
        </w:rPr>
      </w:pPr>
    </w:p>
    <w:p>
      <w:pPr>
        <w:jc w:val="both"/>
        <w:ind w:left="3200" w:right="20"/>
        <w:spacing w:after="0" w:line="254" w:lineRule="auto"/>
        <w:rPr>
          <w:sz w:val="20"/>
          <w:szCs w:val="20"/>
          <w:color w:val="auto"/>
        </w:rPr>
      </w:pPr>
      <w:r>
        <w:rPr>
          <w:rFonts w:ascii="Times New Roman" w:cs="Times New Roman" w:eastAsia="Times New Roman" w:hAnsi="Times New Roman"/>
          <w:sz w:val="20"/>
          <w:szCs w:val="20"/>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201" w:lineRule="exact"/>
        <w:rPr>
          <w:sz w:val="20"/>
          <w:szCs w:val="20"/>
          <w:color w:val="auto"/>
        </w:rPr>
      </w:pPr>
    </w:p>
    <w:p>
      <w:pPr>
        <w:jc w:val="both"/>
        <w:ind w:left="3200" w:right="20"/>
        <w:spacing w:after="0" w:line="246" w:lineRule="auto"/>
        <w:rPr>
          <w:sz w:val="20"/>
          <w:szCs w:val="20"/>
          <w:color w:val="auto"/>
        </w:rPr>
      </w:pPr>
      <w:r>
        <w:rPr>
          <w:rFonts w:ascii="Times New Roman" w:cs="Times New Roman" w:eastAsia="Times New Roman" w:hAnsi="Times New Roman"/>
          <w:sz w:val="20"/>
          <w:szCs w:val="20"/>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except as expressly confirmed in this opinion letter.</w:t>
      </w:r>
    </w:p>
    <w:p>
      <w:pPr>
        <w:spacing w:after="0" w:line="212" w:lineRule="exact"/>
        <w:rPr>
          <w:sz w:val="20"/>
          <w:szCs w:val="20"/>
          <w:color w:val="auto"/>
        </w:rPr>
      </w:pPr>
    </w:p>
    <w:p>
      <w:pPr>
        <w:jc w:val="both"/>
        <w:ind w:left="3200" w:right="20"/>
        <w:spacing w:after="0" w:line="246" w:lineRule="auto"/>
        <w:rPr>
          <w:sz w:val="20"/>
          <w:szCs w:val="20"/>
          <w:color w:val="auto"/>
        </w:rPr>
      </w:pPr>
      <w:r>
        <w:rPr>
          <w:rFonts w:ascii="Times New Roman" w:cs="Times New Roman" w:eastAsia="Times New Roman" w:hAnsi="Times New Roman"/>
          <w:sz w:val="20"/>
          <w:szCs w:val="20"/>
          <w:color w:val="auto"/>
        </w:rPr>
        <w:t>In rendering the opinions expressed in this opinion letter, we have reviewed and relied upon the Registration Statement, the Form of Indenture, the Form of Notation of Guarantee and pdf copies of the Corporate Documents and we have assumed that any issuance of Registered Securities or the entering of any Agreements shall be effected for bona fide commercial reasons. We have not investigated or verified any factual matter disclosed to us in the course of our review.</w:t>
      </w:r>
    </w:p>
    <w:p>
      <w:pPr>
        <w:spacing w:after="0" w:line="212" w:lineRule="exact"/>
        <w:rPr>
          <w:sz w:val="20"/>
          <w:szCs w:val="20"/>
          <w:color w:val="auto"/>
        </w:rPr>
      </w:pPr>
    </w:p>
    <w:p>
      <w:pPr>
        <w:jc w:val="both"/>
        <w:ind w:left="3200"/>
        <w:spacing w:after="0" w:line="242" w:lineRule="auto"/>
        <w:rPr>
          <w:sz w:val="20"/>
          <w:szCs w:val="20"/>
          <w:color w:val="auto"/>
        </w:rPr>
      </w:pPr>
      <w:r>
        <w:rPr>
          <w:rFonts w:ascii="Times New Roman" w:cs="Times New Roman" w:eastAsia="Times New Roman" w:hAnsi="Times New Roman"/>
          <w:sz w:val="20"/>
          <w:szCs w:val="20"/>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228" w:lineRule="exact"/>
        <w:rPr>
          <w:sz w:val="20"/>
          <w:szCs w:val="20"/>
          <w:color w:val="auto"/>
        </w:rPr>
      </w:pPr>
    </w:p>
    <w:p>
      <w:pPr>
        <w:jc w:val="both"/>
        <w:ind w:left="3200" w:right="20"/>
        <w:spacing w:after="0" w:line="272" w:lineRule="auto"/>
        <w:rPr>
          <w:sz w:val="20"/>
          <w:szCs w:val="20"/>
          <w:color w:val="auto"/>
        </w:rPr>
      </w:pPr>
      <w:r>
        <w:rPr>
          <w:rFonts w:ascii="Times New Roman" w:cs="Times New Roman" w:eastAsia="Times New Roman" w:hAnsi="Times New Roman"/>
          <w:sz w:val="16"/>
          <w:szCs w:val="16"/>
          <w:color w:val="auto"/>
        </w:rPr>
        <w:t>This communication is confidential and may be subject to professional privilege. 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1">
            <w:col w:w="11020"/>
          </w:cols>
          <w:pgMar w:left="440" w:top="130" w:right="439" w:bottom="1440" w:gutter="0" w:footer="0" w:header="0"/>
        </w:sectPr>
      </w:pPr>
    </w:p>
    <w:bookmarkStart w:id="126" w:name="page127"/>
    <w:bookmarkEnd w:id="126"/>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200"/>
        <w:spacing w:after="0" w:line="243" w:lineRule="auto"/>
        <w:rPr>
          <w:sz w:val="20"/>
          <w:szCs w:val="20"/>
          <w:color w:val="auto"/>
        </w:rPr>
      </w:pPr>
      <w:r>
        <w:rPr>
          <w:rFonts w:ascii="Times New Roman" w:cs="Times New Roman" w:eastAsia="Times New Roman" w:hAnsi="Times New Roman"/>
          <w:sz w:val="20"/>
          <w:szCs w:val="20"/>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213" w:lineRule="exact"/>
        <w:rPr>
          <w:sz w:val="20"/>
          <w:szCs w:val="20"/>
          <w:color w:val="auto"/>
        </w:rPr>
      </w:pPr>
    </w:p>
    <w:p>
      <w:pPr>
        <w:jc w:val="both"/>
        <w:ind w:left="2200"/>
        <w:spacing w:after="0" w:line="246" w:lineRule="auto"/>
        <w:rPr>
          <w:sz w:val="20"/>
          <w:szCs w:val="20"/>
          <w:color w:val="auto"/>
        </w:rPr>
      </w:pPr>
      <w:r>
        <w:rPr>
          <w:rFonts w:ascii="Times New Roman" w:cs="Times New Roman" w:eastAsia="Times New Roman" w:hAnsi="Times New Roman"/>
          <w:sz w:val="20"/>
          <w:szCs w:val="20"/>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2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For the purposes of this opinion letter, we have assumed that:</w:t>
      </w:r>
    </w:p>
    <w:p>
      <w:pPr>
        <w:spacing w:after="0" w:line="243" w:lineRule="exact"/>
        <w:rPr>
          <w:sz w:val="20"/>
          <w:szCs w:val="20"/>
          <w:color w:val="auto"/>
        </w:rPr>
      </w:pPr>
    </w:p>
    <w:p>
      <w:pPr>
        <w:jc w:val="both"/>
        <w:ind w:left="2600" w:right="20" w:hanging="395"/>
        <w:spacing w:after="0" w:line="254" w:lineRule="auto"/>
        <w:rPr>
          <w:sz w:val="20"/>
          <w:szCs w:val="20"/>
          <w:color w:val="auto"/>
        </w:rPr>
      </w:pPr>
      <w:r>
        <w:rPr>
          <w:rFonts w:ascii="Times New Roman" w:cs="Times New Roman" w:eastAsia="Times New Roman" w:hAnsi="Times New Roman"/>
          <w:sz w:val="20"/>
          <w:szCs w:val="20"/>
          <w:color w:val="auto"/>
        </w:rPr>
        <w:t>a.    drafts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201" w:lineRule="exact"/>
        <w:rPr>
          <w:sz w:val="20"/>
          <w:szCs w:val="20"/>
          <w:color w:val="auto"/>
        </w:rPr>
      </w:pPr>
    </w:p>
    <w:p>
      <w:pPr>
        <w:jc w:val="both"/>
        <w:ind w:left="2600" w:hanging="395"/>
        <w:spacing w:after="0" w:line="254" w:lineRule="auto"/>
        <w:rPr>
          <w:sz w:val="20"/>
          <w:szCs w:val="20"/>
          <w:color w:val="auto"/>
        </w:rPr>
      </w:pPr>
      <w:r>
        <w:rPr>
          <w:rFonts w:ascii="Times New Roman" w:cs="Times New Roman" w:eastAsia="Times New Roman" w:hAnsi="Times New Roman"/>
          <w:sz w:val="20"/>
          <w:szCs w:val="20"/>
          <w:color w:val="auto"/>
        </w:rPr>
        <w:t>b.   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201" w:lineRule="exact"/>
        <w:rPr>
          <w:sz w:val="20"/>
          <w:szCs w:val="20"/>
          <w:color w:val="auto"/>
        </w:rPr>
      </w:pPr>
    </w:p>
    <w:p>
      <w:pPr>
        <w:jc w:val="both"/>
        <w:ind w:left="2600" w:right="20" w:hanging="395"/>
        <w:spacing w:after="0" w:line="269" w:lineRule="auto"/>
        <w:rPr>
          <w:sz w:val="20"/>
          <w:szCs w:val="20"/>
          <w:color w:val="auto"/>
        </w:rPr>
      </w:pPr>
      <w:r>
        <w:rPr>
          <w:rFonts w:ascii="Times New Roman" w:cs="Times New Roman" w:eastAsia="Times New Roman" w:hAnsi="Times New Roman"/>
          <w:sz w:val="20"/>
          <w:szCs w:val="20"/>
          <w:color w:val="auto"/>
        </w:rPr>
        <w:t>c.    the Registration Statement, in the form reviewed by us, has become or will become effective automatically upon filing with the SEC by Viatris Inc.;</w:t>
      </w:r>
    </w:p>
    <w:p>
      <w:pPr>
        <w:spacing w:after="0" w:line="186" w:lineRule="exact"/>
        <w:rPr>
          <w:sz w:val="20"/>
          <w:szCs w:val="20"/>
          <w:color w:val="auto"/>
        </w:rPr>
      </w:pPr>
    </w:p>
    <w:p>
      <w:pPr>
        <w:jc w:val="both"/>
        <w:ind w:left="2600" w:right="20" w:hanging="395"/>
        <w:spacing w:after="0" w:line="269" w:lineRule="auto"/>
        <w:rPr>
          <w:sz w:val="20"/>
          <w:szCs w:val="20"/>
          <w:color w:val="auto"/>
        </w:rPr>
      </w:pPr>
      <w:r>
        <w:rPr>
          <w:rFonts w:ascii="Times New Roman" w:cs="Times New Roman" w:eastAsia="Times New Roman" w:hAnsi="Times New Roman"/>
          <w:sz w:val="20"/>
          <w:szCs w:val="20"/>
          <w:color w:val="auto"/>
        </w:rPr>
        <w:t>d.   the Current Articles are the Articles of Association currently in force (as supported by the Extract) and as they will be in force at each Relevant Moment;</w:t>
      </w:r>
    </w:p>
    <w:p>
      <w:pPr>
        <w:spacing w:after="0" w:line="182" w:lineRule="exact"/>
        <w:rPr>
          <w:sz w:val="20"/>
          <w:szCs w:val="20"/>
          <w:color w:val="auto"/>
        </w:rPr>
      </w:pPr>
    </w:p>
    <w:p>
      <w:pPr>
        <w:jc w:val="both"/>
        <w:ind w:left="2600" w:right="20" w:hanging="395"/>
        <w:spacing w:after="0" w:line="268" w:lineRule="auto"/>
        <w:rPr>
          <w:sz w:val="20"/>
          <w:szCs w:val="20"/>
          <w:color w:val="auto"/>
        </w:rPr>
      </w:pPr>
      <w:r>
        <w:rPr>
          <w:rFonts w:ascii="Times New Roman" w:cs="Times New Roman" w:eastAsia="Times New Roman" w:hAnsi="Times New Roman"/>
          <w:sz w:val="19"/>
          <w:szCs w:val="19"/>
          <w:color w:val="auto"/>
        </w:rPr>
        <w:t>e.    the Company has not (i) been dissolved (</w:t>
      </w:r>
      <w:r>
        <w:rPr>
          <w:rFonts w:ascii="Times New Roman" w:cs="Times New Roman" w:eastAsia="Times New Roman" w:hAnsi="Times New Roman"/>
          <w:sz w:val="19"/>
          <w:szCs w:val="19"/>
          <w:i w:val="1"/>
          <w:iCs w:val="1"/>
          <w:color w:val="auto"/>
        </w:rPr>
        <w:t>ontbonden</w:t>
      </w:r>
      <w:r>
        <w:rPr>
          <w:rFonts w:ascii="Times New Roman" w:cs="Times New Roman" w:eastAsia="Times New Roman" w:hAnsi="Times New Roman"/>
          <w:sz w:val="19"/>
          <w:szCs w:val="19"/>
          <w:color w:val="auto"/>
        </w:rPr>
        <w:t>), (ii) ceased to exist pursuant to a merger (</w:t>
      </w:r>
      <w:r>
        <w:rPr>
          <w:rFonts w:ascii="Times New Roman" w:cs="Times New Roman" w:eastAsia="Times New Roman" w:hAnsi="Times New Roman"/>
          <w:sz w:val="19"/>
          <w:szCs w:val="19"/>
          <w:i w:val="1"/>
          <w:iCs w:val="1"/>
          <w:color w:val="auto"/>
        </w:rPr>
        <w:t>fusie</w:t>
      </w:r>
      <w:r>
        <w:rPr>
          <w:rFonts w:ascii="Times New Roman" w:cs="Times New Roman" w:eastAsia="Times New Roman" w:hAnsi="Times New Roman"/>
          <w:sz w:val="19"/>
          <w:szCs w:val="19"/>
          <w:color w:val="auto"/>
        </w:rPr>
        <w:t>) or a division (</w:t>
      </w:r>
      <w:r>
        <w:rPr>
          <w:rFonts w:ascii="Times New Roman" w:cs="Times New Roman" w:eastAsia="Times New Roman" w:hAnsi="Times New Roman"/>
          <w:sz w:val="19"/>
          <w:szCs w:val="19"/>
          <w:i w:val="1"/>
          <w:iCs w:val="1"/>
          <w:color w:val="auto"/>
        </w:rPr>
        <w:t>splitsing</w:t>
      </w:r>
      <w:r>
        <w:rPr>
          <w:rFonts w:ascii="Times New Roman" w:cs="Times New Roman" w:eastAsia="Times New Roman" w:hAnsi="Times New Roman"/>
          <w:sz w:val="19"/>
          <w:szCs w:val="19"/>
          <w:color w:val="auto"/>
        </w:rPr>
        <w:t>), (iii) been converted (</w:t>
      </w:r>
      <w:r>
        <w:rPr>
          <w:rFonts w:ascii="Times New Roman" w:cs="Times New Roman" w:eastAsia="Times New Roman" w:hAnsi="Times New Roman"/>
          <w:sz w:val="19"/>
          <w:szCs w:val="19"/>
          <w:i w:val="1"/>
          <w:iCs w:val="1"/>
          <w:color w:val="auto"/>
        </w:rPr>
        <w:t>omgezet</w:t>
      </w:r>
      <w:r>
        <w:rPr>
          <w:rFonts w:ascii="Times New Roman" w:cs="Times New Roman" w:eastAsia="Times New Roman" w:hAnsi="Times New Roman"/>
          <w:sz w:val="19"/>
          <w:szCs w:val="19"/>
          <w:color w:val="auto"/>
        </w:rPr>
        <w:t>) into another legal form, either national or foreign, (iv) had its assets placed under administration (</w:t>
      </w:r>
      <w:r>
        <w:rPr>
          <w:rFonts w:ascii="Times New Roman" w:cs="Times New Roman" w:eastAsia="Times New Roman" w:hAnsi="Times New Roman"/>
          <w:sz w:val="19"/>
          <w:szCs w:val="19"/>
          <w:i w:val="1"/>
          <w:iCs w:val="1"/>
          <w:color w:val="auto"/>
        </w:rPr>
        <w:t>onder bewind gesteld</w:t>
      </w:r>
      <w:r>
        <w:rPr>
          <w:rFonts w:ascii="Times New Roman" w:cs="Times New Roman" w:eastAsia="Times New Roman" w:hAnsi="Times New Roman"/>
          <w:sz w:val="19"/>
          <w:szCs w:val="19"/>
          <w:color w:val="auto"/>
        </w:rPr>
        <w:t>), (v) been declared bankrupt (</w:t>
      </w:r>
      <w:r>
        <w:rPr>
          <w:rFonts w:ascii="Times New Roman" w:cs="Times New Roman" w:eastAsia="Times New Roman" w:hAnsi="Times New Roman"/>
          <w:sz w:val="19"/>
          <w:szCs w:val="19"/>
          <w:i w:val="1"/>
          <w:iCs w:val="1"/>
          <w:color w:val="auto"/>
        </w:rPr>
        <w:t>failliet verklaard</w:t>
      </w:r>
      <w:r>
        <w:rPr>
          <w:rFonts w:ascii="Times New Roman" w:cs="Times New Roman" w:eastAsia="Times New Roman" w:hAnsi="Times New Roman"/>
          <w:sz w:val="19"/>
          <w:szCs w:val="19"/>
          <w:color w:val="auto"/>
        </w:rPr>
        <w:t>), (vi) been granted a suspension of</w:t>
      </w:r>
    </w:p>
    <w:p>
      <w:pPr>
        <w:sectPr>
          <w:pgSz w:w="11900" w:h="16838" w:orient="portrait"/>
          <w:cols w:equalWidth="0" w:num="1">
            <w:col w:w="10020"/>
          </w:cols>
          <w:pgMar w:left="1440" w:top="945" w:right="439" w:bottom="1440" w:gutter="0" w:footer="0" w:header="0"/>
        </w:sectPr>
      </w:pPr>
    </w:p>
    <w:bookmarkStart w:id="127" w:name="page128"/>
    <w:bookmarkEnd w:id="127"/>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700" w:right="20"/>
        <w:spacing w:after="0" w:line="250" w:lineRule="auto"/>
        <w:rPr>
          <w:sz w:val="20"/>
          <w:szCs w:val="20"/>
          <w:color w:val="auto"/>
        </w:rPr>
      </w:pPr>
      <w:r>
        <w:rPr>
          <w:rFonts w:ascii="Times New Roman" w:cs="Times New Roman" w:eastAsia="Times New Roman" w:hAnsi="Times New Roman"/>
          <w:sz w:val="20"/>
          <w:szCs w:val="20"/>
          <w:color w:val="auto"/>
        </w:rPr>
        <w:t>payments (</w:t>
      </w:r>
      <w:r>
        <w:rPr>
          <w:rFonts w:ascii="Times New Roman" w:cs="Times New Roman" w:eastAsia="Times New Roman" w:hAnsi="Times New Roman"/>
          <w:sz w:val="20"/>
          <w:szCs w:val="20"/>
          <w:i w:val="1"/>
          <w:iCs w:val="1"/>
          <w:color w:val="auto"/>
        </w:rPr>
        <w:t>surseance van betaling verleend</w:t>
      </w:r>
      <w:r>
        <w:rPr>
          <w:rFonts w:ascii="Times New Roman" w:cs="Times New Roman" w:eastAsia="Times New Roman" w:hAnsi="Times New Roman"/>
          <w:sz w:val="20"/>
          <w:szCs w:val="20"/>
          <w:color w:val="auto"/>
        </w:rPr>
        <w:t>), (vii) started or become subject to statutory proceedings for the restructuring of its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 or (viii) been made subject to similar proceedings in any jurisdiction or otherwise been limited in its power to dispose of its assets;</w:t>
      </w:r>
    </w:p>
    <w:p>
      <w:pPr>
        <w:spacing w:after="0" w:line="207" w:lineRule="exact"/>
        <w:rPr>
          <w:sz w:val="20"/>
          <w:szCs w:val="20"/>
          <w:color w:val="auto"/>
        </w:rPr>
      </w:pPr>
    </w:p>
    <w:p>
      <w:pPr>
        <w:jc w:val="both"/>
        <w:ind w:left="2600" w:right="20" w:hanging="395"/>
        <w:spacing w:after="0" w:line="246" w:lineRule="auto"/>
        <w:rPr>
          <w:sz w:val="20"/>
          <w:szCs w:val="20"/>
          <w:color w:val="auto"/>
        </w:rPr>
      </w:pPr>
      <w:r>
        <w:rPr>
          <w:rFonts w:ascii="Times New Roman" w:cs="Times New Roman" w:eastAsia="Times New Roman" w:hAnsi="Times New Roman"/>
          <w:sz w:val="20"/>
          <w:szCs w:val="20"/>
          <w:color w:val="auto"/>
        </w:rPr>
        <w:t>f.    each Power of Attorney (i) is in full force and effect and (ii) under any applicable law validly authorises the person or persons purported to be granted power of attorney thereunder to represent and bind the Company vis-à-vis other parties in relation to the performance of the Company’s obligations under the Agreements and under the Registered Securities, as relevant;</w:t>
      </w:r>
    </w:p>
    <w:p>
      <w:pPr>
        <w:spacing w:after="0" w:line="212" w:lineRule="exact"/>
        <w:rPr>
          <w:sz w:val="20"/>
          <w:szCs w:val="20"/>
          <w:color w:val="auto"/>
        </w:rPr>
      </w:pPr>
    </w:p>
    <w:p>
      <w:pPr>
        <w:jc w:val="both"/>
        <w:ind w:left="2600" w:hanging="395"/>
        <w:spacing w:after="0" w:line="254" w:lineRule="auto"/>
        <w:rPr>
          <w:sz w:val="20"/>
          <w:szCs w:val="20"/>
          <w:color w:val="auto"/>
        </w:rPr>
      </w:pPr>
      <w:r>
        <w:rPr>
          <w:rFonts w:ascii="Times New Roman" w:cs="Times New Roman" w:eastAsia="Times New Roman" w:hAnsi="Times New Roman"/>
          <w:sz w:val="20"/>
          <w:szCs w:val="20"/>
          <w:color w:val="auto"/>
        </w:rPr>
        <w:t>g.   under any applicable law, the Agreements shall constitute the legal, valid and binding obligations of the parties expressed to be a party thereto, enforceable against them in accordance with their terms; and</w:t>
      </w:r>
    </w:p>
    <w:p>
      <w:pPr>
        <w:spacing w:after="0" w:line="201" w:lineRule="exact"/>
        <w:rPr>
          <w:sz w:val="20"/>
          <w:szCs w:val="20"/>
          <w:color w:val="auto"/>
        </w:rPr>
      </w:pPr>
    </w:p>
    <w:p>
      <w:pPr>
        <w:jc w:val="both"/>
        <w:ind w:left="2600" w:right="20" w:hanging="395"/>
        <w:spacing w:after="0" w:line="269" w:lineRule="auto"/>
        <w:rPr>
          <w:sz w:val="20"/>
          <w:szCs w:val="20"/>
          <w:color w:val="auto"/>
        </w:rPr>
      </w:pPr>
      <w:r>
        <w:rPr>
          <w:rFonts w:ascii="Times New Roman" w:cs="Times New Roman" w:eastAsia="Times New Roman" w:hAnsi="Times New Roman"/>
          <w:sz w:val="20"/>
          <w:szCs w:val="20"/>
          <w:color w:val="auto"/>
        </w:rPr>
        <w:t>h.   at each Relevant Moment, each of the assumptions made in this opinion letter will be correct in all aspects by reference to the facts and circumstances then existing.</w:t>
      </w:r>
    </w:p>
    <w:p>
      <w:pPr>
        <w:spacing w:after="0" w:line="186" w:lineRule="exact"/>
        <w:rPr>
          <w:sz w:val="20"/>
          <w:szCs w:val="20"/>
          <w:color w:val="auto"/>
        </w:rPr>
      </w:pPr>
    </w:p>
    <w:p>
      <w:pPr>
        <w:jc w:val="both"/>
        <w:ind w:left="2200" w:right="20"/>
        <w:spacing w:after="0" w:line="254" w:lineRule="auto"/>
        <w:rPr>
          <w:sz w:val="20"/>
          <w:szCs w:val="20"/>
          <w:color w:val="auto"/>
        </w:rPr>
      </w:pPr>
      <w:r>
        <w:rPr>
          <w:rFonts w:ascii="Times New Roman" w:cs="Times New Roman" w:eastAsia="Times New Roman" w:hAnsi="Times New Roman"/>
          <w:sz w:val="20"/>
          <w:szCs w:val="20"/>
          <w:color w:val="auto"/>
        </w:rPr>
        <w:t>Based upon and subject to the foregoing and subject to the qualifications set forth in this opinion letter and to any matters, documents or events not disclosed to us, we express the following opinions:</w:t>
      </w:r>
    </w:p>
    <w:p>
      <w:pPr>
        <w:spacing w:after="0" w:line="1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Corporate Status</w:t>
      </w:r>
    </w:p>
    <w:p>
      <w:pPr>
        <w:spacing w:after="0" w:line="243" w:lineRule="exact"/>
        <w:rPr>
          <w:sz w:val="20"/>
          <w:szCs w:val="20"/>
          <w:color w:val="auto"/>
        </w:rPr>
      </w:pPr>
    </w:p>
    <w:p>
      <w:pPr>
        <w:jc w:val="both"/>
        <w:ind w:left="2600" w:right="20" w:hanging="395"/>
        <w:spacing w:after="0" w:line="256" w:lineRule="auto"/>
        <w:rPr>
          <w:sz w:val="20"/>
          <w:szCs w:val="20"/>
          <w:color w:val="auto"/>
        </w:rPr>
      </w:pPr>
      <w:r>
        <w:rPr>
          <w:rFonts w:ascii="Times New Roman" w:cs="Times New Roman" w:eastAsia="Times New Roman" w:hAnsi="Times New Roman"/>
          <w:sz w:val="20"/>
          <w:szCs w:val="20"/>
          <w:color w:val="auto"/>
        </w:rPr>
        <w:t xml:space="preserve">1.   The Company has been duly incorporated as a </w:t>
      </w:r>
      <w:r>
        <w:rPr>
          <w:rFonts w:ascii="Times New Roman" w:cs="Times New Roman" w:eastAsia="Times New Roman" w:hAnsi="Times New Roman"/>
          <w:sz w:val="20"/>
          <w:szCs w:val="20"/>
          <w:i w:val="1"/>
          <w:iCs w:val="1"/>
          <w:color w:val="auto"/>
        </w:rPr>
        <w:t>besloten vennootschap met beperkte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aansprakelijkheid </w:t>
      </w:r>
      <w:r>
        <w:rPr>
          <w:rFonts w:ascii="Times New Roman" w:cs="Times New Roman" w:eastAsia="Times New Roman" w:hAnsi="Times New Roman"/>
          <w:sz w:val="20"/>
          <w:szCs w:val="20"/>
          <w:color w:val="auto"/>
        </w:rPr>
        <w:t>and is validly existing as a</w:t>
      </w:r>
      <w:r>
        <w:rPr>
          <w:rFonts w:ascii="Times New Roman" w:cs="Times New Roman" w:eastAsia="Times New Roman" w:hAnsi="Times New Roman"/>
          <w:sz w:val="20"/>
          <w:szCs w:val="20"/>
          <w:i w:val="1"/>
          <w:iCs w:val="1"/>
          <w:color w:val="auto"/>
        </w:rPr>
        <w:t xml:space="preserve"> besloten vennootschap met beperkte aansprakelijkheid</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Execution of Agreements</w:t>
      </w:r>
    </w:p>
    <w:p>
      <w:pPr>
        <w:spacing w:after="0" w:line="247" w:lineRule="exact"/>
        <w:rPr>
          <w:sz w:val="20"/>
          <w:szCs w:val="20"/>
          <w:color w:val="auto"/>
        </w:rPr>
      </w:pPr>
    </w:p>
    <w:p>
      <w:pPr>
        <w:jc w:val="both"/>
        <w:ind w:left="2600" w:right="20" w:hanging="395"/>
        <w:spacing w:after="0" w:line="254" w:lineRule="auto"/>
        <w:rPr>
          <w:sz w:val="20"/>
          <w:szCs w:val="20"/>
          <w:color w:val="auto"/>
        </w:rPr>
      </w:pPr>
      <w:r>
        <w:rPr>
          <w:rFonts w:ascii="Times New Roman" w:cs="Times New Roman" w:eastAsia="Times New Roman" w:hAnsi="Times New Roman"/>
          <w:sz w:val="20"/>
          <w:szCs w:val="20"/>
          <w:color w:val="auto"/>
        </w:rPr>
        <w:t>2.   Any Agreement when duly signed by all members of the Board, any member of the Board or a holder of a Power of Attorney for such purpose, shall have been duly and validly executed on behalf of the Company.</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3.    The Registration Statement has been validly signed on behalf of the Company.</w:t>
      </w:r>
    </w:p>
    <w:p>
      <w:pPr>
        <w:spacing w:after="0" w:line="2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Corporate Power</w:t>
      </w:r>
    </w:p>
    <w:p>
      <w:pPr>
        <w:spacing w:after="0" w:line="247" w:lineRule="exact"/>
        <w:rPr>
          <w:sz w:val="20"/>
          <w:szCs w:val="20"/>
          <w:color w:val="auto"/>
        </w:rPr>
      </w:pPr>
    </w:p>
    <w:p>
      <w:pPr>
        <w:jc w:val="both"/>
        <w:ind w:left="2600" w:hanging="395"/>
        <w:spacing w:after="0" w:line="269" w:lineRule="auto"/>
        <w:rPr>
          <w:sz w:val="20"/>
          <w:szCs w:val="20"/>
          <w:color w:val="auto"/>
        </w:rPr>
      </w:pPr>
      <w:r>
        <w:rPr>
          <w:rFonts w:ascii="Times New Roman" w:cs="Times New Roman" w:eastAsia="Times New Roman" w:hAnsi="Times New Roman"/>
          <w:sz w:val="20"/>
          <w:szCs w:val="20"/>
          <w:color w:val="auto"/>
        </w:rPr>
        <w:t>4.   The Company has the corporate power to enter into any Agreements and to perform its obligations thereunder and to sign the Registration Statement.</w:t>
      </w:r>
    </w:p>
    <w:p>
      <w:pPr>
        <w:sectPr>
          <w:pgSz w:w="11900" w:h="16838" w:orient="portrait"/>
          <w:cols w:equalWidth="0" w:num="1">
            <w:col w:w="10020"/>
          </w:cols>
          <w:pgMar w:left="1440" w:top="945" w:right="439" w:bottom="1440" w:gutter="0" w:footer="0" w:header="0"/>
        </w:sectPr>
      </w:pPr>
    </w:p>
    <w:bookmarkStart w:id="128" w:name="page129"/>
    <w:bookmarkEnd w:id="128"/>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Corporate Action</w:t>
      </w:r>
    </w:p>
    <w:p>
      <w:pPr>
        <w:spacing w:after="0" w:line="247" w:lineRule="exact"/>
        <w:rPr>
          <w:sz w:val="20"/>
          <w:szCs w:val="20"/>
          <w:color w:val="auto"/>
        </w:rPr>
      </w:pPr>
    </w:p>
    <w:p>
      <w:pPr>
        <w:jc w:val="both"/>
        <w:ind w:left="2600" w:right="20" w:hanging="395"/>
        <w:spacing w:after="0" w:line="254" w:lineRule="auto"/>
        <w:rPr>
          <w:sz w:val="20"/>
          <w:szCs w:val="20"/>
          <w:color w:val="auto"/>
        </w:rPr>
      </w:pPr>
      <w:r>
        <w:rPr>
          <w:rFonts w:ascii="Times New Roman" w:cs="Times New Roman" w:eastAsia="Times New Roman" w:hAnsi="Times New Roman"/>
          <w:sz w:val="20"/>
          <w:szCs w:val="20"/>
          <w:color w:val="auto"/>
        </w:rPr>
        <w:t>5.   The Company has taken all corporate action required by its Articles of Association and Dutch law in connection with the entering into any Agreements and the performance of its obligations thereunder and with the signing of the Registration Statement.</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The opinions expressed above are subject to the following qualifications:</w:t>
      </w:r>
    </w:p>
    <w:p>
      <w:pPr>
        <w:spacing w:after="0" w:line="239" w:lineRule="exact"/>
        <w:rPr>
          <w:sz w:val="20"/>
          <w:szCs w:val="20"/>
          <w:color w:val="auto"/>
        </w:rPr>
      </w:pPr>
    </w:p>
    <w:p>
      <w:pPr>
        <w:jc w:val="both"/>
        <w:ind w:left="2600" w:hanging="395"/>
        <w:spacing w:after="0" w:line="247" w:lineRule="auto"/>
        <w:rPr>
          <w:sz w:val="20"/>
          <w:szCs w:val="20"/>
          <w:color w:val="auto"/>
        </w:rPr>
      </w:pPr>
      <w:r>
        <w:rPr>
          <w:rFonts w:ascii="Times New Roman" w:cs="Times New Roman" w:eastAsia="Times New Roman" w:hAnsi="Times New Roman"/>
          <w:sz w:val="20"/>
          <w:szCs w:val="20"/>
          <w:color w:val="auto"/>
        </w:rPr>
        <w:t>A.  Opinion 1 must not be read to imply that the Company cannot be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20"/>
          <w:szCs w:val="20"/>
          <w:i w:val="1"/>
          <w:iCs w:val="1"/>
          <w:color w:val="auto"/>
        </w:rPr>
        <w:t>belanghebbende</w:t>
      </w:r>
      <w:r>
        <w:rPr>
          <w:rFonts w:ascii="Times New Roman" w:cs="Times New Roman" w:eastAsia="Times New Roman" w:hAnsi="Times New Roman"/>
          <w:sz w:val="20"/>
          <w:szCs w:val="20"/>
          <w:color w:val="auto"/>
        </w:rPr>
        <w:t>) or the public prosecution office in certain circumstances, such as when there are certain defects in the incorporation of the company. Any such dissolution will not have retro-active effect.</w:t>
      </w:r>
    </w:p>
    <w:p>
      <w:pPr>
        <w:spacing w:after="0" w:line="211" w:lineRule="exact"/>
        <w:rPr>
          <w:sz w:val="20"/>
          <w:szCs w:val="20"/>
          <w:color w:val="auto"/>
        </w:rPr>
      </w:pPr>
    </w:p>
    <w:p>
      <w:pPr>
        <w:jc w:val="both"/>
        <w:ind w:left="2600" w:right="20" w:hanging="395"/>
        <w:spacing w:after="0" w:line="269" w:lineRule="auto"/>
        <w:rPr>
          <w:sz w:val="20"/>
          <w:szCs w:val="20"/>
          <w:color w:val="auto"/>
        </w:rPr>
      </w:pPr>
      <w:r>
        <w:rPr>
          <w:rFonts w:ascii="Times New Roman" w:cs="Times New Roman" w:eastAsia="Times New Roman" w:hAnsi="Times New Roman"/>
          <w:sz w:val="20"/>
          <w:szCs w:val="20"/>
          <w:color w:val="auto"/>
        </w:rPr>
        <w:t>B.  The information contained in the Extract does not constitute conclusive evidence of the facts reflected in it.</w:t>
      </w:r>
    </w:p>
    <w:p>
      <w:pPr>
        <w:spacing w:after="0" w:line="186" w:lineRule="exact"/>
        <w:rPr>
          <w:sz w:val="20"/>
          <w:szCs w:val="20"/>
          <w:color w:val="auto"/>
        </w:rPr>
      </w:pPr>
    </w:p>
    <w:p>
      <w:pPr>
        <w:jc w:val="both"/>
        <w:ind w:left="2600" w:hanging="395"/>
        <w:spacing w:after="0" w:line="241" w:lineRule="auto"/>
        <w:rPr>
          <w:sz w:val="20"/>
          <w:szCs w:val="20"/>
          <w:color w:val="auto"/>
        </w:rPr>
      </w:pPr>
      <w:r>
        <w:rPr>
          <w:rFonts w:ascii="Times New Roman" w:cs="Times New Roman" w:eastAsia="Times New Roman" w:hAnsi="Times New Roman"/>
          <w:sz w:val="20"/>
          <w:szCs w:val="20"/>
          <w:color w:val="auto"/>
        </w:rPr>
        <w:t>C.  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20"/>
          <w:szCs w:val="20"/>
          <w:i w:val="1"/>
          <w:iCs w:val="1"/>
          <w:color w:val="auto"/>
        </w:rPr>
        <w:t>wist of zonder eigen onderzoek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moest weten</w:t>
      </w:r>
      <w:r>
        <w:rPr>
          <w:rFonts w:ascii="Times New Roman" w:cs="Times New Roman" w:eastAsia="Times New Roman" w:hAnsi="Times New Roman"/>
          <w:sz w:val="20"/>
          <w:szCs w:val="20"/>
          <w:color w:val="auto"/>
        </w:rPr>
        <w:t>). The Dutch Supreme Court (</w:t>
      </w:r>
      <w:r>
        <w:rPr>
          <w:rFonts w:ascii="Times New Roman" w:cs="Times New Roman" w:eastAsia="Times New Roman" w:hAnsi="Times New Roman"/>
          <w:sz w:val="20"/>
          <w:szCs w:val="20"/>
          <w:i w:val="1"/>
          <w:iCs w:val="1"/>
          <w:color w:val="auto"/>
        </w:rPr>
        <w:t>Hoge Raad der Nederlanden</w:t>
      </w:r>
      <w:r>
        <w:rPr>
          <w:rFonts w:ascii="Times New Roman" w:cs="Times New Roman" w:eastAsia="Times New Roman" w:hAnsi="Times New Roman"/>
          <w:sz w:val="20"/>
          <w:szCs w:val="20"/>
          <w:color w:val="auto"/>
        </w:rPr>
        <w:t>) has ruled that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determining whether the objects of a legal entity are transgressed, not only the description of the objects in that legal entity’s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any Agreements or by the performance of its obligations thereunder,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any Agreements since this is a matter of fact.</w:t>
      </w:r>
    </w:p>
    <w:p>
      <w:pPr>
        <w:sectPr>
          <w:pgSz w:w="11900" w:h="16838" w:orient="portrait"/>
          <w:cols w:equalWidth="0" w:num="1">
            <w:col w:w="10020"/>
          </w:cols>
          <w:pgMar w:left="1440" w:top="945" w:right="439" w:bottom="1440" w:gutter="0" w:footer="0" w:header="0"/>
        </w:sectPr>
      </w:pPr>
    </w:p>
    <w:bookmarkStart w:id="129" w:name="page130"/>
    <w:bookmarkEnd w:id="129"/>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600" w:right="20" w:hanging="395"/>
        <w:spacing w:after="0" w:line="254" w:lineRule="auto"/>
        <w:rPr>
          <w:sz w:val="20"/>
          <w:szCs w:val="20"/>
          <w:color w:val="auto"/>
        </w:rPr>
      </w:pPr>
      <w:r>
        <w:rPr>
          <w:rFonts w:ascii="Times New Roman" w:cs="Times New Roman" w:eastAsia="Times New Roman" w:hAnsi="Times New Roman"/>
          <w:sz w:val="20"/>
          <w:szCs w:val="20"/>
          <w:color w:val="auto"/>
        </w:rPr>
        <w:t>D.  A power of attorney or mandate granted by the Company will terminate in the event of a bankruptcy and become ineffective upon the suspension of payments of the principal or, unless otherwise provided, the attorney.</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E.    The opinions expressed in this opinion letter may be limited or affected by:</w:t>
      </w:r>
    </w:p>
    <w:p>
      <w:pPr>
        <w:sectPr>
          <w:pgSz w:w="11900" w:h="16838" w:orient="portrait"/>
          <w:cols w:equalWidth="0" w:num="1">
            <w:col w:w="10020"/>
          </w:cols>
          <w:pgMar w:left="1440" w:top="945" w:right="439" w:bottom="1440" w:gutter="0" w:footer="0" w:header="0"/>
        </w:sectPr>
      </w:pPr>
    </w:p>
    <w:p>
      <w:pPr>
        <w:spacing w:after="0" w:line="2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a. </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20" w:hanging="60"/>
        <w:spacing w:after="0" w:line="269" w:lineRule="auto"/>
        <w:rPr>
          <w:sz w:val="20"/>
          <w:szCs w:val="20"/>
          <w:color w:val="auto"/>
        </w:rPr>
      </w:pPr>
      <w:r>
        <w:rPr>
          <w:rFonts w:ascii="Times New Roman" w:cs="Times New Roman" w:eastAsia="Times New Roman" w:hAnsi="Times New Roman"/>
          <w:sz w:val="20"/>
          <w:szCs w:val="20"/>
          <w:color w:val="auto"/>
        </w:rPr>
        <w:t>  rules relating to Insolvency Proceedings or similar proceedings under a foreign law and other rules affecting creditors’ rights generally;</w:t>
      </w:r>
    </w:p>
    <w:p>
      <w:pPr>
        <w:spacing w:after="0" w:line="182" w:lineRule="exact"/>
        <w:rPr>
          <w:sz w:val="20"/>
          <w:szCs w:val="20"/>
          <w:color w:val="auto"/>
        </w:rPr>
      </w:pPr>
    </w:p>
    <w:p>
      <w:pPr>
        <w:sectPr>
          <w:pgSz w:w="11900" w:h="16838" w:orient="portrait"/>
          <w:cols w:equalWidth="0" w:num="2">
            <w:col w:w="2780" w:space="200"/>
            <w:col w:w="7040"/>
          </w:cols>
          <w:pgMar w:left="1440" w:top="945" w:right="439" w:bottom="1440" w:gutter="0" w:footer="0" w:header="0"/>
          <w:type w:val="continuous"/>
        </w:sectPr>
      </w:pP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b. </w:t>
      </w:r>
    </w:p>
    <w:p>
      <w:pPr>
        <w:spacing w:after="0" w:line="20" w:lineRule="exact"/>
        <w:rPr>
          <w:sz w:val="20"/>
          <w:szCs w:val="20"/>
          <w:color w:val="auto"/>
        </w:rPr>
      </w:pPr>
      <w:r>
        <w:rPr>
          <w:sz w:val="20"/>
          <w:szCs w:val="20"/>
          <w:color w:val="auto"/>
        </w:rPr>
        <w:br w:type="column"/>
      </w:r>
    </w:p>
    <w:p>
      <w:pPr>
        <w:jc w:val="both"/>
        <w:ind w:hanging="49"/>
        <w:spacing w:after="0" w:line="256" w:lineRule="auto"/>
        <w:rPr>
          <w:sz w:val="20"/>
          <w:szCs w:val="20"/>
          <w:color w:val="auto"/>
        </w:rPr>
      </w:pPr>
      <w:r>
        <w:rPr>
          <w:rFonts w:ascii="Times New Roman" w:cs="Times New Roman" w:eastAsia="Times New Roman" w:hAnsi="Times New Roman"/>
          <w:sz w:val="20"/>
          <w:szCs w:val="20"/>
          <w:color w:val="auto"/>
        </w:rPr>
        <w:t> the provisions of fraudulent preference and fraudulent conveyance (</w:t>
      </w:r>
      <w:r>
        <w:rPr>
          <w:rFonts w:ascii="Times New Roman" w:cs="Times New Roman" w:eastAsia="Times New Roman" w:hAnsi="Times New Roman"/>
          <w:sz w:val="20"/>
          <w:szCs w:val="20"/>
          <w:i w:val="1"/>
          <w:iCs w:val="1"/>
          <w:color w:val="auto"/>
        </w:rPr>
        <w:t>Actio Pauliana</w:t>
      </w:r>
      <w:r>
        <w:rPr>
          <w:rFonts w:ascii="Times New Roman" w:cs="Times New Roman" w:eastAsia="Times New Roman" w:hAnsi="Times New Roman"/>
          <w:sz w:val="20"/>
          <w:szCs w:val="20"/>
          <w:color w:val="auto"/>
        </w:rPr>
        <w:t>) and similar rights available in other jurisdictions to insolvency practitioners and insolvency office holders in bankruptcy proceedings or creditors;</w:t>
      </w:r>
    </w:p>
    <w:p>
      <w:pPr>
        <w:spacing w:after="0" w:line="196" w:lineRule="exact"/>
        <w:rPr>
          <w:sz w:val="20"/>
          <w:szCs w:val="20"/>
          <w:color w:val="auto"/>
        </w:rPr>
      </w:pPr>
    </w:p>
    <w:p>
      <w:pPr>
        <w:sectPr>
          <w:pgSz w:w="11900" w:h="16838" w:orient="portrait"/>
          <w:cols w:equalWidth="0" w:num="2">
            <w:col w:w="2780" w:space="200"/>
            <w:col w:w="7040"/>
          </w:cols>
          <w:pgMar w:left="1440" w:top="945" w:right="439" w:bottom="1440" w:gutter="0" w:footer="0" w:header="0"/>
          <w:type w:val="continuous"/>
        </w:sectPr>
      </w:pP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 claims based on tort (</w:t>
      </w:r>
      <w:r>
        <w:rPr>
          <w:rFonts w:ascii="Times New Roman" w:cs="Times New Roman" w:eastAsia="Times New Roman" w:hAnsi="Times New Roman"/>
          <w:sz w:val="19"/>
          <w:szCs w:val="19"/>
          <w:i w:val="1"/>
          <w:iCs w:val="1"/>
          <w:color w:val="auto"/>
        </w:rPr>
        <w:t>onrechtmatige daad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2780" w:space="140"/>
            <w:col w:w="7100"/>
          </w:cols>
          <w:pgMar w:left="1440" w:top="945" w:right="439" w:bottom="1440" w:gutter="0" w:footer="0" w:header="0"/>
          <w:type w:val="continuous"/>
        </w:sectPr>
      </w:pPr>
    </w:p>
    <w:p>
      <w:pPr>
        <w:spacing w:after="0" w:line="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d. 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hanging="49"/>
        <w:spacing w:after="0" w:line="254" w:lineRule="auto"/>
        <w:rPr>
          <w:sz w:val="20"/>
          <w:szCs w:val="20"/>
          <w:color w:val="auto"/>
        </w:rPr>
      </w:pPr>
      <w:r>
        <w:rPr>
          <w:rFonts w:ascii="Times New Roman" w:cs="Times New Roman" w:eastAsia="Times New Roman" w:hAnsi="Times New Roman"/>
          <w:sz w:val="20"/>
          <w:szCs w:val="20"/>
          <w:color w:val="auto"/>
        </w:rPr>
        <w:t> sanctions and measures, including but not limited to those concerning export control, pursuant to European Union regulations, under the Sanctions Act 1977 (</w:t>
      </w:r>
      <w:r>
        <w:rPr>
          <w:rFonts w:ascii="Times New Roman" w:cs="Times New Roman" w:eastAsia="Times New Roman" w:hAnsi="Times New Roman"/>
          <w:sz w:val="20"/>
          <w:szCs w:val="20"/>
          <w:i w:val="1"/>
          <w:iCs w:val="1"/>
          <w:color w:val="auto"/>
        </w:rPr>
        <w:t>Sanctiewet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1977</w:t>
      </w:r>
      <w:r>
        <w:rPr>
          <w:rFonts w:ascii="Times New Roman" w:cs="Times New Roman" w:eastAsia="Times New Roman" w:hAnsi="Times New Roman"/>
          <w:sz w:val="20"/>
          <w:szCs w:val="20"/>
          <w:color w:val="auto"/>
        </w:rPr>
        <w:t>) or other legislation;</w:t>
      </w:r>
    </w:p>
    <w:p>
      <w:pPr>
        <w:spacing w:after="0" w:line="200" w:lineRule="exact"/>
        <w:rPr>
          <w:sz w:val="20"/>
          <w:szCs w:val="20"/>
          <w:color w:val="auto"/>
        </w:rPr>
      </w:pPr>
    </w:p>
    <w:p>
      <w:pPr>
        <w:sectPr>
          <w:pgSz w:w="11900" w:h="16838" w:orient="portrait"/>
          <w:cols w:equalWidth="0" w:num="2">
            <w:col w:w="2780" w:space="200"/>
            <w:col w:w="7040"/>
          </w:cols>
          <w:pgMar w:left="1440" w:top="945" w:right="439" w:bottom="1440" w:gutter="0" w:footer="0" w:header="0"/>
          <w:type w:val="continuous"/>
        </w:sectPr>
      </w:pP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9"/>
          <w:szCs w:val="9"/>
          <w:color w:val="auto"/>
        </w:rPr>
        <w: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 the Anti-Boycott Regulation, Anti Money Laundering Laws and related legislation;</w:t>
      </w:r>
    </w:p>
    <w:p>
      <w:pPr>
        <w:spacing w:after="0" w:line="200" w:lineRule="exact"/>
        <w:rPr>
          <w:sz w:val="20"/>
          <w:szCs w:val="20"/>
          <w:color w:val="auto"/>
        </w:rPr>
      </w:pPr>
    </w:p>
    <w:p>
      <w:pPr>
        <w:sectPr>
          <w:pgSz w:w="11900" w:h="16838" w:orient="portrait"/>
          <w:cols w:equalWidth="0" w:num="2">
            <w:col w:w="2720" w:space="140"/>
            <w:col w:w="7160"/>
          </w:cols>
          <w:pgMar w:left="1440" w:top="945" w:right="439" w:bottom="1440" w:gutter="0" w:footer="0" w:header="0"/>
          <w:type w:val="continuous"/>
        </w:sectPr>
      </w:pPr>
    </w:p>
    <w:p>
      <w:pPr>
        <w:spacing w:after="0" w:line="5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f. </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0" w:hanging="82"/>
        <w:spacing w:after="0" w:line="269" w:lineRule="auto"/>
        <w:rPr>
          <w:sz w:val="20"/>
          <w:szCs w:val="20"/>
          <w:color w:val="auto"/>
        </w:rPr>
      </w:pPr>
      <w:r>
        <w:rPr>
          <w:rFonts w:ascii="Times New Roman" w:cs="Times New Roman" w:eastAsia="Times New Roman" w:hAnsi="Times New Roman"/>
          <w:sz w:val="20"/>
          <w:szCs w:val="20"/>
          <w:color w:val="auto"/>
        </w:rPr>
        <w:t>  any intervention, recovery or resolution measure by any regulatory or other authority or governmental body in relation to financial enterprises or their affiliated entities; and</w:t>
      </w:r>
    </w:p>
    <w:p>
      <w:pPr>
        <w:spacing w:after="0" w:line="182" w:lineRule="exact"/>
        <w:rPr>
          <w:sz w:val="20"/>
          <w:szCs w:val="20"/>
          <w:color w:val="auto"/>
        </w:rPr>
      </w:pPr>
    </w:p>
    <w:p>
      <w:pPr>
        <w:sectPr>
          <w:pgSz w:w="11900" w:h="16838" w:orient="portrait"/>
          <w:cols w:equalWidth="0" w:num="2">
            <w:col w:w="2760" w:space="220"/>
            <w:col w:w="7040"/>
          </w:cols>
          <w:pgMar w:left="1440" w:top="945" w:right="439" w:bottom="1440" w:gutter="0" w:footer="0" w:header="0"/>
          <w:type w:val="continuous"/>
        </w:sectPr>
      </w:pP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g. </w:t>
      </w:r>
    </w:p>
    <w:p>
      <w:pPr>
        <w:spacing w:after="0" w:line="20" w:lineRule="exact"/>
        <w:rPr>
          <w:sz w:val="20"/>
          <w:szCs w:val="20"/>
          <w:color w:val="auto"/>
        </w:rPr>
      </w:pPr>
      <w:r>
        <w:rPr>
          <w:sz w:val="20"/>
          <w:szCs w:val="20"/>
          <w:color w:val="auto"/>
        </w:rPr>
        <w:br w:type="column"/>
      </w:r>
    </w:p>
    <w:p>
      <w:pPr>
        <w:jc w:val="both"/>
        <w:ind w:right="20" w:hanging="49"/>
        <w:spacing w:after="0" w:line="246" w:lineRule="auto"/>
        <w:rPr>
          <w:sz w:val="20"/>
          <w:szCs w:val="20"/>
          <w:color w:val="auto"/>
        </w:rPr>
      </w:pPr>
      <w:r>
        <w:rPr>
          <w:rFonts w:ascii="Times New Roman" w:cs="Times New Roman" w:eastAsia="Times New Roman" w:hAnsi="Times New Roman"/>
          <w:sz w:val="20"/>
          <w:szCs w:val="20"/>
          <w:color w:val="auto"/>
        </w:rPr>
        <w:t> the rules of force majeure (</w:t>
      </w:r>
      <w:r>
        <w:rPr>
          <w:rFonts w:ascii="Times New Roman" w:cs="Times New Roman" w:eastAsia="Times New Roman" w:hAnsi="Times New Roman"/>
          <w:sz w:val="20"/>
          <w:szCs w:val="20"/>
          <w:i w:val="1"/>
          <w:iCs w:val="1"/>
          <w:color w:val="auto"/>
        </w:rPr>
        <w:t>niet toerekenbare tekortkoming</w:t>
      </w:r>
      <w:r>
        <w:rPr>
          <w:rFonts w:ascii="Times New Roman" w:cs="Times New Roman" w:eastAsia="Times New Roman" w:hAnsi="Times New Roman"/>
          <w:sz w:val="20"/>
          <w:szCs w:val="20"/>
          <w:color w:val="auto"/>
        </w:rPr>
        <w:t>), reasonableness and fairness (</w:t>
      </w:r>
      <w:r>
        <w:rPr>
          <w:rFonts w:ascii="Times New Roman" w:cs="Times New Roman" w:eastAsia="Times New Roman" w:hAnsi="Times New Roman"/>
          <w:sz w:val="20"/>
          <w:szCs w:val="20"/>
          <w:i w:val="1"/>
          <w:iCs w:val="1"/>
          <w:color w:val="auto"/>
        </w:rPr>
        <w:t>redelijkheid en billijkheid</w:t>
      </w:r>
      <w:r>
        <w:rPr>
          <w:rFonts w:ascii="Times New Roman" w:cs="Times New Roman" w:eastAsia="Times New Roman" w:hAnsi="Times New Roman"/>
          <w:sz w:val="20"/>
          <w:szCs w:val="20"/>
          <w:color w:val="auto"/>
        </w:rPr>
        <w:t>), suspension (</w:t>
      </w:r>
      <w:r>
        <w:rPr>
          <w:rFonts w:ascii="Times New Roman" w:cs="Times New Roman" w:eastAsia="Times New Roman" w:hAnsi="Times New Roman"/>
          <w:sz w:val="20"/>
          <w:szCs w:val="20"/>
          <w:i w:val="1"/>
          <w:iCs w:val="1"/>
          <w:color w:val="auto"/>
        </w:rPr>
        <w:t>opschorting</w:t>
      </w:r>
      <w:r>
        <w:rPr>
          <w:rFonts w:ascii="Times New Roman" w:cs="Times New Roman" w:eastAsia="Times New Roman" w:hAnsi="Times New Roman"/>
          <w:sz w:val="20"/>
          <w:szCs w:val="20"/>
          <w:color w:val="auto"/>
        </w:rPr>
        <w:t>), dissolution (</w:t>
      </w:r>
      <w:r>
        <w:rPr>
          <w:rFonts w:ascii="Times New Roman" w:cs="Times New Roman" w:eastAsia="Times New Roman" w:hAnsi="Times New Roman"/>
          <w:sz w:val="20"/>
          <w:szCs w:val="20"/>
          <w:i w:val="1"/>
          <w:iCs w:val="1"/>
          <w:color w:val="auto"/>
        </w:rPr>
        <w:t>ontbinding</w:t>
      </w:r>
      <w:r>
        <w:rPr>
          <w:rFonts w:ascii="Times New Roman" w:cs="Times New Roman" w:eastAsia="Times New Roman" w:hAnsi="Times New Roman"/>
          <w:sz w:val="20"/>
          <w:szCs w:val="20"/>
          <w:color w:val="auto"/>
        </w:rPr>
        <w:t>), unforeseen circumstances (</w:t>
      </w:r>
      <w:r>
        <w:rPr>
          <w:rFonts w:ascii="Times New Roman" w:cs="Times New Roman" w:eastAsia="Times New Roman" w:hAnsi="Times New Roman"/>
          <w:sz w:val="20"/>
          <w:szCs w:val="20"/>
          <w:i w:val="1"/>
          <w:iCs w:val="1"/>
          <w:color w:val="auto"/>
        </w:rPr>
        <w:t>onvoorziene omstandigheden</w:t>
      </w:r>
      <w:r>
        <w:rPr>
          <w:rFonts w:ascii="Times New Roman" w:cs="Times New Roman" w:eastAsia="Times New Roman" w:hAnsi="Times New Roman"/>
          <w:sz w:val="20"/>
          <w:szCs w:val="20"/>
          <w:color w:val="auto"/>
        </w:rPr>
        <w:t>) and vitiated consent (i.e., duress (</w:t>
      </w:r>
      <w:r>
        <w:rPr>
          <w:rFonts w:ascii="Times New Roman" w:cs="Times New Roman" w:eastAsia="Times New Roman" w:hAnsi="Times New Roman"/>
          <w:sz w:val="20"/>
          <w:szCs w:val="20"/>
          <w:i w:val="1"/>
          <w:iCs w:val="1"/>
          <w:color w:val="auto"/>
        </w:rPr>
        <w:t>bedreiging</w:t>
      </w:r>
      <w:r>
        <w:rPr>
          <w:rFonts w:ascii="Times New Roman" w:cs="Times New Roman" w:eastAsia="Times New Roman" w:hAnsi="Times New Roman"/>
          <w:sz w:val="20"/>
          <w:szCs w:val="20"/>
          <w:color w:val="auto"/>
        </w:rPr>
        <w:t>), fraud (</w:t>
      </w:r>
      <w:r>
        <w:rPr>
          <w:rFonts w:ascii="Times New Roman" w:cs="Times New Roman" w:eastAsia="Times New Roman" w:hAnsi="Times New Roman"/>
          <w:sz w:val="20"/>
          <w:szCs w:val="20"/>
          <w:i w:val="1"/>
          <w:iCs w:val="1"/>
          <w:color w:val="auto"/>
        </w:rPr>
        <w:t>bedrog</w:t>
      </w:r>
      <w:r>
        <w:rPr>
          <w:rFonts w:ascii="Times New Roman" w:cs="Times New Roman" w:eastAsia="Times New Roman" w:hAnsi="Times New Roman"/>
          <w:sz w:val="20"/>
          <w:szCs w:val="20"/>
          <w:color w:val="auto"/>
        </w:rPr>
        <w:t>), abuse of circumstances (</w:t>
      </w:r>
      <w:r>
        <w:rPr>
          <w:rFonts w:ascii="Times New Roman" w:cs="Times New Roman" w:eastAsia="Times New Roman" w:hAnsi="Times New Roman"/>
          <w:sz w:val="20"/>
          <w:szCs w:val="20"/>
          <w:i w:val="1"/>
          <w:iCs w:val="1"/>
          <w:color w:val="auto"/>
        </w:rPr>
        <w:t>misbruik van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omstandigheden</w:t>
      </w:r>
      <w:r>
        <w:rPr>
          <w:rFonts w:ascii="Times New Roman" w:cs="Times New Roman" w:eastAsia="Times New Roman" w:hAnsi="Times New Roman"/>
          <w:sz w:val="20"/>
          <w:szCs w:val="20"/>
          <w:color w:val="auto"/>
        </w:rPr>
        <w:t>) and error (</w:t>
      </w:r>
      <w:r>
        <w:rPr>
          <w:rFonts w:ascii="Times New Roman" w:cs="Times New Roman" w:eastAsia="Times New Roman" w:hAnsi="Times New Roman"/>
          <w:sz w:val="20"/>
          <w:szCs w:val="20"/>
          <w:i w:val="1"/>
          <w:iCs w:val="1"/>
          <w:color w:val="auto"/>
        </w:rPr>
        <w:t>dwaling</w:t>
      </w:r>
      <w:r>
        <w:rPr>
          <w:rFonts w:ascii="Times New Roman" w:cs="Times New Roman" w:eastAsia="Times New Roman" w:hAnsi="Times New Roman"/>
          <w:sz w:val="20"/>
          <w:szCs w:val="20"/>
          <w:color w:val="auto"/>
        </w:rPr>
        <w:t>)) or a difference of intention (</w:t>
      </w:r>
      <w:r>
        <w:rPr>
          <w:rFonts w:ascii="Times New Roman" w:cs="Times New Roman" w:eastAsia="Times New Roman" w:hAnsi="Times New Roman"/>
          <w:sz w:val="20"/>
          <w:szCs w:val="20"/>
          <w:i w:val="1"/>
          <w:iCs w:val="1"/>
          <w:color w:val="auto"/>
        </w:rPr>
        <w:t>wil</w:t>
      </w:r>
      <w:r>
        <w:rPr>
          <w:rFonts w:ascii="Times New Roman" w:cs="Times New Roman" w:eastAsia="Times New Roman" w:hAnsi="Times New Roman"/>
          <w:sz w:val="20"/>
          <w:szCs w:val="20"/>
          <w:color w:val="auto"/>
        </w:rPr>
        <w:t>) and declaration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verklaring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ectPr>
          <w:pgSz w:w="11900" w:h="16838" w:orient="portrait"/>
          <w:cols w:equalWidth="0" w:num="2">
            <w:col w:w="2780" w:space="200"/>
            <w:col w:w="7040"/>
          </w:cols>
          <w:pgMar w:left="1440" w:top="945" w:right="439" w:bottom="1440" w:gutter="0" w:footer="0" w:header="0"/>
          <w:type w:val="continuous"/>
        </w:sectPr>
      </w:pPr>
    </w:p>
    <w:p>
      <w:pPr>
        <w:spacing w:after="0" w:line="10" w:lineRule="exact"/>
        <w:rPr>
          <w:sz w:val="20"/>
          <w:szCs w:val="20"/>
          <w:color w:val="auto"/>
        </w:rPr>
      </w:pPr>
    </w:p>
    <w:p>
      <w:pPr>
        <w:ind w:left="2600" w:right="20" w:hanging="395"/>
        <w:spacing w:after="0" w:line="269" w:lineRule="auto"/>
        <w:rPr>
          <w:sz w:val="20"/>
          <w:szCs w:val="20"/>
          <w:color w:val="auto"/>
        </w:rPr>
      </w:pPr>
      <w:r>
        <w:rPr>
          <w:rFonts w:ascii="Times New Roman" w:cs="Times New Roman" w:eastAsia="Times New Roman" w:hAnsi="Times New Roman"/>
          <w:sz w:val="20"/>
          <w:szCs w:val="20"/>
          <w:color w:val="auto"/>
        </w:rPr>
        <w:t>F.   This opinion letter does not purport to express any opinion or view on the operational rules and procedures of any clearing or settlement system or agency.</w:t>
      </w:r>
    </w:p>
    <w:p>
      <w:pPr>
        <w:spacing w:after="0" w:line="186" w:lineRule="exact"/>
        <w:rPr>
          <w:sz w:val="20"/>
          <w:szCs w:val="20"/>
          <w:color w:val="auto"/>
        </w:rPr>
      </w:pPr>
    </w:p>
    <w:p>
      <w:pPr>
        <w:ind w:left="2200" w:right="20"/>
        <w:spacing w:after="0" w:line="269" w:lineRule="auto"/>
        <w:rPr>
          <w:sz w:val="20"/>
          <w:szCs w:val="20"/>
          <w:color w:val="auto"/>
        </w:rPr>
      </w:pPr>
      <w:r>
        <w:rPr>
          <w:rFonts w:ascii="Times New Roman" w:cs="Times New Roman" w:eastAsia="Times New Roman" w:hAnsi="Times New Roman"/>
          <w:sz w:val="20"/>
          <w:szCs w:val="20"/>
          <w:color w:val="auto"/>
        </w:rPr>
        <w:t>We consent to the filing of this opinion letter as an exhibit to the Registration Statement and also consent to the reference to NautaDutilh in the Registration Statement under the caption “Legal</w:t>
      </w:r>
    </w:p>
    <w:p>
      <w:pPr>
        <w:sectPr>
          <w:pgSz w:w="11900" w:h="16838" w:orient="portrait"/>
          <w:cols w:equalWidth="0" w:num="1">
            <w:col w:w="10020"/>
          </w:cols>
          <w:pgMar w:left="1440" w:top="945" w:right="439" w:bottom="1440" w:gutter="0" w:footer="0" w:header="0"/>
          <w:type w:val="continuous"/>
        </w:sectPr>
      </w:pPr>
    </w:p>
    <w:bookmarkStart w:id="130" w:name="page131"/>
    <w:bookmarkEnd w:id="130"/>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200"/>
        <w:spacing w:after="0" w:line="254" w:lineRule="auto"/>
        <w:rPr>
          <w:sz w:val="20"/>
          <w:szCs w:val="20"/>
          <w:color w:val="auto"/>
        </w:rPr>
      </w:pPr>
      <w:r>
        <w:rPr>
          <w:rFonts w:ascii="Times New Roman" w:cs="Times New Roman" w:eastAsia="Times New Roman" w:hAnsi="Times New Roman"/>
          <w:sz w:val="20"/>
          <w:szCs w:val="20"/>
          <w:color w:val="auto"/>
        </w:rPr>
        <w:t>Matters”. In giving this consent we do not admit or imply that we are a person whose consent is required under Section 7 of the United States Securities Act of 1933, as amended, or any rules and regulations promulgated thereunder.</w:t>
      </w:r>
    </w:p>
    <w:p>
      <w:pPr>
        <w:spacing w:after="0" w:line="20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Sincerely yours,</w:t>
      </w:r>
    </w:p>
    <w:p>
      <w:pPr>
        <w:spacing w:after="0" w:line="2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/s/ NautaDutilh N.V.</w:t>
      </w:r>
    </w:p>
    <w:p>
      <w:pPr>
        <w:spacing w:after="0" w:line="2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NautaDutilh N.V.</w:t>
      </w:r>
    </w:p>
    <w:p>
      <w:pPr>
        <w:sectPr>
          <w:pgSz w:w="11900" w:h="16838" w:orient="portrait"/>
          <w:cols w:equalWidth="0" w:num="1">
            <w:col w:w="10000"/>
          </w:cols>
          <w:pgMar w:left="1440" w:top="945" w:right="459" w:bottom="1440" w:gutter="0" w:footer="0" w:header="0"/>
        </w:sectPr>
      </w:pPr>
    </w:p>
    <w:bookmarkStart w:id="131" w:name="page132"/>
    <w:bookmarkEnd w:id="131"/>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LIST OF DEFINITIONS</w:t>
      </w:r>
    </w:p>
    <w:p>
      <w:pPr>
        <w:spacing w:after="0" w:line="22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 Money Laundering Laws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Anti-Boycott Regulation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Register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Articles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Indenture or any Notation of Guarantee.</w:t>
      </w:r>
    </w:p>
    <w:p>
      <w:pPr>
        <w:spacing w:after="0" w:line="2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19"/>
          <w:szCs w:val="19"/>
          <w:i w:val="1"/>
          <w:iCs w:val="1"/>
          <w:color w:val="auto"/>
        </w:rPr>
        <w:t>Wet 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voorkoming van witwassen en financieren van terrorisme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Dutch Criminal Code (</w:t>
      </w:r>
      <w:r>
        <w:rPr>
          <w:rFonts w:ascii="Times New Roman" w:cs="Times New Roman" w:eastAsia="Times New Roman" w:hAnsi="Times New Roman"/>
          <w:sz w:val="19"/>
          <w:szCs w:val="19"/>
          <w:i w:val="1"/>
          <w:iCs w:val="1"/>
          <w:color w:val="auto"/>
        </w:rPr>
        <w:t>Wetboek van Strafrecht</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The Company’s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as they read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Dutch Bankruptcy Code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w:t>
      </w:r>
      <w:r>
        <w:rPr>
          <w:rFonts w:ascii="Times New Roman" w:cs="Times New Roman" w:eastAsia="Times New Roman" w:hAnsi="Times New Roman"/>
          <w:sz w:val="20"/>
          <w:szCs w:val="20"/>
          <w:i w:val="1"/>
          <w:iCs w:val="1"/>
          <w:color w:val="auto"/>
        </w:rPr>
        <w:t>bestuur</w:t>
      </w:r>
      <w:r>
        <w:rPr>
          <w:rFonts w:ascii="Times New Roman" w:cs="Times New Roman" w:eastAsia="Times New Roman" w:hAnsi="Times New Roman"/>
          <w:sz w:val="20"/>
          <w:szCs w:val="20"/>
          <w:color w:val="auto"/>
        </w:rPr>
        <w:t>)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Dutch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Shares of common stock in Viatris Inc. with a par value of $0.01 per share.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Mylan II B.V., a private company with limited liability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registered with the Commercial Register under number 75453444.</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Deed of Incorporation, the Current Articles and the Extract.</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Articles of Association as contained in the Deed of Incorporation.</w:t>
      </w:r>
    </w:p>
    <w:p>
      <w:pPr>
        <w:sectPr>
          <w:pgSz w:w="11900" w:h="16838" w:orient="portrait"/>
          <w:cols w:equalWidth="0" w:num="2">
            <w:col w:w="4940" w:space="460"/>
            <w:col w:w="4620"/>
          </w:cols>
          <w:pgMar w:left="1440" w:top="945" w:right="439" w:bottom="1440" w:gutter="0" w:footer="0" w:header="0"/>
        </w:sectPr>
      </w:pPr>
    </w:p>
    <w:bookmarkStart w:id="132" w:name="page133"/>
    <w:bookmarkEnd w:id="132"/>
    <w:p>
      <w:pPr>
        <w:ind w:left="4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8</w:t>
      </w:r>
    </w:p>
    <w:p>
      <w:pPr>
        <w:sectPr>
          <w:pgSz w:w="11900" w:h="16838" w:orient="portrait"/>
          <w:cols w:equalWidth="0" w:num="1">
            <w:col w:w="10020"/>
          </w:cols>
          <w:pgMar w:left="1440" w:top="94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DCC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Dutch Civil Code (</w:t>
      </w:r>
      <w:r>
        <w:rPr>
          <w:rFonts w:ascii="Times New Roman" w:cs="Times New Roman" w:eastAsia="Times New Roman" w:hAnsi="Times New Roman"/>
          <w:sz w:val="19"/>
          <w:szCs w:val="19"/>
          <w:i w:val="1"/>
          <w:iCs w:val="1"/>
          <w:color w:val="auto"/>
        </w:rPr>
        <w:t>Burgerlijk Wetboek</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spacing w:after="0" w:line="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Securities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One or more series of debt securities issuable by Viatris Inc. and applicable guarantees offered by, among others, the Company and registered pursuant to the Registration Statement.</w:t>
      </w:r>
    </w:p>
    <w:p>
      <w:pPr>
        <w:spacing w:after="0" w:line="176"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Deed of Incorporation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tabs>
          <w:tab w:leader="none" w:pos="460" w:val="left"/>
          <w:tab w:leader="none" w:pos="1560" w:val="left"/>
          <w:tab w:leader="none" w:pos="2120" w:val="left"/>
          <w:tab w:leader="none" w:pos="2460" w:val="left"/>
        </w:tabs>
        <w:rPr>
          <w:sz w:val="20"/>
          <w:szCs w:val="20"/>
          <w:color w:val="auto"/>
        </w:rPr>
      </w:pPr>
      <w:r>
        <w:rPr>
          <w:rFonts w:ascii="Times New Roman" w:cs="Times New Roman" w:eastAsia="Times New Roman" w:hAnsi="Times New Roman"/>
          <w:sz w:val="20"/>
          <w:szCs w:val="20"/>
          <w:color w:val="auto"/>
        </w:rPr>
        <w:t>The</w:t>
        <w:tab/>
        <w:t>Company’s</w:t>
        <w:tab/>
        <w:t>deed</w:t>
        <w:tab/>
        <w:t>of</w:t>
      </w:r>
      <w:r>
        <w:rPr>
          <w:sz w:val="20"/>
          <w:szCs w:val="20"/>
          <w:color w:val="auto"/>
        </w:rPr>
        <w:tab/>
      </w:r>
      <w:r>
        <w:rPr>
          <w:rFonts w:ascii="Times New Roman" w:cs="Times New Roman" w:eastAsia="Times New Roman" w:hAnsi="Times New Roman"/>
          <w:sz w:val="19"/>
          <w:szCs w:val="19"/>
          <w:color w:val="auto"/>
        </w:rPr>
        <w:t>incorporation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akte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i w:val="1"/>
          <w:iCs w:val="1"/>
          <w:color w:val="auto"/>
        </w:rPr>
        <w:t>van</w:t>
      </w:r>
    </w:p>
    <w:p>
      <w:pPr>
        <w:spacing w:after="0" w:line="43" w:lineRule="exact"/>
        <w:rPr>
          <w:sz w:val="20"/>
          <w:szCs w:val="20"/>
          <w:color w:val="auto"/>
        </w:rPr>
      </w:pPr>
    </w:p>
    <w:p>
      <w:pPr>
        <w:sectPr>
          <w:pgSz w:w="11900" w:h="16838" w:orient="portrait"/>
          <w:cols w:equalWidth="0" w:num="4">
            <w:col w:w="4680" w:space="720"/>
            <w:col w:w="3540" w:space="200"/>
            <w:col w:w="380" w:space="200"/>
            <w:col w:w="300"/>
          </w:cols>
          <w:pgMar w:left="1440" w:top="945" w:right="439"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9"/>
          <w:szCs w:val="19"/>
          <w:i w:val="1"/>
          <w:iCs w:val="1"/>
          <w:color w:val="auto"/>
        </w:rPr>
        <w:t>oprichting</w:t>
      </w:r>
      <w:r>
        <w:rPr>
          <w:rFonts w:ascii="Times New Roman" w:cs="Times New Roman" w:eastAsia="Times New Roman" w:hAnsi="Times New Roman"/>
          <w:sz w:val="19"/>
          <w:szCs w:val="19"/>
          <w:color w:val="auto"/>
        </w:rPr>
        <w:t>) dated 25 July 2019.</w:t>
      </w:r>
    </w:p>
    <w:p>
      <w:pPr>
        <w:sectPr>
          <w:pgSz w:w="11900" w:h="16838" w:orient="portrait"/>
          <w:cols w:equalWidth="0" w:num="1">
            <w:col w:w="10020"/>
          </w:cols>
          <w:pgMar w:left="1440" w:top="945" w:right="439" w:bottom="1440" w:gutter="0" w:footer="0" w:header="0"/>
          <w:type w:val="continuous"/>
        </w:sectPr>
      </w:pPr>
    </w:p>
    <w:p>
      <w:pPr>
        <w:spacing w:after="0" w:line="19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eIDAS Regulation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Regulation (EU) No 910/2014 of the European Parliament and of the Council of 23 July 2014 on electronic identification and trust services for electronic transactions in the internal market and repealing Directive 1999/93/EC.</w:t>
      </w:r>
    </w:p>
    <w:p>
      <w:pPr>
        <w:spacing w:after="0" w:line="181"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jc w:val="cente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Extract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Times New Roman" w:cs="Times New Roman" w:eastAsia="Times New Roman" w:hAnsi="Times New Roman"/>
          <w:sz w:val="20"/>
          <w:szCs w:val="20"/>
          <w:color w:val="auto"/>
        </w:rPr>
        <w:t>An extract from the Commercial Register relating to the Company, dated the date of this opinion letter.</w:t>
      </w:r>
    </w:p>
    <w:p>
      <w:pPr>
        <w:spacing w:after="0" w:line="155"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Form of Indenture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Times New Roman" w:cs="Times New Roman" w:eastAsia="Times New Roman" w:hAnsi="Times New Roman"/>
          <w:sz w:val="20"/>
          <w:szCs w:val="20"/>
          <w:color w:val="auto"/>
        </w:rPr>
        <w:t>The form of indenture as attached to the Registration Statement as Exhibit 4.9.</w:t>
      </w:r>
    </w:p>
    <w:p>
      <w:pPr>
        <w:spacing w:after="0" w:line="155"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Form of Notation of Guarantee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Times New Roman" w:cs="Times New Roman" w:eastAsia="Times New Roman" w:hAnsi="Times New Roman"/>
          <w:sz w:val="20"/>
          <w:szCs w:val="20"/>
          <w:color w:val="auto"/>
        </w:rPr>
        <w:t>The form of notation of guarantee as attached to the Form of Indenture as Exhibit A.</w:t>
      </w:r>
    </w:p>
    <w:p>
      <w:pPr>
        <w:spacing w:after="0" w:line="155" w:lineRule="exact"/>
        <w:rPr>
          <w:sz w:val="20"/>
          <w:szCs w:val="20"/>
          <w:color w:val="auto"/>
        </w:rPr>
      </w:pPr>
    </w:p>
    <w:p>
      <w:pPr>
        <w:sectPr>
          <w:pgSz w:w="11900" w:h="16838" w:orient="portrait"/>
          <w:cols w:equalWidth="0" w:num="2">
            <w:col w:w="5020" w:space="380"/>
            <w:col w:w="4620"/>
          </w:cols>
          <w:pgMar w:left="1440" w:top="945" w:right="439"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 indenture or supplemental indenture to be entered into between Viatris Inc., the Company as Guarantor, any additional Guarantors and the Trustee (as defined therein) in respect of the issuance of Debt Securities, in the form of the Form of Indenture.</w:t>
      </w:r>
    </w:p>
    <w:p>
      <w:pPr>
        <w:spacing w:after="0" w:line="181"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Insolvency Proceedings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Times New Roman" w:cs="Times New Roman" w:eastAsia="Times New Roman" w:hAnsi="Times New Roman"/>
          <w:sz w:val="19"/>
          <w:szCs w:val="19"/>
          <w:color w:val="auto"/>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w:t>
      </w:r>
    </w:p>
    <w:p>
      <w:pPr>
        <w:sectPr>
          <w:pgSz w:w="11900" w:h="16838" w:orient="portrait"/>
          <w:cols w:equalWidth="0" w:num="2">
            <w:col w:w="4680" w:space="720"/>
            <w:col w:w="4620"/>
          </w:cols>
          <w:pgMar w:left="1440" w:top="945" w:right="439" w:bottom="1440" w:gutter="0" w:footer="0" w:header="0"/>
          <w:type w:val="continuous"/>
        </w:sectPr>
      </w:pPr>
    </w:p>
    <w:bookmarkStart w:id="133" w:name="page134"/>
    <w:bookmarkEnd w:id="133"/>
    <w:p>
      <w:pPr>
        <w:jc w:val="right"/>
        <w:ind w:righ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NautaDutilh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 Netherlands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Notation of Guarantee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Power of Attorney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Securities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Moment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statutory proceedings for the restructuring of debts (</w:t>
      </w:r>
      <w:r>
        <w:rPr>
          <w:rFonts w:ascii="Times New Roman" w:cs="Times New Roman" w:eastAsia="Times New Roman" w:hAnsi="Times New Roman"/>
          <w:sz w:val="20"/>
          <w:szCs w:val="20"/>
          <w:i w:val="1"/>
          <w:iCs w:val="1"/>
          <w:color w:val="auto"/>
        </w:rPr>
        <w:t>akkoordprocedure</w:t>
      </w:r>
      <w:r>
        <w:rPr>
          <w:rFonts w:ascii="Times New Roman" w:cs="Times New Roman" w:eastAsia="Times New Roman" w:hAnsi="Times New Roman"/>
          <w:sz w:val="20"/>
          <w:szCs w:val="20"/>
          <w:color w:val="auto"/>
        </w:rPr>
        <w:t>) pursuant to the Bankruptcy Code.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NautaDutilh N.V.</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European territory of the Kingdom of the Netherlands.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notation of guarantee in the form of the Form of Notation of Guarantee.</w:t>
      </w:r>
    </w:p>
    <w:p>
      <w:pPr>
        <w:spacing w:after="0" w:line="1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Any power of attorney granted or to be granted by the Company for the purposes of executing Agreements on behalf of the Company and the performance of the Company’s obligations thereunder and under the Registered Securities, as relevant.</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Shares of preferred stock in Viatris Inc. with a par value of $0.01 per share.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Debt Securities, Common Stock, Preferred Stock, Warrants, Rights and Units.</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Viatris Inc.’s registration statement on Form S-3 filed or to be filed with the SEC in the form reviewed by us.</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Each time when the Company as Guarantor enters into an Indenture and/or a Notation of Guarantee.</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One or more series of rights issuable by Viatris Inc. and registered pursuant to the Registration Statement consisting of one more rights to purchase Debt Securities, Common Stock or Preferred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United States Securities and Exchange Commission.</w:t>
      </w:r>
    </w:p>
    <w:p>
      <w:pPr>
        <w:sectPr>
          <w:pgSz w:w="11900" w:h="16838" w:orient="portrait"/>
          <w:cols w:equalWidth="0" w:num="2">
            <w:col w:w="4680" w:space="720"/>
            <w:col w:w="4620"/>
          </w:cols>
          <w:pgMar w:left="1440" w:top="945" w:right="439" w:bottom="1440" w:gutter="0" w:footer="0" w:header="0"/>
        </w:sectPr>
      </w:pPr>
    </w:p>
    <w:bookmarkStart w:id="134" w:name="page135"/>
    <w:bookmarkEnd w:id="134"/>
    <w:p>
      <w:pPr>
        <w:ind w:left="4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182880</wp:posOffset>
            </wp:positionV>
            <wp:extent cx="113982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10</w:t>
      </w:r>
    </w:p>
    <w:p>
      <w:pPr>
        <w:sectPr>
          <w:pgSz w:w="11900" w:h="16838" w:orient="portrait"/>
          <w:cols w:equalWidth="0" w:num="1">
            <w:col w:w="10020"/>
          </w:cols>
          <w:pgMar w:left="1440" w:top="94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One or more series of units issuable by Viatris Inc. and registered pursuant to the Registration Statement consisting of two or more constituent securities in the form of Debt Securities, Common Stock, Preferred Stock, Rights or Warrants or any combination of such securities as specified in the applicable prospectus supplement.</w:t>
      </w:r>
    </w:p>
    <w:p>
      <w:pPr>
        <w:spacing w:after="0" w:line="169"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Viatris Inc.</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20"/>
          <w:szCs w:val="20"/>
          <w:color w:val="auto"/>
        </w:rPr>
        <w:t>Viatris Inc., a Delaware corporation with its address at 1000 Mylan Boulevard, Canonsburg, Pennsylvania 15317.</w:t>
      </w:r>
    </w:p>
    <w:p>
      <w:pPr>
        <w:spacing w:after="0" w:line="170" w:lineRule="exact"/>
        <w:rPr>
          <w:sz w:val="20"/>
          <w:szCs w:val="20"/>
          <w:color w:val="auto"/>
        </w:rPr>
      </w:pPr>
    </w:p>
    <w:p>
      <w:pPr>
        <w:sectPr>
          <w:pgSz w:w="11900" w:h="16838" w:orient="portrait"/>
          <w:cols w:equalWidth="0" w:num="2">
            <w:col w:w="4680" w:space="720"/>
            <w:col w:w="4620"/>
          </w:cols>
          <w:pgMar w:left="1440" w:top="945" w:right="4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Times New Roman" w:cs="Times New Roman" w:eastAsia="Times New Roman" w:hAnsi="Times New Roman"/>
          <w:sz w:val="20"/>
          <w:szCs w:val="20"/>
          <w:color w:val="auto"/>
        </w:rPr>
        <w:t>One or more series of warrants issuable by Viatris Inc. and registered pursuant to the Registration Statement for the purchase of Debt Securities, Common Stock or Preferred Stock as specified in the applicable prospectus supplement.</w:t>
      </w:r>
    </w:p>
    <w:p>
      <w:pPr>
        <w:sectPr>
          <w:pgSz w:w="11900" w:h="16838" w:orient="portrait"/>
          <w:cols w:equalWidth="0" w:num="2">
            <w:col w:w="4680" w:space="720"/>
            <w:col w:w="4620"/>
          </w:cols>
          <w:pgMar w:left="1440" w:top="945" w:right="439" w:bottom="1440" w:gutter="0" w:footer="0" w:header="0"/>
          <w:type w:val="continuous"/>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5.3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Mylan Inc.</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Canonsburg, Pennsylvania 15317</w:t>
      </w:r>
    </w:p>
    <w:p>
      <w:pPr>
        <w:spacing w:after="0" w:line="2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The Registration Statement (as defined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Pennsylvania counsel to Mylan Inc., a Pennsylvania corporation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have been asked to prepare and deliver this opinion letter in connection with the Company’s proposed guarantees (collectively, “</w:t>
      </w:r>
      <w:r>
        <w:rPr>
          <w:rFonts w:ascii="Times New Roman" w:cs="Times New Roman" w:eastAsia="Times New Roman" w:hAnsi="Times New Roman"/>
          <w:sz w:val="18"/>
          <w:szCs w:val="18"/>
          <w:b w:val="1"/>
          <w:bCs w:val="1"/>
          <w:i w:val="1"/>
          <w:iCs w:val="1"/>
          <w:color w:val="auto"/>
        </w:rPr>
        <w:t>Debt Securities Guarantees</w:t>
      </w:r>
      <w:r>
        <w:rPr>
          <w:rFonts w:ascii="Times New Roman" w:cs="Times New Roman" w:eastAsia="Times New Roman" w:hAnsi="Times New Roman"/>
          <w:sz w:val="18"/>
          <w:szCs w:val="18"/>
          <w:color w:val="auto"/>
        </w:rPr>
        <w:t>”) of debt securities (collectively,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to be issued from time to time by Viatris Inc., a Delaware corporation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pursuant to a form of indenture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that was filed with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as an exhibit to the registration statement on Form S-3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Issuer and the Company on May 6, 2022. We have prepared this opinion letter in our narrow capacity as Pennsylvania counsel to the Company, and we have not represented the Company in connection with the negotiation, documentation or performance of the Indenture, the Registration Statement or any other matter relating thereto.</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this opinion letter, we have examined originals, or copies certified or otherwise identified to our satisfaction, of (i) the Amended and Restated Articles of Incorporation, as Amended, of the Company, as certified by the Pennsylvania Secretary of State as of May 4, 2022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(ii) the Third Amended and Restated Bylaws, as Amended, of the Company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collectively with the Articles, “</w:t>
      </w:r>
      <w:r>
        <w:rPr>
          <w:rFonts w:ascii="Times New Roman" w:cs="Times New Roman" w:eastAsia="Times New Roman" w:hAnsi="Times New Roman"/>
          <w:sz w:val="18"/>
          <w:szCs w:val="18"/>
          <w:b w:val="1"/>
          <w:bCs w:val="1"/>
          <w:i w:val="1"/>
          <w:iCs w:val="1"/>
          <w:color w:val="auto"/>
        </w:rPr>
        <w:t>Charter Documents</w:t>
      </w:r>
      <w:r>
        <w:rPr>
          <w:rFonts w:ascii="Times New Roman" w:cs="Times New Roman" w:eastAsia="Times New Roman" w:hAnsi="Times New Roman"/>
          <w:sz w:val="18"/>
          <w:szCs w:val="18"/>
          <w:color w:val="auto"/>
        </w:rPr>
        <w:t>”); (iii) the Registration Statement; (iv) the Indenture; (v) certain resolutions adopted by the Company’s Board of Directors (“Board Resolutions”); (vi) a certificate of subsistence (“</w:t>
      </w:r>
      <w:r>
        <w:rPr>
          <w:rFonts w:ascii="Times New Roman" w:cs="Times New Roman" w:eastAsia="Times New Roman" w:hAnsi="Times New Roman"/>
          <w:sz w:val="18"/>
          <w:szCs w:val="18"/>
          <w:b w:val="1"/>
          <w:bCs w:val="1"/>
          <w:i w:val="1"/>
          <w:iCs w:val="1"/>
          <w:color w:val="auto"/>
        </w:rPr>
        <w:t>Certificate of Subsistence</w:t>
      </w:r>
      <w:r>
        <w:rPr>
          <w:rFonts w:ascii="Times New Roman" w:cs="Times New Roman" w:eastAsia="Times New Roman" w:hAnsi="Times New Roman"/>
          <w:sz w:val="18"/>
          <w:szCs w:val="18"/>
          <w:color w:val="auto"/>
        </w:rPr>
        <w:t>”) with respect to the Company issued by the Pennsylvania Secretary of State as of May 4, 2022; and (vii) such other documents and records as we deemed appropriate for purposes of the opinions set forth herein.</w:t>
      </w:r>
    </w:p>
    <w:p>
      <w:pPr>
        <w:sectPr>
          <w:pgSz w:w="11900" w:h="16838" w:orient="portrait"/>
          <w:cols w:equalWidth="0" w:num="1">
            <w:col w:w="11020"/>
          </w:cols>
          <w:pgMar w:left="440" w:top="117" w:right="43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6, 2022</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(and the authority of all signatories), the legal capacity of natural persons, the authenticity of the documents submitted to us as originals, the conformity to the original documents of all documents submitted to us as certified, facsimile or electronic copies, and the authenticity of the originals of all documents submitted to us as copies.</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As to any facts that are material to the opinions hereinafter expressed that we did not independently establish or verify, we have relied without investigation upon a certificate of the Assistant Secretary of the Company, although we advise you that nothing has come to our attention that has caused us to believe that such reliance is unwarranted.</w:t>
      </w:r>
    </w:p>
    <w:p>
      <w:pPr>
        <w:spacing w:after="0" w:line="176"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In rendering the opinions set forth herein, whenever a statement or opinion herein is qualified by “to our knowledge,” “known to us” or by words of similar import, it is intended to indicate that, during the course of our representation of the Company, no information has come to the attention of those lawyers in our firm who have rendered substantive legal services to the Company that gives us actual knowledge of the inaccuracy of such statement or opinion. Except as specifically set forth herein, we have not undertaken any independent investigation to determine the accuracy of facts material to any such statement or opinion, and no inference as to such statement or opinion should be drawn from the fact of our representation of the Company.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and subject to the foregoing, and to the limitations and qualifications described below, we are of the opinion that:</w:t>
      </w:r>
    </w:p>
    <w:p>
      <w:pPr>
        <w:spacing w:after="0" w:line="225" w:lineRule="exact"/>
        <w:rPr>
          <w:sz w:val="20"/>
          <w:szCs w:val="20"/>
          <w:color w:val="auto"/>
        </w:rPr>
      </w:pPr>
    </w:p>
    <w:p>
      <w:pPr>
        <w:ind w:left="184" w:hanging="184"/>
        <w:spacing w:after="0"/>
        <w:tabs>
          <w:tab w:leader="none" w:pos="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presently subsisting under the laws of the Commonwealth of Pennsylvania.</w:t>
      </w:r>
    </w:p>
    <w:p>
      <w:pPr>
        <w:spacing w:after="0" w:line="225" w:lineRule="exact"/>
        <w:rPr>
          <w:rFonts w:ascii="Times New Roman" w:cs="Times New Roman" w:eastAsia="Times New Roman" w:hAnsi="Times New Roman"/>
          <w:sz w:val="18"/>
          <w:szCs w:val="18"/>
          <w:color w:val="auto"/>
        </w:rPr>
      </w:pPr>
    </w:p>
    <w:p>
      <w:pPr>
        <w:ind w:left="4" w:right="880" w:hanging="4"/>
        <w:spacing w:after="0" w:line="282" w:lineRule="auto"/>
        <w:tabs>
          <w:tab w:leader="none" w:pos="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to execute, deliver and perform the Indenture, including the Debt Securities Guarantees, and to consummate the transactions contemplated thereby.</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Indenture, including the Debt Securities Guarantees, have been duly authorized by the Company.</w:t>
      </w:r>
    </w:p>
    <w:p>
      <w:pPr>
        <w:spacing w:after="0" w:line="225" w:lineRule="exact"/>
        <w:rPr>
          <w:rFonts w:ascii="Times New Roman" w:cs="Times New Roman" w:eastAsia="Times New Roman" w:hAnsi="Times New Roman"/>
          <w:sz w:val="18"/>
          <w:szCs w:val="18"/>
          <w:color w:val="auto"/>
        </w:rPr>
      </w:pPr>
    </w:p>
    <w:p>
      <w:pPr>
        <w:ind w:left="4" w:right="180" w:hanging="4"/>
        <w:spacing w:after="0" w:line="282" w:lineRule="auto"/>
        <w:tabs>
          <w:tab w:leader="none" w:pos="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the Indenture, including the Debt Securities Guarantees, and the consummation by the Company of the transactions contemplated thereby, do not and will not result in a violation of the Charter Documents.</w:t>
      </w:r>
    </w:p>
    <w:p>
      <w:pPr>
        <w:sectPr>
          <w:pgSz w:w="11900" w:h="16838" w:orient="portrait"/>
          <w:cols w:equalWidth="0" w:num="1">
            <w:col w:w="11004"/>
          </w:cols>
          <w:pgMar w:left="436" w:top="270"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expressed above are subject to the following additional limitations, exceptions, qualifications and assumptions:</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 The opinions expressed above are limited to the laws of the Commonwealth of Pennsylvania, and we express no opinion with respect to the laws of any other state or jurisdiction.</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B. For purposes of the opinion set forth in paragraph 1 above as to the present subsistence of the Company, we have relied solely upon the Certificate of Subsistence.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 We have assumed that the members of the Company’s Board of Directors have complied with applicable fiduciary duties in connection with the authorization and performance of the Indenture, including the Debt Securities Guarantees, and the consummation by the Company of the transactions contemplated thereby.</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D. We have assumed that at the time of execution and delivery by the Company of the Indenture and since May 6, 2022, (i) the Charter Documents will not have been amended in any way and remain in full force and effect; (ii) the Board Resolutions will not have been amended in any way and remain in full force and effect, and constitute the only resolutions of the Board of Directors of the Company with respect to the Indenture and the transactions contemplated therein; and (iii) the Certificate of Subsistence remains accurate.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opinion letter is effective only as of the date hereof. We do not assume responsibility for updating this opinion letter as of any date subsequent to its date, and we assume no responsibility for advising you of any changes with respect to any matters described in this opinion letter that may occur, or facts that may come to our attention, subsequent to the date hereof.</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 to our firm under the heading “Legal Matters” in the prospectus contained in the Registration Statement. In giving this consent, we do not hereby admit that we are in the category of persons whose consent is required under Section 7 of the Securities Act of 1933, as amended, or the rules and regulations of the SEC thereunder. This opinion letter is not to be quoted in whole or in part or otherwise referred to or used, nor is it to be filed with any governmental agency or any other person other than the SEC, without our express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Parker Poe Adams &amp; Bernstein LLP</w:t>
      </w:r>
    </w:p>
    <w:p>
      <w:pPr>
        <w:sectPr>
          <w:pgSz w:w="11900" w:h="16838" w:orient="portrait"/>
          <w:cols w:equalWidth="0" w:num="1">
            <w:col w:w="11000"/>
          </w:cols>
          <w:pgMar w:left="440" w:top="270" w:right="4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reports dated February 28, 2022 relating to the financial statements of Viatris Inc. and subsidiaries (the “Company”) and the effectiveness of the Company’s internal control over financial reporting, appearing in the Annual Report on Form 10-K of Viatris Inc. for the year ended December 31, 2021.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ectPr>
          <w:pgSz w:w="11900" w:h="16838" w:orient="portrait"/>
          <w:cols w:equalWidth="0" w:num="1">
            <w:col w:w="11020"/>
          </w:cols>
          <w:pgMar w:left="440" w:top="117" w:right="4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80" w:hanging="424"/>
        <w:spacing w:after="0" w:line="262" w:lineRule="auto"/>
        <w:tabs>
          <w:tab w:leader="none" w:pos="424" w:val="left"/>
        </w:tabs>
        <w:numPr>
          <w:ilvl w:val="0"/>
          <w:numId w:val="118"/>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324" w:type="dxa"/>
        <w:tblCellMar>
          <w:top w:w="0" w:type="dxa"/>
          <w:left w:w="0" w:type="dxa"/>
          <w:bottom w:w="0" w:type="dxa"/>
          <w:right w:w="0" w:type="dxa"/>
        </w:tblCellMar>
      </w:tblPr>
      <w:tr>
        <w:trPr>
          <w:trHeight w:val="214"/>
        </w:trPr>
        <w:tc>
          <w:tcPr>
            <w:tcW w:w="608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48"/>
        </w:trPr>
        <w:tc>
          <w:tcPr>
            <w:tcW w:w="6080" w:type="dxa"/>
            <w:vAlign w:val="bottom"/>
            <w:gridSpan w:val="3"/>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4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08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240 Greenwich Street, New York, N.Y.</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8"/>
                <w:szCs w:val="18"/>
                <w:b w:val="1"/>
                <w:bCs w:val="1"/>
                <w:color w:val="auto"/>
                <w:w w:val="97"/>
              </w:rPr>
              <w:t>10286</w:t>
            </w:r>
          </w:p>
        </w:tc>
      </w:tr>
      <w:tr>
        <w:trPr>
          <w:trHeight w:val="190"/>
        </w:trPr>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30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1"/>
        </w:trPr>
        <w:tc>
          <w:tcPr>
            <w:tcW w:w="3020" w:type="dxa"/>
            <w:vAlign w:val="bottom"/>
          </w:tcPr>
          <w:p>
            <w:pPr>
              <w:spacing w:after="0"/>
              <w:rPr>
                <w:sz w:val="24"/>
                <w:szCs w:val="24"/>
                <w:color w:val="auto"/>
              </w:rPr>
            </w:pP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VIATRIS INC.</w:t>
            </w:r>
          </w:p>
        </w:tc>
        <w:tc>
          <w:tcPr>
            <w:tcW w:w="1480" w:type="dxa"/>
            <w:vAlign w:val="bottom"/>
          </w:tcPr>
          <w:p>
            <w:pPr>
              <w:spacing w:after="0"/>
              <w:rPr>
                <w:sz w:val="24"/>
                <w:szCs w:val="24"/>
                <w:color w:val="auto"/>
              </w:rPr>
            </w:pPr>
          </w:p>
        </w:tc>
      </w:tr>
      <w:tr>
        <w:trPr>
          <w:trHeight w:val="190"/>
        </w:trPr>
        <w:tc>
          <w:tcPr>
            <w:tcW w:w="6080" w:type="dxa"/>
            <w:vAlign w:val="bottom"/>
            <w:gridSpan w:val="3"/>
          </w:tcPr>
          <w:p>
            <w:pPr>
              <w:jc w:val="center"/>
              <w:ind w:left="2221"/>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c>
          <w:tcPr>
            <w:tcW w:w="1480" w:type="dxa"/>
            <w:vAlign w:val="bottom"/>
          </w:tcPr>
          <w:p>
            <w:pPr>
              <w:spacing w:after="0"/>
              <w:rPr>
                <w:sz w:val="16"/>
                <w:szCs w:val="16"/>
                <w:color w:val="auto"/>
              </w:rPr>
            </w:pPr>
          </w:p>
        </w:tc>
      </w:tr>
      <w:tr>
        <w:trPr>
          <w:trHeight w:val="334"/>
        </w:trPr>
        <w:tc>
          <w:tcPr>
            <w:tcW w:w="30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8"/>
        </w:trPr>
        <w:tc>
          <w:tcPr>
            <w:tcW w:w="608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8"/>
                <w:szCs w:val="18"/>
                <w:b w:val="1"/>
                <w:bCs w:val="1"/>
                <w:color w:val="auto"/>
              </w:rPr>
              <w:t>83-4364296</w:t>
            </w:r>
          </w:p>
        </w:tc>
      </w:tr>
      <w:tr>
        <w:trPr>
          <w:trHeight w:val="148"/>
        </w:trPr>
        <w:tc>
          <w:tcPr>
            <w:tcW w:w="6080" w:type="dxa"/>
            <w:vAlign w:val="bottom"/>
            <w:gridSpan w:val="3"/>
          </w:tcPr>
          <w:p>
            <w:pPr>
              <w:jc w:val="center"/>
              <w:ind w:right="3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gridSpan w:val="3"/>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1000 Mylan Boulevard</w:t>
            </w:r>
          </w:p>
        </w:tc>
        <w:tc>
          <w:tcPr>
            <w:tcW w:w="1480" w:type="dxa"/>
            <w:vAlign w:val="bottom"/>
          </w:tcPr>
          <w:p>
            <w:pPr>
              <w:spacing w:after="0"/>
              <w:rPr>
                <w:sz w:val="24"/>
                <w:szCs w:val="24"/>
                <w:color w:val="auto"/>
              </w:rPr>
            </w:pPr>
          </w:p>
        </w:tc>
      </w:tr>
      <w:tr>
        <w:trPr>
          <w:trHeight w:val="214"/>
        </w:trPr>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Canonsburg, Pennsylvania</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8"/>
                <w:szCs w:val="18"/>
                <w:b w:val="1"/>
                <w:bCs w:val="1"/>
                <w:color w:val="auto"/>
                <w:w w:val="97"/>
              </w:rPr>
              <w:t>15317</w:t>
            </w:r>
          </w:p>
        </w:tc>
      </w:tr>
      <w:tr>
        <w:trPr>
          <w:trHeight w:val="190"/>
        </w:trPr>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ectPr>
          <w:pgSz w:w="11900" w:h="16838" w:orient="portrait"/>
          <w:cols w:equalWidth="0" w:num="1">
            <w:col w:w="11024"/>
          </w:cols>
          <w:pgMar w:left="436" w:top="117" w:right="43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251460</wp:posOffset>
            </wp:positionV>
            <wp:extent cx="1474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4340" w:type="dxa"/>
            <w:vAlign w:val="bottom"/>
          </w:tcPr>
          <w:p>
            <w:pPr>
              <w:spacing w:after="0"/>
              <w:rPr>
                <w:sz w:val="18"/>
                <w:szCs w:val="18"/>
                <w:color w:val="auto"/>
              </w:rPr>
            </w:pPr>
          </w:p>
        </w:tc>
        <w:tc>
          <w:tcPr>
            <w:tcW w:w="3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Mylan Inc.</w:t>
            </w:r>
          </w:p>
        </w:tc>
        <w:tc>
          <w:tcPr>
            <w:tcW w:w="3580" w:type="dxa"/>
            <w:vAlign w:val="bottom"/>
          </w:tcPr>
          <w:p>
            <w:pPr>
              <w:spacing w:after="0"/>
              <w:rPr>
                <w:sz w:val="18"/>
                <w:szCs w:val="18"/>
                <w:color w:val="auto"/>
              </w:rPr>
            </w:pPr>
          </w:p>
        </w:tc>
      </w:tr>
      <w:tr>
        <w:trPr>
          <w:trHeight w:val="190"/>
        </w:trPr>
        <w:tc>
          <w:tcPr>
            <w:tcW w:w="7440" w:type="dxa"/>
            <w:vAlign w:val="bottom"/>
            <w:gridSpan w:val="3"/>
          </w:tcPr>
          <w:p>
            <w:pPr>
              <w:jc w:val="center"/>
              <w:ind w:left="34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80" w:type="dxa"/>
            <w:vAlign w:val="bottom"/>
          </w:tcPr>
          <w:p>
            <w:pPr>
              <w:spacing w:after="0"/>
              <w:rPr>
                <w:sz w:val="16"/>
                <w:szCs w:val="16"/>
                <w:color w:val="auto"/>
              </w:rPr>
            </w:pP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55"/>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58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8"/>
              </w:rPr>
              <w:t>25-1211621</w:t>
            </w:r>
          </w:p>
        </w:tc>
      </w:tr>
      <w:tr>
        <w:trPr>
          <w:trHeight w:val="148"/>
        </w:trPr>
        <w:tc>
          <w:tcPr>
            <w:tcW w:w="7440" w:type="dxa"/>
            <w:vAlign w:val="bottom"/>
            <w:gridSpan w:val="3"/>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80" w:type="dxa"/>
            <w:vAlign w:val="bottom"/>
          </w:tcPr>
          <w:p>
            <w:pPr>
              <w:jc w:val="center"/>
              <w:ind w:right="17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1000 Mylan Boulevard</w:t>
            </w:r>
          </w:p>
        </w:tc>
        <w:tc>
          <w:tcPr>
            <w:tcW w:w="3580" w:type="dxa"/>
            <w:vAlign w:val="bottom"/>
          </w:tcPr>
          <w:p>
            <w:pPr>
              <w:spacing w:after="0"/>
              <w:rPr>
                <w:sz w:val="24"/>
                <w:szCs w:val="24"/>
                <w:color w:val="auto"/>
              </w:rPr>
            </w:pPr>
          </w:p>
        </w:tc>
      </w:tr>
      <w:tr>
        <w:trPr>
          <w:trHeight w:val="214"/>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Canonsburg, Pennsylvania</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7"/>
              </w:rPr>
              <w:t>15317</w:t>
            </w:r>
          </w:p>
        </w:tc>
      </w:tr>
      <w:tr>
        <w:trPr>
          <w:trHeight w:val="190"/>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Mylan II B.V.</w:t>
            </w:r>
          </w:p>
        </w:tc>
        <w:tc>
          <w:tcPr>
            <w:tcW w:w="3580" w:type="dxa"/>
            <w:vAlign w:val="bottom"/>
          </w:tcPr>
          <w:p>
            <w:pPr>
              <w:spacing w:after="0"/>
              <w:rPr>
                <w:sz w:val="24"/>
                <w:szCs w:val="24"/>
                <w:color w:val="auto"/>
              </w:rPr>
            </w:pPr>
          </w:p>
        </w:tc>
      </w:tr>
      <w:tr>
        <w:trPr>
          <w:trHeight w:val="190"/>
        </w:trPr>
        <w:tc>
          <w:tcPr>
            <w:tcW w:w="7440" w:type="dxa"/>
            <w:vAlign w:val="bottom"/>
            <w:gridSpan w:val="3"/>
          </w:tcPr>
          <w:p>
            <w:pPr>
              <w:jc w:val="center"/>
              <w:ind w:left="34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8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68"/>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Netherlands</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9"/>
              </w:rPr>
              <w:t>None</w:t>
            </w:r>
          </w:p>
        </w:tc>
      </w:tr>
      <w:tr>
        <w:trPr>
          <w:trHeight w:val="148"/>
        </w:trPr>
        <w:tc>
          <w:tcPr>
            <w:tcW w:w="7440" w:type="dxa"/>
            <w:vAlign w:val="bottom"/>
            <w:gridSpan w:val="3"/>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80" w:type="dxa"/>
            <w:vAlign w:val="bottom"/>
          </w:tcPr>
          <w:p>
            <w:pPr>
              <w:jc w:val="center"/>
              <w:ind w:right="17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Krijgsman 20</w:t>
            </w:r>
          </w:p>
        </w:tc>
        <w:tc>
          <w:tcPr>
            <w:tcW w:w="3580" w:type="dxa"/>
            <w:vAlign w:val="bottom"/>
          </w:tcPr>
          <w:p>
            <w:pPr>
              <w:spacing w:after="0"/>
              <w:rPr>
                <w:sz w:val="24"/>
                <w:szCs w:val="24"/>
                <w:color w:val="auto"/>
              </w:rPr>
            </w:pPr>
          </w:p>
        </w:tc>
      </w:tr>
      <w:tr>
        <w:trPr>
          <w:trHeight w:val="216"/>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1186 DM Amstelveen</w:t>
            </w:r>
          </w:p>
        </w:tc>
        <w:tc>
          <w:tcPr>
            <w:tcW w:w="3580" w:type="dxa"/>
            <w:vAlign w:val="bottom"/>
          </w:tcPr>
          <w:p>
            <w:pPr>
              <w:spacing w:after="0"/>
              <w:rPr>
                <w:sz w:val="18"/>
                <w:szCs w:val="18"/>
                <w:color w:val="auto"/>
              </w:rPr>
            </w:pPr>
          </w:p>
        </w:tc>
      </w:tr>
      <w:tr>
        <w:trPr>
          <w:trHeight w:val="214"/>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Amsterdam, the Netherlands</w:t>
            </w:r>
          </w:p>
        </w:tc>
        <w:tc>
          <w:tcPr>
            <w:tcW w:w="3580" w:type="dxa"/>
            <w:vAlign w:val="bottom"/>
          </w:tcPr>
          <w:p>
            <w:pPr>
              <w:spacing w:after="0"/>
              <w:rPr>
                <w:sz w:val="18"/>
                <w:szCs w:val="18"/>
                <w:color w:val="auto"/>
              </w:rPr>
            </w:pPr>
          </w:p>
        </w:tc>
      </w:tr>
      <w:tr>
        <w:trPr>
          <w:trHeight w:val="204"/>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Utah Acquisition Sub Inc.</w:t>
            </w:r>
          </w:p>
        </w:tc>
        <w:tc>
          <w:tcPr>
            <w:tcW w:w="3580" w:type="dxa"/>
            <w:vAlign w:val="bottom"/>
          </w:tcPr>
          <w:p>
            <w:pPr>
              <w:spacing w:after="0"/>
              <w:rPr>
                <w:sz w:val="24"/>
                <w:szCs w:val="24"/>
                <w:color w:val="auto"/>
              </w:rPr>
            </w:pPr>
          </w:p>
        </w:tc>
      </w:tr>
      <w:tr>
        <w:trPr>
          <w:trHeight w:val="190"/>
        </w:trPr>
        <w:tc>
          <w:tcPr>
            <w:tcW w:w="7440" w:type="dxa"/>
            <w:vAlign w:val="bottom"/>
            <w:gridSpan w:val="3"/>
          </w:tcPr>
          <w:p>
            <w:pPr>
              <w:jc w:val="center"/>
              <w:ind w:left="34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8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68"/>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rPr>
              <w:t>84-4554869</w:t>
            </w:r>
          </w:p>
        </w:tc>
      </w:tr>
      <w:tr>
        <w:trPr>
          <w:trHeight w:val="148"/>
        </w:trPr>
        <w:tc>
          <w:tcPr>
            <w:tcW w:w="7440" w:type="dxa"/>
            <w:vAlign w:val="bottom"/>
            <w:gridSpan w:val="3"/>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80" w:type="dxa"/>
            <w:vAlign w:val="bottom"/>
          </w:tcPr>
          <w:p>
            <w:pPr>
              <w:jc w:val="center"/>
              <w:ind w:right="17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44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1000 Mylan Boulevard</w:t>
            </w:r>
          </w:p>
        </w:tc>
        <w:tc>
          <w:tcPr>
            <w:tcW w:w="3580" w:type="dxa"/>
            <w:vAlign w:val="bottom"/>
          </w:tcPr>
          <w:p>
            <w:pPr>
              <w:spacing w:after="0"/>
              <w:rPr>
                <w:sz w:val="24"/>
                <w:szCs w:val="24"/>
                <w:color w:val="auto"/>
              </w:rPr>
            </w:pPr>
          </w:p>
        </w:tc>
      </w:tr>
      <w:tr>
        <w:trPr>
          <w:trHeight w:val="214"/>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Canonsburg, Pennsylvania</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7"/>
              </w:rPr>
              <w:t>15317</w:t>
            </w:r>
          </w:p>
        </w:tc>
      </w:tr>
      <w:tr>
        <w:trPr>
          <w:trHeight w:val="190"/>
        </w:trPr>
        <w:tc>
          <w:tcPr>
            <w:tcW w:w="744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right="170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580" w:type="dxa"/>
            <w:vAlign w:val="bottom"/>
          </w:tcPr>
          <w:p>
            <w:pPr>
              <w:spacing w:after="0"/>
              <w:rPr>
                <w:sz w:val="24"/>
                <w:szCs w:val="24"/>
                <w:color w:val="auto"/>
              </w:rPr>
            </w:pPr>
          </w:p>
        </w:tc>
      </w:tr>
      <w:tr>
        <w:trPr>
          <w:trHeight w:val="214"/>
        </w:trPr>
        <w:tc>
          <w:tcPr>
            <w:tcW w:w="7440" w:type="dxa"/>
            <w:vAlign w:val="bottom"/>
            <w:gridSpan w:val="3"/>
          </w:tcPr>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and Guarantees of Debt Securities</w:t>
            </w:r>
          </w:p>
        </w:tc>
        <w:tc>
          <w:tcPr>
            <w:tcW w:w="358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1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580" w:type="dxa"/>
            <w:vAlign w:val="bottom"/>
          </w:tcPr>
          <w:p>
            <w:pPr>
              <w:spacing w:after="0"/>
              <w:rPr>
                <w:sz w:val="16"/>
                <w:szCs w:val="16"/>
                <w:color w:val="auto"/>
              </w:rPr>
            </w:pPr>
          </w:p>
        </w:tc>
      </w:tr>
      <w:tr>
        <w:trPr>
          <w:trHeight w:val="226"/>
        </w:trPr>
        <w:tc>
          <w:tcPr>
            <w:tcW w:w="4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603" w:right="439" w:bottom="1440" w:gutter="0" w:footer="0" w:header="0"/>
        </w:sectPr>
      </w:pPr>
    </w:p>
    <w:bookmarkStart w:id="141" w:name="page142"/>
    <w:bookmarkEnd w:id="141"/>
    <w:p>
      <w:pPr>
        <w:ind w:left="424" w:hanging="424"/>
        <w:spacing w:after="0"/>
        <w:tabs>
          <w:tab w:leader="none" w:pos="4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color w:val="auto"/>
              </w:rPr>
              <w:t>Address</w:t>
            </w:r>
          </w:p>
        </w:tc>
      </w:tr>
      <w:tr>
        <w:trPr>
          <w:trHeight w:val="171"/>
        </w:trPr>
        <w:tc>
          <w:tcPr>
            <w:tcW w:w="44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Superintendent of the Department of</w:t>
            </w:r>
          </w:p>
        </w:tc>
        <w:tc>
          <w:tcPr>
            <w:tcW w:w="1300" w:type="dxa"/>
            <w:vAlign w:val="bottom"/>
          </w:tcPr>
          <w:p>
            <w:pPr>
              <w:spacing w:after="0"/>
              <w:rPr>
                <w:sz w:val="14"/>
                <w:szCs w:val="14"/>
                <w:color w:val="auto"/>
              </w:rPr>
            </w:pPr>
          </w:p>
        </w:tc>
        <w:tc>
          <w:tcPr>
            <w:tcW w:w="5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One State Street, New York, N.Y.</w:t>
            </w:r>
          </w:p>
        </w:tc>
      </w:tr>
      <w:tr>
        <w:trPr>
          <w:trHeight w:val="24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 of the State of New York</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10004-1417, and Albany, N.Y. 12223</w:t>
            </w:r>
          </w:p>
        </w:tc>
      </w:tr>
      <w:tr>
        <w:trPr>
          <w:trHeight w:val="3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33 Liberty Street, New York, N.Y. 10045</w:t>
            </w:r>
          </w:p>
        </w:tc>
      </w:tr>
      <w:tr>
        <w:trPr>
          <w:trHeight w:val="30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550 17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NW</w:t>
            </w:r>
          </w:p>
        </w:tc>
      </w:tr>
      <w:tr>
        <w:trPr>
          <w:trHeight w:val="234"/>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319"/>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Clearing House Association L.L.C.</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100 Broad Street</w:t>
            </w:r>
          </w:p>
        </w:tc>
      </w:tr>
      <w:tr>
        <w:trPr>
          <w:trHeight w:val="234"/>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New York, N.Y. 10004</w:t>
            </w:r>
          </w:p>
        </w:tc>
      </w:tr>
    </w:tbl>
    <w:p>
      <w:pPr>
        <w:spacing w:after="0" w:line="113" w:lineRule="exact"/>
        <w:rPr>
          <w:sz w:val="20"/>
          <w:szCs w:val="20"/>
          <w:color w:val="auto"/>
        </w:rPr>
      </w:pPr>
    </w:p>
    <w:p>
      <w:pPr>
        <w:ind w:left="964" w:hanging="532"/>
        <w:spacing w:after="0"/>
        <w:tabs>
          <w:tab w:leader="none" w:pos="96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w:t>
      </w:r>
    </w:p>
    <w:p>
      <w:pPr>
        <w:spacing w:after="0" w:line="127"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117" w:lineRule="exact"/>
        <w:rPr>
          <w:rFonts w:ascii="Times New Roman" w:cs="Times New Roman" w:eastAsia="Times New Roman" w:hAnsi="Times New Roman"/>
          <w:sz w:val="18"/>
          <w:szCs w:val="18"/>
          <w:b w:val="1"/>
          <w:bCs w:val="1"/>
          <w:color w:val="auto"/>
        </w:rPr>
      </w:pPr>
    </w:p>
    <w:p>
      <w:pPr>
        <w:ind w:left="444" w:right="512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the obligor is an affiliate of the trustee, describe each such affiliation.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right="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64" w:lineRule="exact"/>
        <w:rPr>
          <w:rFonts w:ascii="Times New Roman" w:cs="Times New Roman" w:eastAsia="Times New Roman" w:hAnsi="Times New Roman"/>
          <w:sz w:val="18"/>
          <w:szCs w:val="18"/>
          <w:b w:val="1"/>
          <w:bCs w:val="1"/>
          <w:color w:val="auto"/>
        </w:rPr>
      </w:pPr>
    </w:p>
    <w:p>
      <w:pPr>
        <w:ind w:left="964" w:right="120" w:hanging="532"/>
        <w:spacing w:after="0" w:line="277" w:lineRule="auto"/>
        <w:tabs>
          <w:tab w:leader="none" w:pos="964"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0"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24"/>
          </w:cols>
          <w:pgMar w:left="436" w:top="266" w:right="439" w:bottom="1440" w:gutter="0" w:footer="0" w:header="0"/>
        </w:sectPr>
      </w:pPr>
    </w:p>
    <w:bookmarkStart w:id="142" w:name="page143"/>
    <w:bookmarkEnd w:id="142"/>
    <w:p>
      <w:pPr>
        <w:ind w:left="532" w:hanging="532"/>
        <w:spacing w:after="0"/>
        <w:tabs>
          <w:tab w:leader="none" w:pos="53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p>
      <w:pPr>
        <w:ind w:left="532" w:right="900" w:hanging="532"/>
        <w:spacing w:after="0" w:line="282" w:lineRule="auto"/>
        <w:tabs>
          <w:tab w:leader="none" w:pos="5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with Registration Statement No. 333-229519).</w:t>
      </w:r>
    </w:p>
    <w:p>
      <w:pPr>
        <w:spacing w:after="0" w:line="6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94" w:lineRule="exact"/>
        <w:rPr>
          <w:rFonts w:ascii="Times New Roman" w:cs="Times New Roman" w:eastAsia="Times New Roman" w:hAnsi="Times New Roman"/>
          <w:sz w:val="18"/>
          <w:szCs w:val="18"/>
          <w:color w:val="auto"/>
        </w:rPr>
      </w:pPr>
    </w:p>
    <w:p>
      <w:pPr>
        <w:ind w:left="5032" w:hanging="106"/>
        <w:spacing w:after="0"/>
        <w:tabs>
          <w:tab w:leader="none" w:pos="503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192"/>
          </w:cols>
          <w:pgMar w:left="868" w:top="270" w:right="8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28th day of April,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20"/>
          </w:cols>
          <w:pgMar w:left="440" w:top="270" w:right="4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December 31, 2021, published in accordance with a call made by the Federal Reserve Bank of this District pursuant to the provisions of the Federal Reserve 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5,236,000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111,594,000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56,862,000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101,202,000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12,623,000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31,038,000</w:t>
            </w:r>
          </w:p>
        </w:tc>
      </w:tr>
      <w:tr>
        <w:trPr>
          <w:trHeight w:val="216"/>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177,000</w:t>
            </w:r>
          </w:p>
        </w:tc>
      </w:tr>
      <w:tr>
        <w:trPr>
          <w:trHeight w:val="216"/>
        </w:trPr>
        <w:tc>
          <w:tcPr>
            <w:tcW w:w="9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30,861,000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11,791,000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2,938,000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1,523,000</w:t>
            </w: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7,069,000</w:t>
            </w:r>
          </w:p>
        </w:tc>
      </w:tr>
      <w:tr>
        <w:trPr>
          <w:trHeight w:val="22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14,522,000</w:t>
            </w: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356,225,000</w:t>
            </w:r>
          </w:p>
        </w:tc>
      </w:tr>
      <w:tr>
        <w:trPr>
          <w:trHeight w:val="20"/>
        </w:trPr>
        <w:tc>
          <w:tcPr>
            <w:tcW w:w="9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197,707,000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89,955,000</w:t>
            </w: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107,752,000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114,105,000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107,021,000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borrowed money: (includes mortgage indebtedness and obligations under capitalized leases)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327,827,000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11,763,000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16,487,000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28,398,000</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28,398,000</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356,225,000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46" w:name="page147"/>
    <w:bookmarkEnd w:id="14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Emily Portney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-119380</wp:posOffset>
            </wp:positionV>
            <wp:extent cx="111125" cy="428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111125" cy="428625"/>
                    </a:xfrm>
                    <a:prstGeom prst="rect">
                      <a:avLst/>
                    </a:prstGeom>
                    <a:noFill/>
                  </pic:spPr>
                </pic:pic>
              </a:graphicData>
            </a:graphic>
          </wp:anchor>
        </w:drawing>
      </w:r>
    </w:p>
    <w:p>
      <w:pPr>
        <w:spacing w:after="0" w:line="7"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8"/>
          <w:szCs w:val="18"/>
          <w:color w:val="auto"/>
        </w:rPr>
        <w:t>Samuel C. Scott</w:t>
      </w:r>
      <w:r>
        <w:rPr>
          <w:sz w:val="20"/>
          <w:szCs w:val="20"/>
          <w:color w:val="auto"/>
        </w:rPr>
        <w:tab/>
      </w: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(Form Type)</w:t>
      </w:r>
    </w:p>
    <w:p>
      <w:pPr>
        <w:spacing w:after="0" w:line="1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Mylan Inc.</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Mylan II B.V.</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Utah Acquisition Sub Inc.</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256"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54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Paid in</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26"/>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ind w:left="10"/>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ind w:left="11"/>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Calculation or</w:t>
            </w: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Security</w:t>
            </w:r>
          </w:p>
        </w:tc>
        <w:tc>
          <w:tcPr>
            <w:tcW w:w="60" w:type="dxa"/>
            <w:vAlign w:val="bottom"/>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Forward Rule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3"/>
                <w:szCs w:val="13"/>
                <w:color w:val="auto"/>
                <w:w w:val="97"/>
              </w:rPr>
              <w:t>Price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170"/>
        </w:trPr>
        <w:tc>
          <w:tcPr>
            <w:tcW w:w="254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4"/>
                <w:szCs w:val="14"/>
                <w:color w:val="auto"/>
              </w:rPr>
              <w:t>Newly Registered Securities</w:t>
            </w: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Debt</w:t>
            </w:r>
          </w:p>
        </w:tc>
        <w:tc>
          <w:tcPr>
            <w:tcW w:w="9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Rule 456(b)</w:t>
            </w: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6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456(b)</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9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$0.01</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 (1)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456(b)</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9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$0.01</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Fees to be</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 share (1)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540" w:type="dxa"/>
            <w:vAlign w:val="bottom"/>
            <w:tcBorders>
              <w:left w:val="single" w:sz="8" w:color="auto"/>
              <w:right w:val="single" w:sz="8" w:color="auto"/>
            </w:tcBorders>
            <w:vMerge w:val="continue"/>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vMerge w:val="restart"/>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456(b)</w:t>
            </w:r>
          </w:p>
        </w:tc>
        <w:tc>
          <w:tcPr>
            <w:tcW w:w="74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2540" w:type="dxa"/>
            <w:vAlign w:val="bottom"/>
            <w:tcBorders>
              <w:left w:val="single" w:sz="8" w:color="auto"/>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7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540" w:type="dxa"/>
            <w:vAlign w:val="bottom"/>
            <w:tcBorders>
              <w:left w:val="single" w:sz="8" w:color="auto"/>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 (1)</w:t>
            </w: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54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456(b)</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Rights (1)(4)</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456(b)</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Units (1)</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Guarantees</w:t>
            </w:r>
          </w:p>
        </w:tc>
        <w:tc>
          <w:tcPr>
            <w:tcW w:w="9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456(b)</w:t>
            </w:r>
          </w:p>
        </w:tc>
        <w:tc>
          <w:tcPr>
            <w:tcW w:w="7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Rule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 (5)</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457(r) (2)</w:t>
            </w: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40" w:type="dxa"/>
            <w:vAlign w:val="bottom"/>
            <w:tcBorders>
              <w:left w:val="single" w:sz="8" w:color="auto"/>
              <w:right w:val="single" w:sz="8" w:color="auto"/>
            </w:tcBorders>
          </w:tcPr>
          <w:p>
            <w:pPr>
              <w:jc w:val="center"/>
              <w:ind w:left="48"/>
              <w:spacing w:after="0" w:line="133" w:lineRule="exact"/>
              <w:rPr>
                <w:sz w:val="20"/>
                <w:szCs w:val="20"/>
                <w:color w:val="auto"/>
              </w:rPr>
            </w:pPr>
            <w:r>
              <w:rPr>
                <w:rFonts w:ascii="Times New Roman" w:cs="Times New Roman" w:eastAsia="Times New Roman" w:hAnsi="Times New Roman"/>
                <w:sz w:val="14"/>
                <w:szCs w:val="14"/>
                <w:color w:val="auto"/>
              </w:rPr>
              <w:t>Fees</w:t>
            </w: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4"/>
                <w:szCs w:val="14"/>
                <w:color w:val="auto"/>
              </w:rPr>
              <w:t>Carry Forward Securities</w:t>
            </w: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Borders>
              <w:left w:val="single" w:sz="8" w:color="auto"/>
              <w:right w:val="single" w:sz="8" w:color="auto"/>
            </w:tcBorders>
          </w:tcPr>
          <w:p>
            <w:pPr>
              <w:jc w:val="center"/>
              <w:ind w:left="48"/>
              <w:spacing w:after="0" w:line="133" w:lineRule="exact"/>
              <w:rPr>
                <w:sz w:val="20"/>
                <w:szCs w:val="20"/>
                <w:color w:val="auto"/>
              </w:rPr>
            </w:pPr>
            <w:r>
              <w:rPr>
                <w:rFonts w:ascii="Times New Roman" w:cs="Times New Roman" w:eastAsia="Times New Roman" w:hAnsi="Times New Roman"/>
                <w:sz w:val="14"/>
                <w:szCs w:val="14"/>
                <w:color w:val="auto"/>
              </w:rPr>
              <w:t>Carry</w:t>
            </w: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Offering Amounts</w:t>
            </w: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Fee Offsets</w:t>
            </w: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Net Fee Due</w:t>
            </w:r>
          </w:p>
        </w:tc>
        <w:tc>
          <w:tcPr>
            <w:tcW w:w="8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40" w:hanging="424"/>
        <w:spacing w:after="0" w:line="229" w:lineRule="auto"/>
        <w:tabs>
          <w:tab w:leader="none" w:pos="42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registered under this registration statement may be sold separately, together or as units consisting of two or more constituent securities registered hereunder with the other securities registered hereunder. Separate consideration may or may not be received for any securities issued upon the conversion, redemption, exchange, exercise or settlement of any securities registered hereunder.</w:t>
      </w:r>
    </w:p>
    <w:p>
      <w:pPr>
        <w:ind w:left="424" w:right="80" w:hanging="424"/>
        <w:spacing w:after="0"/>
        <w:tabs>
          <w:tab w:leader="none" w:pos="42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under the Securities Act of 1933, as amended (the “Securities Act”), the registrants are deferring payment of all registration fees. In connection with the securities offered hereby, the registrants will pay “pay-as-you-go registration fees” in accordance with Rule 456(b). The registrants will calculate the registration fee applicable to an offer of securities pursuant to this registration statement based on the fee payment rate in effect on the date of such fee payment. Pursuant to Rule 457(n) under the Securities Act, no additional filing fee is payable in respect of the guarantees registered hereunder. The guarantees will not trade separately from the debt securities of which they are guarantees.</w:t>
      </w:r>
    </w:p>
    <w:p>
      <w:pPr>
        <w:spacing w:after="0" w:line="98" w:lineRule="exact"/>
        <w:rPr>
          <w:rFonts w:ascii="Times New Roman" w:cs="Times New Roman" w:eastAsia="Times New Roman" w:hAnsi="Times New Roman"/>
          <w:sz w:val="14"/>
          <w:szCs w:val="14"/>
          <w:color w:val="auto"/>
        </w:rPr>
      </w:pPr>
    </w:p>
    <w:p>
      <w:pPr>
        <w:ind w:left="424" w:right="180" w:hanging="424"/>
        <w:spacing w:after="0" w:line="221" w:lineRule="auto"/>
        <w:tabs>
          <w:tab w:leader="none" w:pos="42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indeterminate aggregate initial offering price or number of securities of each identified class is being registered as may from time to time be issued at indeterminate prices and as may be issued upon conversion, redemption, exchange, exercise or settlement of any securities registered hereunder, including under any applicable antidilution provisions.</w:t>
      </w:r>
    </w:p>
    <w:p>
      <w:pPr>
        <w:ind w:left="424" w:hanging="424"/>
        <w:spacing w:after="0" w:line="221" w:lineRule="auto"/>
        <w:tabs>
          <w:tab w:leader="none" w:pos="42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rights to purchase debt securities, common stock or preferred stock.</w:t>
      </w:r>
    </w:p>
    <w:p>
      <w:pPr>
        <w:ind w:left="424" w:right="40" w:hanging="424"/>
        <w:spacing w:after="0" w:line="239" w:lineRule="auto"/>
        <w:tabs>
          <w:tab w:leader="none" w:pos="42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Mylan Inc., Mylan II B.V. and Utah Acquisition Sub Inc. may fully and unconditionally guarantee the payment of principal of, and premium (if any) and interest on, the debt securities of Viatris Inc. No separate consideration will be received for the guarantees.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3"/>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1)"/>
      <w:numFmt w:val="decimal"/>
      <w:start w:val="724"/>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3"/>
    </w:lvl>
  </w:abstractNum>
  <w:abstractNum w:abstractNumId="10">
    <w:nsid w:val="5DB70AE5"/>
    <w:multiLevelType w:val="hybridMultilevel"/>
    <w:lvl w:ilvl="0">
      <w:lvlJc w:val="left"/>
      <w:lvlText w:val="(%1)"/>
      <w:numFmt w:val="decimal"/>
      <w:start w:val="1"/>
    </w:lvl>
  </w:abstractNum>
  <w:abstractNum w:abstractNumId="11">
    <w:nsid w:val="100F8FCA"/>
    <w:multiLevelType w:val="hybridMultilevel"/>
    <w:lvl w:ilvl="0">
      <w:lvlJc w:val="left"/>
      <w:lvlText w:val="(%1)"/>
      <w:numFmt w:val="decimal"/>
      <w:start w:val="6"/>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1)"/>
      <w:numFmt w:val="lowerRoman"/>
      <w:start w:val="3"/>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1A32234B"/>
    <w:multiLevelType w:val="hybridMultilevel"/>
    <w:lvl w:ilvl="0">
      <w:lvlJc w:val="left"/>
      <w:lvlText w:val="(%1)"/>
      <w:numFmt w:val="decimal"/>
      <w:start w:val="2"/>
    </w:lvl>
    <w:lvl w:ilvl="1">
      <w:lvlJc w:val="left"/>
      <w:lvlText w:val="(%2)"/>
      <w:numFmt w:val="lowerRoman"/>
      <w:start w:val="1"/>
    </w:lvl>
  </w:abstractNum>
  <w:abstractNum w:abstractNumId="33">
    <w:nsid w:val="3B0FD379"/>
    <w:multiLevelType w:val="hybridMultilevel"/>
    <w:lvl w:ilvl="0">
      <w:lvlJc w:val="left"/>
      <w:lvlText w:val="(%1)"/>
      <w:numFmt w:val="decimal"/>
      <w:start w:val="6"/>
    </w:lvl>
    <w:lvl w:ilvl="1">
      <w:lvlJc w:val="left"/>
      <w:lvlText w:val="(%2)"/>
      <w:numFmt w:val="lowerRoman"/>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1"/>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2"/>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decimal"/>
      <w:start w:val="1"/>
    </w:lvl>
    <w:lvl w:ilvl="1">
      <w:lvlJc w:val="left"/>
      <w:lvlText w:val="(%2)"/>
      <w:numFmt w:val="upperLetter"/>
      <w:start w:val="1"/>
    </w:lvl>
  </w:abstractNum>
  <w:abstractNum w:abstractNumId="42">
    <w:nsid w:val="100F59DC"/>
    <w:multiLevelType w:val="hybridMultilevel"/>
    <w:lvl w:ilvl="0">
      <w:lvlJc w:val="left"/>
      <w:lvlText w:val="%1"/>
      <w:numFmt w:val="lowerLetter"/>
      <w:start w:val="1"/>
    </w:lvl>
    <w:lvl w:ilvl="1">
      <w:lvlJc w:val="left"/>
      <w:lvlText w:val="(%2)"/>
      <w:numFmt w:val="decimal"/>
      <w:start w:val="1"/>
    </w:lvl>
  </w:abstractNum>
  <w:abstractNum w:abstractNumId="43">
    <w:nsid w:val="7FB7E0AA"/>
    <w:multiLevelType w:val="hybridMultilevel"/>
    <w:lvl w:ilvl="0">
      <w:lvlJc w:val="left"/>
      <w:lvlText w:val="(%1)"/>
      <w:numFmt w:val="lowerLetter"/>
      <w:start w:val="2"/>
    </w:lvl>
    <w:lvl w:ilvl="1">
      <w:lvlJc w:val="left"/>
      <w:lvlText w:val="%2"/>
      <w:numFmt w:val="decimal"/>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5"/>
    </w:lvl>
  </w:abstractNum>
  <w:abstractNum w:abstractNumId="48">
    <w:nsid w:val="76272110"/>
    <w:multiLevelType w:val="hybridMultilevel"/>
    <w:lvl w:ilvl="0">
      <w:lvlJc w:val="left"/>
      <w:lvlText w:val="(%1)"/>
      <w:numFmt w:val="lowerLetter"/>
      <w:start w:val="20"/>
    </w:lvl>
  </w:abstractNum>
  <w:abstractNum w:abstractNumId="49">
    <w:nsid w:val="4C04A8AF"/>
    <w:multiLevelType w:val="hybridMultilevel"/>
    <w:lvl w:ilvl="0">
      <w:lvlJc w:val="left"/>
      <w:lvlText w:val="(%1)"/>
      <w:numFmt w:val="lowerLetter"/>
      <w:start w:val="27"/>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6"/>
    </w:lvl>
  </w:abstractNum>
  <w:abstractNum w:abstractNumId="52">
    <w:nsid w:val="3222E7CD"/>
    <w:multiLevelType w:val="hybridMultilevel"/>
    <w:lvl w:ilvl="0">
      <w:lvlJc w:val="left"/>
      <w:lvlText w:val="(%1)"/>
      <w:numFmt w:val="decimal"/>
      <w:start w:val="1"/>
    </w:lvl>
    <w:lvl w:ilvl="1">
      <w:lvlJc w:val="left"/>
      <w:lvlText w:val="(%2)"/>
      <w:numFmt w:val="lowerLetter"/>
      <w:start w:val="7"/>
    </w:lvl>
  </w:abstractNum>
  <w:abstractNum w:abstractNumId="53">
    <w:nsid w:val="74DE0EE3"/>
    <w:multiLevelType w:val="hybridMultilevel"/>
    <w:lvl w:ilvl="0">
      <w:lvlJc w:val="left"/>
      <w:lvlText w:val="(%1)"/>
      <w:numFmt w:val="lowerLetter"/>
      <w:start w:val="1"/>
    </w:lvl>
  </w:abstractNum>
  <w:abstractNum w:abstractNumId="54">
    <w:nsid w:val="68EBC550"/>
    <w:multiLevelType w:val="hybridMultilevel"/>
    <w:lvl w:ilvl="0">
      <w:lvlJc w:val="left"/>
      <w:lvlText w:val="(%1)"/>
      <w:numFmt w:val="lowerLetter"/>
      <w:start w:val="2"/>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1"/>
      <w:numFmt w:val="lowerLetter"/>
      <w:start w:val="1"/>
    </w:lvl>
    <w:lvl w:ilvl="1">
      <w:lvlJc w:val="left"/>
      <w:lvlText w:val="(%2)"/>
      <w:numFmt w:val="lowerLetter"/>
      <w:start w:val="1"/>
    </w:lvl>
  </w:abstractNum>
  <w:abstractNum w:abstractNumId="57">
    <w:nsid w:val="4A2AC315"/>
    <w:multiLevelType w:val="hybridMultilevel"/>
    <w:lvl w:ilvl="0">
      <w:lvlJc w:val="left"/>
      <w:lvlText w:val="(%1)"/>
      <w:numFmt w:val="lowerLetter"/>
      <w:start w:val="61"/>
    </w:lvl>
    <w:lvl w:ilvl="1">
      <w:lvlJc w:val="left"/>
      <w:lvlText w:val="%2"/>
      <w:numFmt w:val="lowerLetter"/>
      <w:start w:val="1"/>
    </w:lvl>
  </w:abstractNum>
  <w:abstractNum w:abstractNumId="58">
    <w:nsid w:val="39EE015C"/>
    <w:multiLevelType w:val="hybridMultilevel"/>
    <w:lvl w:ilvl="0">
      <w:lvlJc w:val="left"/>
      <w:lvlText w:val="(%1)"/>
      <w:numFmt w:val="lowerLetter"/>
      <w:start w:val="2"/>
    </w:lvl>
  </w:abstractNum>
  <w:abstractNum w:abstractNumId="59">
    <w:nsid w:val="57FC4FBB"/>
    <w:multiLevelType w:val="hybridMultilevel"/>
    <w:lvl w:ilvl="0">
      <w:lvlJc w:val="left"/>
      <w:lvlText w:val="(%1)"/>
      <w:numFmt w:val="lowerLetter"/>
      <w:start w:val="4"/>
    </w:lvl>
    <w:lvl w:ilvl="1">
      <w:lvlJc w:val="left"/>
      <w:lvlText w:val="(%2)"/>
      <w:numFmt w:val="decimal"/>
      <w:start w:val="1"/>
    </w:lvl>
  </w:abstractNum>
  <w:abstractNum w:abstractNumId="60">
    <w:nsid w:val="CC1016F"/>
    <w:multiLevelType w:val="hybridMultilevel"/>
    <w:lvl w:ilvl="0">
      <w:lvlJc w:val="left"/>
      <w:lvlText w:val="(%1)"/>
      <w:numFmt w:val="decimal"/>
      <w:start w:val="2"/>
    </w:lvl>
    <w:lvl w:ilvl="1">
      <w:lvlJc w:val="left"/>
      <w:lvlText w:val="(%2)"/>
      <w:numFmt w:val="upperLetter"/>
      <w:start w:val="1"/>
    </w:lvl>
  </w:abstractNum>
  <w:abstractNum w:abstractNumId="61">
    <w:nsid w:val="43F1842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2">
    <w:nsid w:val="60EF0119"/>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63">
    <w:nsid w:val="26F324BA"/>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4">
    <w:nsid w:val="7F01579B"/>
    <w:multiLevelType w:val="hybridMultilevel"/>
    <w:lvl w:ilvl="0">
      <w:lvlJc w:val="left"/>
      <w:lvlText w:val="(%1)"/>
      <w:numFmt w:val="lowerLetter"/>
      <w:start w:val="1"/>
    </w:lvl>
    <w:lvl w:ilvl="1">
      <w:lvlJc w:val="left"/>
      <w:lvlText w:val="(%2)"/>
      <w:numFmt w:val="lowerRoman"/>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decimal"/>
      <w:start w:val="1"/>
    </w:lvl>
  </w:abstractNum>
  <w:abstractNum w:abstractNumId="67">
    <w:nsid w:val="5FB8370B"/>
    <w:multiLevelType w:val="hybridMultilevel"/>
    <w:lvl w:ilvl="0">
      <w:lvlJc w:val="left"/>
      <w:lvlText w:val="(%1)"/>
      <w:numFmt w:val="decimal"/>
      <w:start w:val="3"/>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2"/>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2"/>
    </w:lvl>
  </w:abstractNum>
  <w:abstractNum w:abstractNumId="72">
    <w:nsid w:val="7672BD23"/>
    <w:multiLevelType w:val="hybridMultilevel"/>
    <w:lvl w:ilvl="0">
      <w:lvlJc w:val="left"/>
      <w:lvlText w:val="(%1)"/>
      <w:numFmt w:val="lowerLetter"/>
      <w:start w:val="1"/>
    </w:lvl>
    <w:lvl w:ilvl="1">
      <w:lvlJc w:val="left"/>
      <w:lvlText w:val="(%2)"/>
      <w:numFmt w:val="decimal"/>
      <w:start w:val="1"/>
    </w:lvl>
  </w:abstractNum>
  <w:abstractNum w:abstractNumId="73">
    <w:nsid w:val="6FC75AF8"/>
    <w:multiLevelType w:val="hybridMultilevel"/>
    <w:lvl w:ilvl="0">
      <w:lvlJc w:val="left"/>
      <w:lvlText w:val="(%1)"/>
      <w:numFmt w:val="decimal"/>
      <w:start w:val="1"/>
    </w:lvl>
  </w:abstractNum>
  <w:abstractNum w:abstractNumId="74">
    <w:nsid w:val="6A5F7029"/>
    <w:multiLevelType w:val="hybridMultilevel"/>
    <w:lvl w:ilvl="0">
      <w:lvlJc w:val="left"/>
      <w:lvlText w:val="(%1)"/>
      <w:numFmt w:val="decimal"/>
      <w:start w:val="5"/>
    </w:lvl>
    <w:lvl w:ilvl="1">
      <w:lvlJc w:val="left"/>
      <w:lvlText w:val="(%2)"/>
      <w:numFmt w:val="upperLetter"/>
      <w:start w:val="1"/>
    </w:lvl>
  </w:abstractNum>
  <w:abstractNum w:abstractNumId="75">
    <w:nsid w:val="7D5E18F8"/>
    <w:multiLevelType w:val="hybridMultilevel"/>
    <w:lvl w:ilvl="0">
      <w:lvlJc w:val="left"/>
      <w:lvlText w:val="(%1)"/>
      <w:numFmt w:val="decimal"/>
      <w:start w:val="9"/>
    </w:lvl>
    <w:lvl w:ilvl="1">
      <w:lvlJc w:val="left"/>
      <w:lvlText w:val="(%2)"/>
      <w:numFmt w:val="upperLetter"/>
      <w:start w:val="1"/>
    </w:lvl>
  </w:abstractNum>
  <w:abstractNum w:abstractNumId="76">
    <w:nsid w:val="5F3534A4"/>
    <w:multiLevelType w:val="hybridMultilevel"/>
    <w:lvl w:ilvl="0">
      <w:lvlJc w:val="left"/>
      <w:lvlText w:val="(%1)"/>
      <w:numFmt w:val="decimal"/>
      <w:start w:val="10"/>
    </w:lvl>
  </w:abstractNum>
  <w:abstractNum w:abstractNumId="77">
    <w:nsid w:val="73A1821B"/>
    <w:multiLevelType w:val="hybridMultilevel"/>
    <w:lvl w:ilvl="0">
      <w:lvlJc w:val="left"/>
      <w:lvlText w:val="(%1)"/>
      <w:numFmt w:val="decimal"/>
      <w:start w:val="1"/>
    </w:lvl>
  </w:abstractNum>
  <w:abstractNum w:abstractNumId="78">
    <w:nsid w:val="7DE67713"/>
    <w:multiLevelType w:val="hybridMultilevel"/>
    <w:lvl w:ilvl="0">
      <w:lvlJc w:val="left"/>
      <w:lvlText w:val="(%1)"/>
      <w:numFmt w:val="decimal"/>
      <w:start w:val="3"/>
    </w:lvl>
  </w:abstractNum>
  <w:abstractNum w:abstractNumId="79">
    <w:nsid w:val="555C55B5"/>
    <w:multiLevelType w:val="hybridMultilevel"/>
    <w:lvl w:ilvl="0">
      <w:lvlJc w:val="left"/>
      <w:lvlText w:val="(%1)"/>
      <w:numFmt w:val="lowerLetter"/>
      <w:start w:val="1"/>
    </w:lvl>
    <w:lvl w:ilvl="1">
      <w:lvlJc w:val="left"/>
      <w:lvlText w:val="(%2)"/>
      <w:numFmt w:val="decimal"/>
      <w:start w:val="1"/>
    </w:lvl>
  </w:abstractNum>
  <w:abstractNum w:abstractNumId="80">
    <w:nsid w:val="3FA62ACA"/>
    <w:multiLevelType w:val="hybridMultilevel"/>
    <w:lvl w:ilvl="0">
      <w:lvlJc w:val="left"/>
      <w:lvlText w:val="%1"/>
      <w:numFmt w:val="lowerLetter"/>
      <w:start w:val="1"/>
    </w:lvl>
    <w:lvl w:ilvl="1">
      <w:lvlJc w:val="left"/>
      <w:lvlText w:val="(%2)"/>
      <w:numFmt w:val="decimal"/>
      <w:start w:val="3"/>
    </w:lvl>
  </w:abstractNum>
  <w:abstractNum w:abstractNumId="81">
    <w:nsid w:val="14FCE74E"/>
    <w:multiLevelType w:val="hybridMultilevel"/>
    <w:lvl w:ilvl="0">
      <w:lvlJc w:val="left"/>
      <w:lvlText w:val="(%1)"/>
      <w:numFmt w:val="lowerLetter"/>
      <w:start w:val="4"/>
    </w:lvl>
    <w:lvl w:ilvl="1">
      <w:lvlJc w:val="left"/>
      <w:lvlText w:val="%2"/>
      <w:numFmt w:val="decimal"/>
      <w:start w:val="1"/>
    </w:lvl>
  </w:abstractNum>
  <w:abstractNum w:abstractNumId="82">
    <w:nsid w:val="6A3DD3E8"/>
    <w:multiLevelType w:val="hybridMultilevel"/>
    <w:lvl w:ilvl="0">
      <w:lvlJc w:val="left"/>
      <w:lvlText w:val="(%1)"/>
      <w:numFmt w:val="lowerLetter"/>
      <w:start w:val="1"/>
    </w:lvl>
  </w:abstractNum>
  <w:abstractNum w:abstractNumId="83">
    <w:nsid w:val="71C91298"/>
    <w:multiLevelType w:val="hybridMultilevel"/>
    <w:lvl w:ilvl="0">
      <w:lvlJc w:val="left"/>
      <w:lvlText w:val="(%1)"/>
      <w:numFmt w:val="lowerLetter"/>
      <w:start w:val="8"/>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6"/>
    </w:lvl>
  </w:abstractNum>
  <w:abstractNum w:abstractNumId="86">
    <w:nsid w:val="1FBFE8E0"/>
    <w:multiLevelType w:val="hybridMultilevel"/>
    <w:lvl w:ilvl="0">
      <w:lvlJc w:val="left"/>
      <w:lvlText w:val="(%1)"/>
      <w:numFmt w:val="lowerLetter"/>
      <w:start w:val="1"/>
    </w:lvl>
    <w:lvl w:ilvl="1">
      <w:lvlJc w:val="left"/>
      <w:lvlText w:val="(%2)"/>
      <w:numFmt w:val="decimal"/>
      <w:start w:val="1"/>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1)"/>
      <w:numFmt w:val="decimal"/>
      <w:start w:val="13"/>
    </w:lvl>
  </w:abstractNum>
  <w:abstractNum w:abstractNumId="89">
    <w:nsid w:val="59ADEA3D"/>
    <w:multiLevelType w:val="hybridMultilevel"/>
    <w:lvl w:ilvl="0">
      <w:lvlJc w:val="left"/>
      <w:lvlText w:val="(%1)"/>
      <w:numFmt w:val="lowerLetter"/>
      <w:start w:val="1"/>
    </w:lvl>
    <w:lvl w:ilvl="1">
      <w:lvlJc w:val="left"/>
      <w:lvlText w:val="(%2)"/>
      <w:numFmt w:val="decimal"/>
      <w:start w:val="1"/>
    </w:lvl>
  </w:abstractNum>
  <w:abstractNum w:abstractNumId="90">
    <w:nsid w:val="288F1A34"/>
    <w:multiLevelType w:val="hybridMultilevel"/>
    <w:lvl w:ilvl="0">
      <w:lvlJc w:val="left"/>
      <w:lvlText w:val="%1"/>
      <w:numFmt w:val="lowerLetter"/>
      <w:start w:val="1"/>
    </w:lvl>
    <w:lvl w:ilvl="1">
      <w:lvlJc w:val="left"/>
      <w:lvlText w:val="(%2)"/>
      <w:numFmt w:val="decimal"/>
      <w:start w:val="3"/>
    </w:lvl>
  </w:abstractNum>
  <w:abstractNum w:abstractNumId="91">
    <w:nsid w:val="2A155DBC"/>
    <w:multiLevelType w:val="hybridMultilevel"/>
    <w:lvl w:ilvl="0">
      <w:lvlJc w:val="left"/>
      <w:lvlText w:val="(%1)"/>
      <w:numFmt w:val="lowerLetter"/>
      <w:start w:val="3"/>
    </w:lvl>
    <w:lvl w:ilvl="1">
      <w:lvlJc w:val="left"/>
      <w:lvlText w:val="%2"/>
      <w:numFmt w:val="decimal"/>
      <w:start w:val="1"/>
    </w:lvl>
  </w:abstractNum>
  <w:abstractNum w:abstractNumId="92">
    <w:nsid w:val="1D9F6E5F"/>
    <w:multiLevelType w:val="hybridMultilevel"/>
    <w:lvl w:ilvl="0">
      <w:lvlJc w:val="left"/>
      <w:lvlText w:val="(%1)"/>
      <w:numFmt w:val="lowerLetter"/>
      <w:start w:val="4"/>
    </w:lvl>
  </w:abstractNum>
  <w:abstractNum w:abstractNumId="93">
    <w:nsid w:val="97E1B4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4">
    <w:nsid w:val="51088277"/>
    <w:multiLevelType w:val="hybridMultilevel"/>
    <w:lvl w:ilvl="0">
      <w:lvlJc w:val="left"/>
      <w:lvlText w:val="(%1)"/>
      <w:numFmt w:val="lowerLetter"/>
      <w:start w:val="2"/>
    </w:lvl>
    <w:lvl w:ilvl="1">
      <w:lvlJc w:val="left"/>
      <w:lvlText w:val="(%2)"/>
      <w:numFmt w:val="decimal"/>
      <w:start w:val="1"/>
    </w:lvl>
  </w:abstractNum>
  <w:abstractNum w:abstractNumId="95">
    <w:nsid w:val="1CA0C5FA"/>
    <w:multiLevelType w:val="hybridMultilevel"/>
    <w:lvl w:ilvl="0">
      <w:lvlJc w:val="left"/>
      <w:lvlText w:val="(%1)"/>
      <w:numFmt w:val="lowerLetter"/>
      <w:start w:val="3"/>
    </w:lvl>
  </w:abstractNum>
  <w:abstractNum w:abstractNumId="96">
    <w:nsid w:val="53584BCB"/>
    <w:multiLevelType w:val="hybridMultilevel"/>
    <w:lvl w:ilvl="0">
      <w:lvlJc w:val="left"/>
      <w:lvlText w:val="(%1)"/>
      <w:numFmt w:val="lowerLetter"/>
      <w:start w:val="1"/>
    </w:lvl>
  </w:abstractNum>
  <w:abstractNum w:abstractNumId="97">
    <w:nsid w:val="415E286C"/>
    <w:multiLevelType w:val="hybridMultilevel"/>
    <w:lvl w:ilvl="0">
      <w:lvlJc w:val="left"/>
      <w:lvlText w:val="(%1)"/>
      <w:numFmt w:val="lowerLetter"/>
      <w:start w:val="2"/>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2"/>
    </w:lvl>
  </w:abstractNum>
  <w:abstractNum w:abstractNumId="100">
    <w:nsid w:val="45E6D486"/>
    <w:multiLevelType w:val="hybridMultilevel"/>
    <w:lvl w:ilvl="0">
      <w:lvlJc w:val="left"/>
      <w:lvlText w:val="(%1)"/>
      <w:numFmt w:val="lowerLetter"/>
      <w:start w:val="3"/>
    </w:lvl>
  </w:abstractNum>
  <w:abstractNum w:abstractNumId="101">
    <w:nsid w:val="5C10FE21"/>
    <w:multiLevelType w:val="hybridMultilevel"/>
    <w:lvl w:ilvl="0">
      <w:lvlJc w:val="left"/>
      <w:lvlText w:val="(%1)"/>
      <w:numFmt w:val="lowerLetter"/>
      <w:start w:val="6"/>
    </w:lvl>
  </w:abstractNum>
  <w:abstractNum w:abstractNumId="102">
    <w:nsid w:val="E7FFA2B"/>
    <w:multiLevelType w:val="hybridMultilevel"/>
    <w:lvl w:ilvl="0">
      <w:lvlJc w:val="left"/>
      <w:lvlText w:val="(%1)"/>
      <w:numFmt w:val="decimal"/>
      <w:start w:val="1"/>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1"/>
    </w:lvl>
    <w:lvl w:ilvl="1">
      <w:lvlJc w:val="left"/>
      <w:lvlText w:val="(%2)"/>
      <w:numFmt w:val="decimal"/>
      <w:start w:val="1"/>
    </w:lvl>
  </w:abstractNum>
  <w:abstractNum w:abstractNumId="106">
    <w:nsid w:val="39B7AAA2"/>
    <w:multiLevelType w:val="hybridMultilevel"/>
    <w:lvl w:ilvl="0">
      <w:lvlJc w:val="left"/>
      <w:lvlText w:val="(%1)"/>
      <w:numFmt w:val="lowerLetter"/>
      <w:start w:val="4"/>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lowerRoman"/>
      <w:start w:val="6"/>
    </w:lvl>
  </w:abstractNum>
  <w:abstractNum w:abstractNumId="109">
    <w:nsid w:val="379E21B5"/>
    <w:multiLevelType w:val="hybridMultilevel"/>
    <w:lvl w:ilvl="0">
      <w:lvlJc w:val="left"/>
      <w:lvlText w:val="(%1)"/>
      <w:numFmt w:val="lowerRoman"/>
      <w:start w:val="2"/>
    </w:lvl>
    <w:lvl w:ilvl="1">
      <w:lvlJc w:val="left"/>
      <w:lvlText w:val="%2."/>
      <w:numFmt w:val="decimal"/>
      <w:start w:val="1"/>
    </w:lvl>
  </w:abstractNum>
  <w:abstractNum w:abstractNumId="110">
    <w:nsid w:val="69E373"/>
    <w:multiLevelType w:val="hybridMultilevel"/>
    <w:lvl w:ilvl="0">
      <w:lvlJc w:val="left"/>
      <w:lvlText w:val="%1."/>
      <w:numFmt w:val="decimal"/>
      <w:start w:val="2"/>
    </w:lvl>
    <w:lvl w:ilvl="1">
      <w:lvlJc w:val="left"/>
      <w:lvlText w:val="(%2)"/>
      <w:numFmt w:val="lowerLetter"/>
      <w:start w:val="3"/>
    </w:lvl>
  </w:abstractNum>
  <w:abstractNum w:abstractNumId="111">
    <w:nsid w:val="2C27173B"/>
    <w:multiLevelType w:val="hybridMultilevel"/>
    <w:lvl w:ilvl="0">
      <w:lvlJc w:val="left"/>
      <w:lvlText w:val="%1"/>
      <w:numFmt w:val="decimal"/>
      <w:start w:val="1"/>
    </w:lvl>
    <w:lvl w:ilvl="1">
      <w:lvlJc w:val="left"/>
      <w:lvlText w:val="(%2)"/>
      <w:numFmt w:val="lowerLetter"/>
      <w:start w:val="35"/>
    </w:lvl>
  </w:abstractNum>
  <w:abstractNum w:abstractNumId="112">
    <w:nsid w:val="4C9B0904"/>
    <w:multiLevelType w:val="hybridMultilevel"/>
    <w:lvl w:ilvl="0">
      <w:lvlJc w:val="left"/>
      <w:lvlText w:val="%1."/>
      <w:numFmt w:val="decimal"/>
      <w:start w:val="4"/>
    </w:lvl>
    <w:lvl w:ilvl="1">
      <w:lvlJc w:val="left"/>
      <w:lvlText w:val="%2"/>
      <w:numFmt w:val="lowerLetter"/>
      <w:start w:val="1"/>
    </w:lvl>
  </w:abstractNum>
  <w:abstractNum w:abstractNumId="113">
    <w:nsid w:val="6AA7B75C"/>
    <w:multiLevelType w:val="hybridMultilevel"/>
    <w:lvl w:ilvl="0">
      <w:lvlJc w:val="left"/>
      <w:lvlText w:val="%1."/>
      <w:numFmt w:val="decimal"/>
      <w:start w:val="5"/>
    </w:lvl>
  </w:abstractNum>
  <w:abstractNum w:abstractNumId="114">
    <w:nsid w:val="1DF029D3"/>
    <w:multiLevelType w:val="hybridMultilevel"/>
    <w:lvl w:ilvl="0">
      <w:lvlJc w:val="left"/>
      <w:lvlText w:val="(%1)"/>
      <w:numFmt w:val="lowerLetter"/>
      <w:start w:val="3"/>
    </w:lvl>
  </w:abstractNum>
  <w:abstractNum w:abstractNumId="115">
    <w:nsid w:val="5675FF36"/>
    <w:multiLevelType w:val="hybridMultilevel"/>
    <w:lvl w:ilvl="0">
      <w:lvlJc w:val="left"/>
      <w:lvlText w:val="(%1)"/>
      <w:numFmt w:val="lowerLetter"/>
      <w:start w:val="9"/>
    </w:lvl>
  </w:abstractNum>
  <w:abstractNum w:abstractNumId="116">
    <w:nsid w:val="3DD15094"/>
    <w:multiLevelType w:val="hybridMultilevel"/>
    <w:lvl w:ilvl="0">
      <w:lvlJc w:val="left"/>
      <w:lvlText w:val="%1."/>
      <w:numFmt w:val="decimal"/>
      <w:start w:val="1"/>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1."/>
      <w:numFmt w:val="decimal"/>
      <w:start w:val="1"/>
    </w:lvl>
    <w:lvl w:ilvl="1">
      <w:lvlJc w:val="left"/>
      <w:lvlText w:val="(%2)"/>
      <w:numFmt w:val="lowerLetter"/>
      <w:start w:val="1"/>
    </w:lvl>
  </w:abstractNum>
  <w:abstractNum w:abstractNumId="119">
    <w:nsid w:val="5B25ACE2"/>
    <w:multiLevelType w:val="hybridMultilevel"/>
    <w:lvl w:ilvl="0">
      <w:lvlJc w:val="left"/>
      <w:lvlText w:val="(%1)"/>
      <w:numFmt w:val="lowerLetter"/>
      <w:start w:val="2"/>
    </w:lvl>
  </w:abstractNum>
  <w:abstractNum w:abstractNumId="120">
    <w:nsid w:val="175DFCF0"/>
    <w:multiLevelType w:val="hybridMultilevel"/>
    <w:lvl w:ilvl="0">
      <w:lvlJc w:val="left"/>
      <w:lvlText w:val="%1."/>
      <w:numFmt w:val="decimal"/>
      <w:start w:val="2"/>
    </w:lvl>
  </w:abstractNum>
  <w:abstractNum w:abstractNumId="121">
    <w:nsid w:val="4F97E3E4"/>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22">
    <w:nsid w:val="53B0A9E"/>
    <w:multiLevelType w:val="hybridMultilevel"/>
    <w:lvl w:ilvl="0">
      <w:lvlJc w:val="left"/>
      <w:lvlText w:val="%1."/>
      <w:numFmt w:val="decimal"/>
      <w:start w:val="4"/>
    </w:lvl>
  </w:abstractNum>
  <w:abstractNum w:abstractNumId="123">
    <w:nsid w:val="34FD6B4F"/>
    <w:multiLevelType w:val="hybridMultilevel"/>
    <w:lvl w:ilvl="0">
      <w:lvlJc w:val="left"/>
      <w:lvlText w:val="%1."/>
      <w:numFmt w:val="decimal"/>
      <w:start w:val="6"/>
    </w:lvl>
    <w:lvl w:ilvl="1">
      <w:lvlJc w:val="left"/>
      <w:lvlText w:val="-"/>
      <w:numFmt w:val="bullet"/>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83" Type="http://schemas.openxmlformats.org/officeDocument/2006/relationships/image" Target="media/image64.png"/><Relationship Id="rId95" Type="http://schemas.openxmlformats.org/officeDocument/2006/relationships/image" Target="media/image65.png"/><Relationship Id="rId106"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jpe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jpeg"/><Relationship Id="rId198" Type="http://schemas.openxmlformats.org/officeDocument/2006/relationships/image" Target="media/image157.png"/><Relationship Id="rId199" Type="http://schemas.openxmlformats.org/officeDocument/2006/relationships/image" Target="media/image158.jpeg"/><Relationship Id="rId200" Type="http://schemas.openxmlformats.org/officeDocument/2006/relationships/image" Target="media/image159.png"/><Relationship Id="rId201" Type="http://schemas.openxmlformats.org/officeDocument/2006/relationships/image" Target="media/image160.jpeg"/><Relationship Id="rId202" Type="http://schemas.openxmlformats.org/officeDocument/2006/relationships/image" Target="media/image161.png"/><Relationship Id="rId203" Type="http://schemas.openxmlformats.org/officeDocument/2006/relationships/image" Target="media/image162.jpeg"/><Relationship Id="rId204" Type="http://schemas.openxmlformats.org/officeDocument/2006/relationships/image" Target="media/image163.png"/><Relationship Id="rId205" Type="http://schemas.openxmlformats.org/officeDocument/2006/relationships/image" Target="media/image164.jpeg"/><Relationship Id="rId206" Type="http://schemas.openxmlformats.org/officeDocument/2006/relationships/image" Target="media/image165.png"/><Relationship Id="rId207" Type="http://schemas.openxmlformats.org/officeDocument/2006/relationships/image" Target="media/image166.jpeg"/><Relationship Id="rId208" Type="http://schemas.openxmlformats.org/officeDocument/2006/relationships/image" Target="media/image167.png"/><Relationship Id="rId209" Type="http://schemas.openxmlformats.org/officeDocument/2006/relationships/image" Target="media/image168.jpeg"/><Relationship Id="rId210" Type="http://schemas.openxmlformats.org/officeDocument/2006/relationships/image" Target="media/image169.png"/><Relationship Id="rId211" Type="http://schemas.openxmlformats.org/officeDocument/2006/relationships/image" Target="media/image170.jpeg"/><Relationship Id="rId212" Type="http://schemas.openxmlformats.org/officeDocument/2006/relationships/image" Target="media/image171.png"/><Relationship Id="rId213" Type="http://schemas.openxmlformats.org/officeDocument/2006/relationships/image" Target="media/image172.jpeg"/><Relationship Id="rId214" Type="http://schemas.openxmlformats.org/officeDocument/2006/relationships/image" Target="media/image173.png"/><Relationship Id="rId215" Type="http://schemas.openxmlformats.org/officeDocument/2006/relationships/image" Target="media/image174.jpe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9" Type="http://schemas.openxmlformats.org/officeDocument/2006/relationships/hyperlink" Target="http://www.sec.gov/Archives/edgar/data/1792044/000179204422000010/vtrs-20211231.htm" TargetMode="External"/><Relationship Id="rId30" Type="http://schemas.openxmlformats.org/officeDocument/2006/relationships/hyperlink" Target="http://www.sec.gov/Archives/edgar/data/1792044/000119312522134158/d307200d10ka.htm" TargetMode="External"/><Relationship Id="rId31" Type="http://schemas.openxmlformats.org/officeDocument/2006/relationships/hyperlink" Target="http://www.sec.gov/Archives/edgar/data/1792044/000119312522058054/d265304d8k.htm" TargetMode="External"/><Relationship Id="rId32" Type="http://schemas.openxmlformats.org/officeDocument/2006/relationships/hyperlink" Target="http://www.sec.gov/Archives/edgar/data/1792044/000179204421000009/ex_410-vtrsx20201231x10k.htm" TargetMode="External"/><Relationship Id="rId75" Type="http://schemas.openxmlformats.org/officeDocument/2006/relationships/hyperlink" Target="http://www.sec.gov/Archives/edgar/data/1792044/000119312520298226/d56774dex31.htm" TargetMode="External"/><Relationship Id="rId76" Type="http://schemas.openxmlformats.org/officeDocument/2006/relationships/hyperlink" Target="http://www.sec.gov/Archives/edgar/data/1792044/000119312520298226/d56774dex33.htm" TargetMode="External"/><Relationship Id="rId77" Type="http://schemas.openxmlformats.org/officeDocument/2006/relationships/hyperlink" Target="http://www.sec.gov/Archives/edgar/data/1792044/000179204421000009/ex_32-vtrsx20201231x10k.htm" TargetMode="External"/><Relationship Id="rId78" Type="http://schemas.openxmlformats.org/officeDocument/2006/relationships/hyperlink" Target="http://www.sec.gov/Archives/edgar/data/69499/000119312521270106/d224377dex34.htm" TargetMode="External"/><Relationship Id="rId79" Type="http://schemas.openxmlformats.org/officeDocument/2006/relationships/hyperlink" Target="http://www.sec.gov/Archives/edgar/data/69499/000119312521270106/d224377dex35.htm" TargetMode="External"/><Relationship Id="rId80" Type="http://schemas.openxmlformats.org/officeDocument/2006/relationships/hyperlink" Target="http://www.sec.gov/Archives/edgar/data/69499/000119312521270106/d224377dex36.htm" TargetMode="External"/><Relationship Id="rId81" Type="http://schemas.openxmlformats.org/officeDocument/2006/relationships/hyperlink" Target="http://www.sec.gov/Archives/edgar/data/69499/000119312521270106/d224377dex37.htm" TargetMode="External"/><Relationship Id="rId82" Type="http://schemas.openxmlformats.org/officeDocument/2006/relationships/hyperlink" Target="http://www.sec.gov/Archives/edgar/data/69499/000119312521270106/d224377dex38.htm" TargetMode="External"/><Relationship Id="rId84" Type="http://schemas.openxmlformats.org/officeDocument/2006/relationships/hyperlink" Target="http://www.sec.gov/Archives/edgar/data/69499/000006949912000042/exhibit_41xindenture.htm" TargetMode="External"/><Relationship Id="rId85" Type="http://schemas.openxmlformats.org/officeDocument/2006/relationships/hyperlink" Target="http://www.sec.gov/Archives/edgar/data/69499/000119312515068777/d882093dex44.htm" TargetMode="External"/><Relationship Id="rId86" Type="http://schemas.openxmlformats.org/officeDocument/2006/relationships/hyperlink" Target="http://www.sec.gov/Archives/edgar/data/1623613/000162361315000009/myl_ex43bx20150331-10q.htm" TargetMode="External"/><Relationship Id="rId87" Type="http://schemas.openxmlformats.org/officeDocument/2006/relationships/hyperlink" Target="http://www.sec.gov/Archives/edgar/data/1792044/000119312520298236/d57281dex46.htm" TargetMode="External"/><Relationship Id="rId88" Type="http://schemas.openxmlformats.org/officeDocument/2006/relationships/hyperlink" Target="http://www.sec.gov/Archives/edgar/data/69499/000110465913087739/a13-20314_5ex4d1.htm" TargetMode="External"/><Relationship Id="rId89" Type="http://schemas.openxmlformats.org/officeDocument/2006/relationships/hyperlink" Target="http://www.sec.gov/Archives/edgar/data/69499/000110465913087739/a13-20314_5ex4d2.htm" TargetMode="External"/><Relationship Id="rId90" Type="http://schemas.openxmlformats.org/officeDocument/2006/relationships/hyperlink" Target="http://www.sec.gov/Archives/edgar/data/69499/000119312515068777/d882093dex46.htm" TargetMode="External"/><Relationship Id="rId91" Type="http://schemas.openxmlformats.org/officeDocument/2006/relationships/hyperlink" Target="http://www.sec.gov/Archives/edgar/data/1623613/000162361315000009/myl_ex45bx20150331-10q.htm" TargetMode="External"/><Relationship Id="rId92" Type="http://schemas.openxmlformats.org/officeDocument/2006/relationships/hyperlink" Target="http://www.sec.gov/Archives/edgar/data/1792044/000119312520298236/d57281dex47.htm" TargetMode="External"/><Relationship Id="rId93" Type="http://schemas.openxmlformats.org/officeDocument/2006/relationships/hyperlink" Target="http://www.sec.gov/Archives/edgar/data/1623613/000119312516622620/d207286dex41.htm" TargetMode="External"/><Relationship Id="rId94" Type="http://schemas.openxmlformats.org/officeDocument/2006/relationships/hyperlink" Target="http://www.sec.gov/Archives/edgar/data/1792044/000119312520298236/d57281dex44.htm" TargetMode="External"/><Relationship Id="rId96" Type="http://schemas.openxmlformats.org/officeDocument/2006/relationships/hyperlink" Target="http://www.sec.gov/Archives/edgar/data/1623613/000162361317000007/exhibit49.htm" TargetMode="External"/><Relationship Id="rId97" Type="http://schemas.openxmlformats.org/officeDocument/2006/relationships/hyperlink" Target="http://www.sec.gov/Archives/edgar/data/1792044/000119312520298236/d57281dex45.htm" TargetMode="External"/><Relationship Id="rId98" Type="http://schemas.openxmlformats.org/officeDocument/2006/relationships/hyperlink" Target="http://www.sec.gov/Archives/edgar/data/1623613/000119312518111603/d560332dex41.htm" TargetMode="External"/><Relationship Id="rId99" Type="http://schemas.openxmlformats.org/officeDocument/2006/relationships/hyperlink" Target="http://www.sec.gov/Archives/edgar/data/1792044/000119312520298236/d57281dex48.htm" TargetMode="External"/><Relationship Id="rId100" Type="http://schemas.openxmlformats.org/officeDocument/2006/relationships/hyperlink" Target="http://www.sec.gov/Archives/edgar/data/1623613/000119312518172116/d566535dex41.htm" TargetMode="External"/><Relationship Id="rId101" Type="http://schemas.openxmlformats.org/officeDocument/2006/relationships/hyperlink" Target="http://www.sec.gov/Archives/edgar/data/1792044/000119312520298236/d57281dex49.htm" TargetMode="External"/><Relationship Id="rId102" Type="http://schemas.openxmlformats.org/officeDocument/2006/relationships/hyperlink" Target="http://www.sec.gov/Archives/edgar/data/1792044/000119312520181088/d920857dex41.htm" TargetMode="External"/><Relationship Id="rId103" Type="http://schemas.openxmlformats.org/officeDocument/2006/relationships/hyperlink" Target="http://www.sec.gov/Archives/edgar/data/1792044/000119312520298236/d57281dex41.htm" TargetMode="External"/><Relationship Id="rId104" Type="http://schemas.openxmlformats.org/officeDocument/2006/relationships/hyperlink" Target="http://www.sec.gov/Archives/edgar/data/1792044/000119312520181088/d920857dex49.htm" TargetMode="External"/><Relationship Id="rId105" Type="http://schemas.openxmlformats.org/officeDocument/2006/relationships/hyperlink" Target="http://www.sec.gov/Archives/edgar/data/1792044/000119312520298236/d57281dex42.htm" TargetMode="External"/><Relationship Id="rId107" Type="http://schemas.openxmlformats.org/officeDocument/2006/relationships/hyperlink" Target="http://www.sec.gov/Archives/edgar/data/1792044/000179204422000010/ex_22xvtrsx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2022-05-07T08:34:14Z</dcterms:created>
  <dcterms:modified xsi:type="dcterms:W3CDTF">2022-05-07T08:34:14Z</dcterms:modified>
</cp:coreProperties>
</file>